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51DC21">
      <w:pPr>
        <w:numPr>
          <w:ilvl w:val="0"/>
          <w:numId w:val="0"/>
        </w:num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w:t>
      </w:r>
    </w:p>
    <w:p w14:paraId="66B8881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2024年许昌市青年教师基本功暨教坛新秀</w:t>
      </w:r>
    </w:p>
    <w:p w14:paraId="2AF39BE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评选推荐指标分配</w:t>
      </w:r>
    </w:p>
    <w:p w14:paraId="72EA5F0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tbl>
      <w:tblPr>
        <w:tblStyle w:val="5"/>
        <w:tblW w:w="8400" w:type="dxa"/>
        <w:jc w:val="center"/>
        <w:tblLayout w:type="fixed"/>
        <w:tblCellMar>
          <w:top w:w="0" w:type="dxa"/>
          <w:left w:w="0" w:type="dxa"/>
          <w:bottom w:w="0" w:type="dxa"/>
          <w:right w:w="0" w:type="dxa"/>
        </w:tblCellMar>
      </w:tblPr>
      <w:tblGrid>
        <w:gridCol w:w="1727"/>
        <w:gridCol w:w="1515"/>
        <w:gridCol w:w="3079"/>
        <w:gridCol w:w="2079"/>
      </w:tblGrid>
      <w:tr w14:paraId="2B45385D">
        <w:tblPrEx>
          <w:tblCellMar>
            <w:top w:w="0" w:type="dxa"/>
            <w:left w:w="0" w:type="dxa"/>
            <w:bottom w:w="0" w:type="dxa"/>
            <w:right w:w="0" w:type="dxa"/>
          </w:tblCellMar>
        </w:tblPrEx>
        <w:trPr>
          <w:trHeight w:val="23" w:hRule="atLeast"/>
          <w:jc w:val="center"/>
        </w:trPr>
        <w:tc>
          <w:tcPr>
            <w:tcW w:w="172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2D02FA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黑体" w:hAnsi="黑体" w:eastAsia="黑体" w:cs="黑体"/>
                <w:i w:val="0"/>
                <w:color w:val="auto"/>
                <w:sz w:val="28"/>
                <w:szCs w:val="28"/>
                <w:u w:val="none"/>
              </w:rPr>
            </w:pPr>
            <w:r>
              <w:rPr>
                <w:rFonts w:hint="eastAsia" w:ascii="黑体" w:hAnsi="黑体" w:eastAsia="黑体" w:cs="黑体"/>
                <w:i w:val="0"/>
                <w:color w:val="auto"/>
                <w:kern w:val="0"/>
                <w:sz w:val="28"/>
                <w:szCs w:val="28"/>
                <w:u w:val="none"/>
                <w:lang w:val="en-US" w:eastAsia="zh-CN" w:bidi="ar"/>
              </w:rPr>
              <w:t>单  位</w:t>
            </w:r>
          </w:p>
        </w:tc>
        <w:tc>
          <w:tcPr>
            <w:tcW w:w="151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7102EC8">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黑体" w:hAnsi="黑体" w:eastAsia="黑体" w:cs="黑体"/>
                <w:i w:val="0"/>
                <w:color w:val="auto"/>
                <w:sz w:val="28"/>
                <w:szCs w:val="28"/>
                <w:u w:val="none"/>
              </w:rPr>
            </w:pPr>
            <w:r>
              <w:rPr>
                <w:rFonts w:hint="eastAsia" w:ascii="黑体" w:hAnsi="黑体" w:eastAsia="黑体" w:cs="黑体"/>
                <w:i w:val="0"/>
                <w:color w:val="auto"/>
                <w:kern w:val="0"/>
                <w:sz w:val="28"/>
                <w:szCs w:val="28"/>
                <w:u w:val="none"/>
                <w:lang w:val="en-US" w:eastAsia="zh-CN" w:bidi="ar"/>
              </w:rPr>
              <w:t>推荐人数</w:t>
            </w:r>
          </w:p>
        </w:tc>
        <w:tc>
          <w:tcPr>
            <w:tcW w:w="307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9AC1EE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黑体" w:hAnsi="黑体" w:eastAsia="黑体" w:cs="黑体"/>
                <w:i w:val="0"/>
                <w:color w:val="auto"/>
                <w:sz w:val="28"/>
                <w:szCs w:val="28"/>
                <w:u w:val="none"/>
              </w:rPr>
            </w:pPr>
            <w:r>
              <w:rPr>
                <w:rFonts w:hint="eastAsia" w:ascii="黑体" w:hAnsi="黑体" w:eastAsia="黑体" w:cs="黑体"/>
                <w:i w:val="0"/>
                <w:color w:val="auto"/>
                <w:kern w:val="0"/>
                <w:sz w:val="28"/>
                <w:szCs w:val="28"/>
                <w:u w:val="none"/>
                <w:lang w:val="en-US" w:eastAsia="zh-CN" w:bidi="ar"/>
              </w:rPr>
              <w:t>单  位</w:t>
            </w:r>
          </w:p>
        </w:tc>
        <w:tc>
          <w:tcPr>
            <w:tcW w:w="207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6F0885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黑体" w:hAnsi="黑体" w:eastAsia="黑体" w:cs="黑体"/>
                <w:i w:val="0"/>
                <w:color w:val="auto"/>
                <w:sz w:val="28"/>
                <w:szCs w:val="28"/>
                <w:u w:val="none"/>
              </w:rPr>
            </w:pPr>
            <w:r>
              <w:rPr>
                <w:rFonts w:hint="eastAsia" w:ascii="黑体" w:hAnsi="黑体" w:eastAsia="黑体" w:cs="黑体"/>
                <w:i w:val="0"/>
                <w:color w:val="auto"/>
                <w:kern w:val="0"/>
                <w:sz w:val="28"/>
                <w:szCs w:val="28"/>
                <w:u w:val="none"/>
                <w:lang w:val="en-US" w:eastAsia="zh-CN" w:bidi="ar"/>
              </w:rPr>
              <w:t>推荐人数</w:t>
            </w:r>
          </w:p>
        </w:tc>
      </w:tr>
      <w:tr w14:paraId="752152FF">
        <w:tblPrEx>
          <w:tblCellMar>
            <w:top w:w="0" w:type="dxa"/>
            <w:left w:w="0" w:type="dxa"/>
            <w:bottom w:w="0" w:type="dxa"/>
            <w:right w:w="0" w:type="dxa"/>
          </w:tblCellMar>
        </w:tblPrEx>
        <w:trPr>
          <w:trHeight w:val="23" w:hRule="atLeast"/>
          <w:jc w:val="center"/>
        </w:trPr>
        <w:tc>
          <w:tcPr>
            <w:tcW w:w="172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3D6857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禹州市</w:t>
            </w:r>
          </w:p>
        </w:tc>
        <w:tc>
          <w:tcPr>
            <w:tcW w:w="151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B78853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70</w:t>
            </w:r>
          </w:p>
        </w:tc>
        <w:tc>
          <w:tcPr>
            <w:tcW w:w="30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BE502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实验中学</w:t>
            </w:r>
          </w:p>
        </w:tc>
        <w:tc>
          <w:tcPr>
            <w:tcW w:w="20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0D64C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6</w:t>
            </w:r>
          </w:p>
        </w:tc>
      </w:tr>
      <w:tr w14:paraId="21E1F644">
        <w:tblPrEx>
          <w:tblCellMar>
            <w:top w:w="0" w:type="dxa"/>
            <w:left w:w="0" w:type="dxa"/>
            <w:bottom w:w="0" w:type="dxa"/>
            <w:right w:w="0" w:type="dxa"/>
          </w:tblCellMar>
        </w:tblPrEx>
        <w:trPr>
          <w:trHeight w:val="23" w:hRule="atLeast"/>
          <w:jc w:val="center"/>
        </w:trPr>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210190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长葛市</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11CCAD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40</w:t>
            </w:r>
          </w:p>
        </w:tc>
        <w:tc>
          <w:tcPr>
            <w:tcW w:w="30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6B16F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市一中教育集团</w:t>
            </w:r>
          </w:p>
        </w:tc>
        <w:tc>
          <w:tcPr>
            <w:tcW w:w="20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AF99E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000000"/>
                <w:kern w:val="0"/>
                <w:sz w:val="24"/>
                <w:szCs w:val="24"/>
                <w:u w:val="none"/>
                <w:lang w:val="en-US" w:eastAsia="zh-CN" w:bidi="ar"/>
              </w:rPr>
              <w:t>6</w:t>
            </w:r>
            <w:r>
              <w:rPr>
                <w:rFonts w:hint="eastAsia" w:ascii="仿宋_GB2312" w:hAnsi="仿宋_GB2312" w:eastAsia="仿宋_GB2312" w:cs="仿宋_GB2312"/>
                <w:i w:val="0"/>
                <w:color w:val="auto"/>
                <w:kern w:val="0"/>
                <w:sz w:val="24"/>
                <w:szCs w:val="24"/>
                <w:u w:val="none"/>
                <w:lang w:val="en-US" w:eastAsia="zh-CN" w:bidi="ar"/>
              </w:rPr>
              <w:t>（含三中）</w:t>
            </w:r>
          </w:p>
        </w:tc>
      </w:tr>
      <w:tr w14:paraId="6ACB7510">
        <w:tblPrEx>
          <w:tblCellMar>
            <w:top w:w="0" w:type="dxa"/>
            <w:left w:w="0" w:type="dxa"/>
            <w:bottom w:w="0" w:type="dxa"/>
            <w:right w:w="0" w:type="dxa"/>
          </w:tblCellMar>
        </w:tblPrEx>
        <w:trPr>
          <w:trHeight w:val="23" w:hRule="atLeast"/>
          <w:jc w:val="center"/>
        </w:trPr>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31C7AA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襄城县</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76DA0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40</w:t>
            </w:r>
          </w:p>
        </w:tc>
        <w:tc>
          <w:tcPr>
            <w:tcW w:w="30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4CF378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市二中教育集团</w:t>
            </w:r>
          </w:p>
        </w:tc>
        <w:tc>
          <w:tcPr>
            <w:tcW w:w="20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23A71E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6（含九中）</w:t>
            </w:r>
          </w:p>
        </w:tc>
      </w:tr>
      <w:tr w14:paraId="072DA713">
        <w:tblPrEx>
          <w:tblCellMar>
            <w:top w:w="0" w:type="dxa"/>
            <w:left w:w="0" w:type="dxa"/>
            <w:bottom w:w="0" w:type="dxa"/>
            <w:right w:w="0" w:type="dxa"/>
          </w:tblCellMar>
        </w:tblPrEx>
        <w:trPr>
          <w:trHeight w:val="23" w:hRule="atLeast"/>
          <w:jc w:val="center"/>
        </w:trPr>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41775C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鄢陵县</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0F7C5E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35</w:t>
            </w:r>
          </w:p>
        </w:tc>
        <w:tc>
          <w:tcPr>
            <w:tcW w:w="30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F394D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市十二中</w:t>
            </w:r>
          </w:p>
        </w:tc>
        <w:tc>
          <w:tcPr>
            <w:tcW w:w="20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C160B5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5</w:t>
            </w:r>
          </w:p>
        </w:tc>
      </w:tr>
      <w:tr w14:paraId="57688808">
        <w:tblPrEx>
          <w:tblCellMar>
            <w:top w:w="0" w:type="dxa"/>
            <w:left w:w="0" w:type="dxa"/>
            <w:bottom w:w="0" w:type="dxa"/>
            <w:right w:w="0" w:type="dxa"/>
          </w:tblCellMar>
        </w:tblPrEx>
        <w:trPr>
          <w:trHeight w:val="23" w:hRule="atLeast"/>
          <w:jc w:val="center"/>
        </w:trPr>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7C6751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建安区</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E51D5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35</w:t>
            </w:r>
          </w:p>
        </w:tc>
        <w:tc>
          <w:tcPr>
            <w:tcW w:w="30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99F2E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市六中</w:t>
            </w:r>
          </w:p>
        </w:tc>
        <w:tc>
          <w:tcPr>
            <w:tcW w:w="20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EB63B7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4</w:t>
            </w:r>
          </w:p>
        </w:tc>
      </w:tr>
      <w:tr w14:paraId="7D20989F">
        <w:tblPrEx>
          <w:tblCellMar>
            <w:top w:w="0" w:type="dxa"/>
            <w:left w:w="0" w:type="dxa"/>
            <w:bottom w:w="0" w:type="dxa"/>
            <w:right w:w="0" w:type="dxa"/>
          </w:tblCellMar>
        </w:tblPrEx>
        <w:trPr>
          <w:trHeight w:val="23" w:hRule="atLeast"/>
          <w:jc w:val="center"/>
        </w:trPr>
        <w:tc>
          <w:tcPr>
            <w:tcW w:w="172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8C5EE5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魏都区</w:t>
            </w:r>
          </w:p>
        </w:tc>
        <w:tc>
          <w:tcPr>
            <w:tcW w:w="151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313DD9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sz w:val="24"/>
                <w:szCs w:val="24"/>
                <w:u w:val="none"/>
                <w:lang w:val="en-US"/>
              </w:rPr>
            </w:pPr>
            <w:r>
              <w:rPr>
                <w:rFonts w:hint="eastAsia" w:ascii="仿宋_GB2312" w:hAnsi="仿宋_GB2312" w:eastAsia="仿宋_GB2312" w:cs="仿宋_GB2312"/>
                <w:i w:val="0"/>
                <w:color w:val="auto"/>
                <w:kern w:val="0"/>
                <w:sz w:val="24"/>
                <w:szCs w:val="24"/>
                <w:u w:val="none"/>
                <w:lang w:val="en-US" w:eastAsia="zh-CN" w:bidi="ar"/>
              </w:rPr>
              <w:t>30</w:t>
            </w:r>
          </w:p>
        </w:tc>
        <w:tc>
          <w:tcPr>
            <w:tcW w:w="307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39591E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2"/>
                <w:sz w:val="24"/>
                <w:szCs w:val="24"/>
                <w:u w:val="none"/>
                <w:lang w:val="en-US" w:eastAsia="zh-CN" w:bidi="ar-SA"/>
              </w:rPr>
              <w:t>市一中隆昌路校区</w:t>
            </w:r>
          </w:p>
        </w:tc>
        <w:tc>
          <w:tcPr>
            <w:tcW w:w="207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420C46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2"/>
                <w:sz w:val="24"/>
                <w:szCs w:val="24"/>
                <w:u w:val="none"/>
                <w:lang w:val="en-US" w:eastAsia="zh-CN" w:bidi="ar-SA"/>
              </w:rPr>
              <w:t>2</w:t>
            </w:r>
          </w:p>
        </w:tc>
      </w:tr>
      <w:tr w14:paraId="5FC4938C">
        <w:tblPrEx>
          <w:tblCellMar>
            <w:top w:w="0" w:type="dxa"/>
            <w:left w:w="0" w:type="dxa"/>
            <w:bottom w:w="0" w:type="dxa"/>
            <w:right w:w="0" w:type="dxa"/>
          </w:tblCellMar>
        </w:tblPrEx>
        <w:trPr>
          <w:trHeight w:val="23" w:hRule="atLeast"/>
          <w:jc w:val="center"/>
        </w:trPr>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ABEA75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东城区</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B7337C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30</w:t>
            </w:r>
          </w:p>
        </w:tc>
        <w:tc>
          <w:tcPr>
            <w:tcW w:w="307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15BA55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2"/>
                <w:sz w:val="24"/>
                <w:szCs w:val="24"/>
                <w:u w:val="none"/>
                <w:lang w:val="en-US" w:eastAsia="zh-CN" w:bidi="ar-SA"/>
              </w:rPr>
              <w:t>贯通班</w:t>
            </w:r>
          </w:p>
        </w:tc>
        <w:tc>
          <w:tcPr>
            <w:tcW w:w="207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F2C88E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2"/>
                <w:sz w:val="24"/>
                <w:szCs w:val="24"/>
                <w:u w:val="none"/>
                <w:lang w:val="en-US" w:eastAsia="zh-CN" w:bidi="ar-SA"/>
              </w:rPr>
              <w:t>2</w:t>
            </w:r>
          </w:p>
        </w:tc>
      </w:tr>
      <w:tr w14:paraId="2E5FFF10">
        <w:tblPrEx>
          <w:tblCellMar>
            <w:top w:w="0" w:type="dxa"/>
            <w:left w:w="0" w:type="dxa"/>
            <w:bottom w:w="0" w:type="dxa"/>
            <w:right w:w="0" w:type="dxa"/>
          </w:tblCellMar>
        </w:tblPrEx>
        <w:trPr>
          <w:trHeight w:val="23" w:hRule="atLeast"/>
          <w:jc w:val="center"/>
        </w:trPr>
        <w:tc>
          <w:tcPr>
            <w:tcW w:w="172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A14871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sz w:val="24"/>
                <w:szCs w:val="24"/>
                <w:u w:val="none"/>
                <w:lang w:eastAsia="zh-CN"/>
              </w:rPr>
            </w:pPr>
            <w:r>
              <w:rPr>
                <w:rFonts w:hint="eastAsia" w:ascii="仿宋_GB2312" w:hAnsi="仿宋_GB2312" w:eastAsia="仿宋_GB2312" w:cs="仿宋_GB2312"/>
                <w:i w:val="0"/>
                <w:color w:val="auto"/>
                <w:sz w:val="24"/>
                <w:szCs w:val="24"/>
                <w:u w:val="none"/>
                <w:lang w:eastAsia="zh-CN"/>
              </w:rPr>
              <w:t>开发区</w:t>
            </w:r>
          </w:p>
        </w:tc>
        <w:tc>
          <w:tcPr>
            <w:tcW w:w="151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1D823E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sz w:val="24"/>
                <w:szCs w:val="24"/>
                <w:u w:val="none"/>
                <w:lang w:val="en-US" w:eastAsia="zh-CN"/>
              </w:rPr>
            </w:pPr>
            <w:r>
              <w:rPr>
                <w:rFonts w:hint="eastAsia" w:ascii="仿宋_GB2312" w:hAnsi="仿宋_GB2312" w:eastAsia="仿宋_GB2312" w:cs="仿宋_GB2312"/>
                <w:i w:val="0"/>
                <w:color w:val="auto"/>
                <w:sz w:val="24"/>
                <w:szCs w:val="24"/>
                <w:u w:val="none"/>
                <w:lang w:val="en-US" w:eastAsia="zh-CN"/>
              </w:rPr>
              <w:t>10</w:t>
            </w:r>
          </w:p>
        </w:tc>
        <w:tc>
          <w:tcPr>
            <w:tcW w:w="30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A8BF0D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实验小学教育集团</w:t>
            </w:r>
          </w:p>
        </w:tc>
        <w:tc>
          <w:tcPr>
            <w:tcW w:w="20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70D36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6</w:t>
            </w:r>
          </w:p>
        </w:tc>
      </w:tr>
      <w:tr w14:paraId="200C1995">
        <w:tblPrEx>
          <w:tblCellMar>
            <w:top w:w="0" w:type="dxa"/>
            <w:left w:w="0" w:type="dxa"/>
            <w:bottom w:w="0" w:type="dxa"/>
            <w:right w:w="0" w:type="dxa"/>
          </w:tblCellMar>
        </w:tblPrEx>
        <w:trPr>
          <w:trHeight w:val="23" w:hRule="atLeast"/>
          <w:jc w:val="center"/>
        </w:trPr>
        <w:tc>
          <w:tcPr>
            <w:tcW w:w="172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B67231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示范区</w:t>
            </w:r>
          </w:p>
        </w:tc>
        <w:tc>
          <w:tcPr>
            <w:tcW w:w="151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3D5DE8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sz w:val="24"/>
                <w:szCs w:val="24"/>
                <w:u w:val="none"/>
                <w:lang w:val="en-US"/>
              </w:rPr>
            </w:pPr>
            <w:r>
              <w:rPr>
                <w:rFonts w:hint="eastAsia" w:ascii="仿宋_GB2312" w:hAnsi="仿宋_GB2312" w:eastAsia="仿宋_GB2312" w:cs="仿宋_GB2312"/>
                <w:i w:val="0"/>
                <w:color w:val="auto"/>
                <w:kern w:val="0"/>
                <w:sz w:val="24"/>
                <w:szCs w:val="24"/>
                <w:u w:val="none"/>
                <w:lang w:val="en-US" w:eastAsia="zh-CN" w:bidi="ar"/>
              </w:rPr>
              <w:t>10</w:t>
            </w:r>
          </w:p>
        </w:tc>
        <w:tc>
          <w:tcPr>
            <w:tcW w:w="30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EA345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毓秀路小学教育集团</w:t>
            </w:r>
          </w:p>
        </w:tc>
        <w:tc>
          <w:tcPr>
            <w:tcW w:w="20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76339C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6</w:t>
            </w:r>
          </w:p>
        </w:tc>
      </w:tr>
      <w:tr w14:paraId="1C924166">
        <w:tblPrEx>
          <w:tblCellMar>
            <w:top w:w="0" w:type="dxa"/>
            <w:left w:w="0" w:type="dxa"/>
            <w:bottom w:w="0" w:type="dxa"/>
            <w:right w:w="0" w:type="dxa"/>
          </w:tblCellMar>
        </w:tblPrEx>
        <w:trPr>
          <w:trHeight w:val="23" w:hRule="atLeast"/>
          <w:jc w:val="center"/>
        </w:trPr>
        <w:tc>
          <w:tcPr>
            <w:tcW w:w="172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544F16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许昌高中</w:t>
            </w:r>
          </w:p>
        </w:tc>
        <w:tc>
          <w:tcPr>
            <w:tcW w:w="151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2FFC18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6</w:t>
            </w:r>
          </w:p>
        </w:tc>
        <w:tc>
          <w:tcPr>
            <w:tcW w:w="30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BC24D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实验幼儿园</w:t>
            </w:r>
          </w:p>
        </w:tc>
        <w:tc>
          <w:tcPr>
            <w:tcW w:w="20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CE5F7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2</w:t>
            </w:r>
          </w:p>
        </w:tc>
      </w:tr>
      <w:tr w14:paraId="2F1E8611">
        <w:tblPrEx>
          <w:tblCellMar>
            <w:top w:w="0" w:type="dxa"/>
            <w:left w:w="0" w:type="dxa"/>
            <w:bottom w:w="0" w:type="dxa"/>
            <w:right w:w="0" w:type="dxa"/>
          </w:tblCellMar>
        </w:tblPrEx>
        <w:trPr>
          <w:trHeight w:val="23" w:hRule="atLeast"/>
          <w:jc w:val="center"/>
        </w:trPr>
        <w:tc>
          <w:tcPr>
            <w:tcW w:w="172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7C0979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市二高</w:t>
            </w:r>
          </w:p>
        </w:tc>
        <w:tc>
          <w:tcPr>
            <w:tcW w:w="151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BA80EE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5</w:t>
            </w:r>
          </w:p>
        </w:tc>
        <w:tc>
          <w:tcPr>
            <w:tcW w:w="30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19294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二幼</w:t>
            </w:r>
          </w:p>
        </w:tc>
        <w:tc>
          <w:tcPr>
            <w:tcW w:w="20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DDD14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2</w:t>
            </w:r>
          </w:p>
        </w:tc>
      </w:tr>
      <w:tr w14:paraId="1E5E8B08">
        <w:tblPrEx>
          <w:tblCellMar>
            <w:top w:w="0" w:type="dxa"/>
            <w:left w:w="0" w:type="dxa"/>
            <w:bottom w:w="0" w:type="dxa"/>
            <w:right w:w="0" w:type="dxa"/>
          </w:tblCellMar>
        </w:tblPrEx>
        <w:trPr>
          <w:trHeight w:val="23" w:hRule="atLeast"/>
          <w:jc w:val="center"/>
        </w:trPr>
        <w:tc>
          <w:tcPr>
            <w:tcW w:w="172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875EC5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市三高</w:t>
            </w:r>
          </w:p>
        </w:tc>
        <w:tc>
          <w:tcPr>
            <w:tcW w:w="151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A28D6C8">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5</w:t>
            </w:r>
          </w:p>
        </w:tc>
        <w:tc>
          <w:tcPr>
            <w:tcW w:w="30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3830F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政幼</w:t>
            </w:r>
          </w:p>
        </w:tc>
        <w:tc>
          <w:tcPr>
            <w:tcW w:w="207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AEEFC4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2</w:t>
            </w:r>
          </w:p>
        </w:tc>
      </w:tr>
      <w:tr w14:paraId="38DDDE0F">
        <w:tblPrEx>
          <w:tblCellMar>
            <w:top w:w="0" w:type="dxa"/>
            <w:left w:w="0" w:type="dxa"/>
            <w:bottom w:w="0" w:type="dxa"/>
            <w:right w:w="0" w:type="dxa"/>
          </w:tblCellMar>
        </w:tblPrEx>
        <w:trPr>
          <w:trHeight w:val="23" w:hRule="atLeast"/>
          <w:jc w:val="center"/>
        </w:trPr>
        <w:tc>
          <w:tcPr>
            <w:tcW w:w="172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72F20C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市五高</w:t>
            </w:r>
          </w:p>
        </w:tc>
        <w:tc>
          <w:tcPr>
            <w:tcW w:w="1515"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B6D9E3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2</w:t>
            </w:r>
          </w:p>
        </w:tc>
        <w:tc>
          <w:tcPr>
            <w:tcW w:w="3079" w:type="dxa"/>
            <w:tcBorders>
              <w:top w:val="single" w:color="000000" w:sz="4" w:space="0"/>
              <w:left w:val="single" w:color="000000" w:sz="4" w:space="0"/>
              <w:bottom w:val="single" w:color="000000" w:sz="4" w:space="0"/>
              <w:right w:val="single" w:color="auto" w:sz="4" w:space="0"/>
            </w:tcBorders>
            <w:shd w:val="clear" w:color="auto" w:fill="auto"/>
            <w:noWrap/>
            <w:tcMar>
              <w:top w:w="10" w:type="dxa"/>
              <w:left w:w="10" w:type="dxa"/>
              <w:right w:w="10" w:type="dxa"/>
            </w:tcMar>
            <w:vAlign w:val="center"/>
          </w:tcPr>
          <w:p w14:paraId="5FC5C71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特殊学校</w:t>
            </w:r>
          </w:p>
        </w:tc>
        <w:tc>
          <w:tcPr>
            <w:tcW w:w="2079" w:type="dxa"/>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14:paraId="6E1DC51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2</w:t>
            </w:r>
          </w:p>
        </w:tc>
      </w:tr>
      <w:tr w14:paraId="490AA667">
        <w:tblPrEx>
          <w:tblCellMar>
            <w:top w:w="0" w:type="dxa"/>
            <w:left w:w="0" w:type="dxa"/>
            <w:bottom w:w="0" w:type="dxa"/>
            <w:right w:w="0" w:type="dxa"/>
          </w:tblCellMar>
        </w:tblPrEx>
        <w:trPr>
          <w:trHeight w:val="23" w:hRule="atLeast"/>
          <w:jc w:val="center"/>
        </w:trPr>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80BD04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市八中</w:t>
            </w:r>
          </w:p>
        </w:tc>
        <w:tc>
          <w:tcPr>
            <w:tcW w:w="1515" w:type="dxa"/>
            <w:tcBorders>
              <w:top w:val="single" w:color="000000" w:sz="4" w:space="0"/>
              <w:left w:val="single" w:color="000000" w:sz="4" w:space="0"/>
              <w:bottom w:val="single" w:color="000000" w:sz="4" w:space="0"/>
              <w:right w:val="single" w:color="auto" w:sz="4" w:space="0"/>
            </w:tcBorders>
            <w:shd w:val="clear" w:color="auto" w:fill="auto"/>
            <w:noWrap/>
            <w:tcMar>
              <w:top w:w="10" w:type="dxa"/>
              <w:left w:w="10" w:type="dxa"/>
              <w:right w:w="10" w:type="dxa"/>
            </w:tcMar>
            <w:vAlign w:val="center"/>
          </w:tcPr>
          <w:p w14:paraId="7CA4E99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sz w:val="24"/>
                <w:szCs w:val="24"/>
                <w:u w:val="none"/>
                <w:lang w:val="en-US" w:eastAsia="zh-CN"/>
              </w:rPr>
              <w:t>2</w:t>
            </w:r>
          </w:p>
        </w:tc>
        <w:tc>
          <w:tcPr>
            <w:tcW w:w="3079" w:type="dxa"/>
            <w:tcBorders>
              <w:top w:val="single" w:color="000000" w:sz="4" w:space="0"/>
              <w:left w:val="single" w:color="auto" w:sz="4" w:space="0"/>
              <w:bottom w:val="single" w:color="000000" w:sz="4" w:space="0"/>
              <w:right w:val="single" w:color="auto" w:sz="4" w:space="0"/>
            </w:tcBorders>
            <w:shd w:val="clear" w:color="auto" w:fill="auto"/>
            <w:noWrap/>
            <w:tcMar>
              <w:top w:w="10" w:type="dxa"/>
              <w:left w:w="10" w:type="dxa"/>
              <w:right w:w="10" w:type="dxa"/>
            </w:tcMar>
            <w:vAlign w:val="center"/>
          </w:tcPr>
          <w:p w14:paraId="3ECE5A2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sz w:val="24"/>
                <w:szCs w:val="24"/>
                <w:u w:val="none"/>
                <w:lang w:val="en-US" w:eastAsia="zh-CN"/>
              </w:rPr>
            </w:pPr>
          </w:p>
        </w:tc>
        <w:tc>
          <w:tcPr>
            <w:tcW w:w="2079" w:type="dxa"/>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14:paraId="36AEE4E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color w:val="auto"/>
                <w:sz w:val="24"/>
                <w:szCs w:val="24"/>
                <w:u w:val="none"/>
                <w:lang w:val="en-US" w:eastAsia="zh-CN"/>
              </w:rPr>
            </w:pPr>
          </w:p>
        </w:tc>
      </w:tr>
      <w:tr w14:paraId="5A2A2055">
        <w:tblPrEx>
          <w:tblCellMar>
            <w:top w:w="0" w:type="dxa"/>
            <w:left w:w="0" w:type="dxa"/>
            <w:bottom w:w="0" w:type="dxa"/>
            <w:right w:w="0" w:type="dxa"/>
          </w:tblCellMar>
        </w:tblPrEx>
        <w:trPr>
          <w:trHeight w:val="23" w:hRule="atLeast"/>
          <w:jc w:val="center"/>
        </w:trPr>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F8C13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b/>
                <w:bCs/>
                <w:i w:val="0"/>
                <w:color w:val="auto"/>
                <w:kern w:val="0"/>
                <w:sz w:val="24"/>
                <w:szCs w:val="24"/>
                <w:u w:val="none"/>
                <w:lang w:val="en-US" w:eastAsia="zh-CN" w:bidi="ar"/>
              </w:rPr>
            </w:pPr>
            <w:r>
              <w:rPr>
                <w:rFonts w:hint="eastAsia" w:ascii="仿宋_GB2312" w:hAnsi="仿宋_GB2312" w:eastAsia="仿宋_GB2312" w:cs="仿宋_GB2312"/>
                <w:b/>
                <w:bCs/>
                <w:i w:val="0"/>
                <w:color w:val="auto"/>
                <w:kern w:val="0"/>
                <w:sz w:val="24"/>
                <w:szCs w:val="24"/>
                <w:u w:val="none"/>
                <w:lang w:val="en-US" w:eastAsia="zh-CN" w:bidi="ar"/>
              </w:rPr>
              <w:t>总计</w:t>
            </w:r>
          </w:p>
        </w:tc>
        <w:tc>
          <w:tcPr>
            <w:tcW w:w="667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CBE44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b/>
                <w:bCs/>
                <w:i w:val="0"/>
                <w:color w:val="auto"/>
                <w:kern w:val="0"/>
                <w:sz w:val="24"/>
                <w:szCs w:val="24"/>
                <w:u w:val="none"/>
                <w:lang w:val="en-US" w:eastAsia="zh-CN" w:bidi="ar"/>
              </w:rPr>
            </w:pPr>
            <w:r>
              <w:rPr>
                <w:rFonts w:hint="eastAsia" w:ascii="仿宋_GB2312" w:hAnsi="仿宋_GB2312" w:eastAsia="仿宋_GB2312" w:cs="仿宋_GB2312"/>
                <w:b/>
                <w:bCs/>
                <w:i w:val="0"/>
                <w:color w:val="auto"/>
                <w:kern w:val="0"/>
                <w:sz w:val="24"/>
                <w:szCs w:val="24"/>
                <w:u w:val="none"/>
                <w:lang w:val="en-US" w:eastAsia="zh-CN" w:bidi="ar"/>
              </w:rPr>
              <w:t>371人</w:t>
            </w:r>
          </w:p>
        </w:tc>
      </w:tr>
    </w:tbl>
    <w:p w14:paraId="08737CAE">
      <w:pPr>
        <w:rPr>
          <w:rFonts w:hint="eastAsia"/>
          <w:lang w:eastAsia="zh-CN"/>
        </w:rPr>
      </w:pPr>
    </w:p>
    <w:p w14:paraId="1318E083">
      <w:pPr>
        <w:ind w:firstLine="482" w:firstLineChars="200"/>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eastAsia="zh-CN"/>
        </w:rPr>
        <w:t>要求：各单位推荐的体音美教师总人数必须不低于单位推荐人数的</w:t>
      </w:r>
      <w:r>
        <w:rPr>
          <w:rFonts w:hint="eastAsia" w:ascii="仿宋_GB2312" w:hAnsi="仿宋_GB2312" w:eastAsia="仿宋_GB2312" w:cs="仿宋_GB2312"/>
          <w:b/>
          <w:bCs/>
          <w:sz w:val="24"/>
          <w:szCs w:val="24"/>
          <w:lang w:val="en-US" w:eastAsia="zh-CN"/>
        </w:rPr>
        <w:t>15%（按四舍五入计算）</w:t>
      </w:r>
    </w:p>
    <w:p w14:paraId="68E8F9D2">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br w:type="page"/>
      </w:r>
    </w:p>
    <w:p w14:paraId="31F9A73A">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w:t>
      </w:r>
    </w:p>
    <w:p w14:paraId="0209E121">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2024年许昌市青年教师基本功暨教坛新秀</w:t>
      </w:r>
    </w:p>
    <w:p w14:paraId="47F75442">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评选模拟上课课题目录</w:t>
      </w:r>
    </w:p>
    <w:p w14:paraId="7A504422">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44"/>
          <w:szCs w:val="44"/>
          <w:lang w:val="en-US" w:eastAsia="zh-CN"/>
        </w:rPr>
      </w:pPr>
    </w:p>
    <w:tbl>
      <w:tblPr>
        <w:tblStyle w:val="5"/>
        <w:tblW w:w="963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0"/>
        <w:gridCol w:w="783"/>
        <w:gridCol w:w="6888"/>
      </w:tblGrid>
      <w:tr w14:paraId="17C22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blHeader/>
          <w:jc w:val="center"/>
        </w:trPr>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1599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黑体" w:hAnsi="黑体" w:eastAsia="黑体" w:cs="黑体"/>
                <w:i w:val="0"/>
                <w:color w:val="auto"/>
                <w:kern w:val="0"/>
                <w:sz w:val="28"/>
                <w:szCs w:val="28"/>
                <w:u w:val="none"/>
                <w:lang w:val="en-US" w:eastAsia="zh-CN" w:bidi="ar"/>
              </w:rPr>
            </w:pPr>
            <w:r>
              <w:rPr>
                <w:rFonts w:hint="eastAsia" w:ascii="黑体" w:hAnsi="黑体" w:eastAsia="黑体" w:cs="黑体"/>
                <w:i w:val="0"/>
                <w:color w:val="auto"/>
                <w:kern w:val="0"/>
                <w:sz w:val="28"/>
                <w:szCs w:val="28"/>
                <w:u w:val="none"/>
                <w:lang w:val="en-US" w:eastAsia="zh-CN" w:bidi="ar"/>
              </w:rPr>
              <w:t>学段学科</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7E87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黑体" w:hAnsi="黑体" w:eastAsia="黑体" w:cs="黑体"/>
                <w:i w:val="0"/>
                <w:color w:val="auto"/>
                <w:kern w:val="0"/>
                <w:sz w:val="28"/>
                <w:szCs w:val="28"/>
                <w:u w:val="none"/>
                <w:lang w:val="en-US" w:eastAsia="zh-CN" w:bidi="ar"/>
              </w:rPr>
            </w:pPr>
            <w:r>
              <w:rPr>
                <w:rFonts w:hint="eastAsia" w:ascii="黑体" w:hAnsi="黑体" w:eastAsia="黑体" w:cs="黑体"/>
                <w:i w:val="0"/>
                <w:color w:val="auto"/>
                <w:kern w:val="0"/>
                <w:sz w:val="28"/>
                <w:szCs w:val="28"/>
                <w:u w:val="none"/>
                <w:lang w:val="en-US" w:eastAsia="zh-CN" w:bidi="ar"/>
              </w:rPr>
              <w:t>序号</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3BF2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黑体" w:hAnsi="黑体" w:eastAsia="黑体" w:cs="黑体"/>
                <w:i w:val="0"/>
                <w:color w:val="auto"/>
                <w:kern w:val="0"/>
                <w:sz w:val="28"/>
                <w:szCs w:val="28"/>
                <w:u w:val="none"/>
                <w:lang w:val="en-US" w:eastAsia="zh-CN" w:bidi="ar"/>
              </w:rPr>
            </w:pPr>
            <w:r>
              <w:rPr>
                <w:rFonts w:hint="eastAsia" w:ascii="黑体" w:hAnsi="黑体" w:eastAsia="黑体" w:cs="黑体"/>
                <w:i w:val="0"/>
                <w:color w:val="auto"/>
                <w:kern w:val="0"/>
                <w:sz w:val="28"/>
                <w:szCs w:val="28"/>
                <w:u w:val="none"/>
                <w:lang w:val="en-US" w:eastAsia="zh-CN" w:bidi="ar"/>
              </w:rPr>
              <w:t>参评课题</w:t>
            </w:r>
          </w:p>
        </w:tc>
      </w:tr>
      <w:tr w14:paraId="7C01F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3BA9D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高中语文</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B53C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DC28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必修上 第8课《登高》</w:t>
            </w:r>
          </w:p>
        </w:tc>
      </w:tr>
      <w:tr w14:paraId="67A18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3386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0000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7056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必修上 第15课《我与地坛》</w:t>
            </w:r>
          </w:p>
        </w:tc>
      </w:tr>
      <w:tr w14:paraId="6C12F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8916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E928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1589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必修下 第12课《祝福》</w:t>
            </w:r>
          </w:p>
        </w:tc>
      </w:tr>
      <w:tr w14:paraId="7D546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BFE83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高中数学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7F81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1691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必修一《对数》</w:t>
            </w:r>
          </w:p>
        </w:tc>
      </w:tr>
      <w:tr w14:paraId="337E3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D497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9AC2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B89F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选择性必修二《等比数列的概念》</w:t>
            </w:r>
          </w:p>
        </w:tc>
      </w:tr>
      <w:tr w14:paraId="6FFDE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38F0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386D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68A6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必修二《空间直线、平面的平行》</w:t>
            </w:r>
          </w:p>
        </w:tc>
      </w:tr>
      <w:tr w14:paraId="7D15D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1D1A4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高中英语</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0EF1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3DD0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必修三 Unit7 Lesson1 Reading Masterpieces</w:t>
            </w:r>
          </w:p>
        </w:tc>
      </w:tr>
      <w:tr w14:paraId="356D5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E1BD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CFD2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27F5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必修三 Unit 8 Writing A Survey Report</w:t>
            </w:r>
          </w:p>
        </w:tc>
      </w:tr>
      <w:tr w14:paraId="67A83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9A60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1A52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D47C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必修三 Unit 9 Lesson 3 Reading The Secret of Your Memory</w:t>
            </w:r>
          </w:p>
        </w:tc>
      </w:tr>
      <w:tr w14:paraId="16123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6B3F3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高中物理</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7DC0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4D79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力的合成与分解</w:t>
            </w:r>
          </w:p>
        </w:tc>
      </w:tr>
      <w:tr w14:paraId="768A2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FC85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CA1C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8999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 xml:space="preserve">磁感应强度 </w:t>
            </w:r>
          </w:p>
        </w:tc>
      </w:tr>
      <w:tr w14:paraId="56103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7DBA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59A0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D8E1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向心加速度</w:t>
            </w:r>
          </w:p>
        </w:tc>
      </w:tr>
      <w:tr w14:paraId="26873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B9F81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高中化学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A556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D8AC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选择性必修一《钠及其化合物》</w:t>
            </w:r>
          </w:p>
        </w:tc>
      </w:tr>
      <w:tr w14:paraId="51948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424E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AE3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F6C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选择性必修一《化学键》</w:t>
            </w:r>
          </w:p>
        </w:tc>
      </w:tr>
      <w:tr w14:paraId="7A52A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B19C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2A2B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07E3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选择性必修二《认识有机化合物》</w:t>
            </w:r>
          </w:p>
        </w:tc>
      </w:tr>
      <w:tr w14:paraId="7F301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57158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高中历史</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011E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95DF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纲要上《隋唐制度的变化与创新》</w:t>
            </w:r>
          </w:p>
        </w:tc>
      </w:tr>
      <w:tr w14:paraId="55013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DE15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22E7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5CA9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纲要上《清朝前中期的鼎盛与危机》</w:t>
            </w:r>
          </w:p>
        </w:tc>
      </w:tr>
      <w:tr w14:paraId="7A099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3D6E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007A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78DC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纲要下《马克思主义的诞生与传播》</w:t>
            </w:r>
          </w:p>
        </w:tc>
      </w:tr>
      <w:tr w14:paraId="1D61D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C8C4F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高中思想政治</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F2DD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0F0A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必修二《贯彻新发展理念》</w:t>
            </w:r>
          </w:p>
        </w:tc>
      </w:tr>
      <w:tr w14:paraId="08B1E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CAB1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BE25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C42C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必修三《法治政府》</w:t>
            </w:r>
          </w:p>
        </w:tc>
      </w:tr>
      <w:tr w14:paraId="42FC3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9B3A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5263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D7D4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必修四《价值判断与价值选择》</w:t>
            </w:r>
          </w:p>
        </w:tc>
      </w:tr>
      <w:tr w14:paraId="27E43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2CA24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高中地理</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9B1F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2D68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必修一2.2大气受热过程和大气运动</w:t>
            </w:r>
          </w:p>
        </w:tc>
      </w:tr>
      <w:tr w14:paraId="23CD7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78BC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5141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B4B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必修一3.3海水的运动</w:t>
            </w:r>
          </w:p>
        </w:tc>
      </w:tr>
      <w:tr w14:paraId="1B9C7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DE8FC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410C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205B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必修二城镇化</w:t>
            </w:r>
          </w:p>
        </w:tc>
      </w:tr>
      <w:tr w14:paraId="38E02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A0731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高中生物</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A811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9251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细胞核的结构</w:t>
            </w:r>
          </w:p>
        </w:tc>
      </w:tr>
      <w:tr w14:paraId="4376C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DCA7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025D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0294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基因在染色体上的实验证据</w:t>
            </w:r>
          </w:p>
        </w:tc>
      </w:tr>
      <w:tr w14:paraId="71F91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C681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1747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E18F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基因重组</w:t>
            </w:r>
          </w:p>
        </w:tc>
      </w:tr>
      <w:tr w14:paraId="4E4C5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E5DC3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高中信息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E8D3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393F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必修1 项目五 描述洗衣机的洗衣流程</w:t>
            </w:r>
          </w:p>
        </w:tc>
      </w:tr>
      <w:tr w14:paraId="00B29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284E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AA13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0D3B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必修1 项目七 设计算法实现用数学公式计算</w:t>
            </w:r>
          </w:p>
        </w:tc>
      </w:tr>
      <w:tr w14:paraId="5E1C1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A1DE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3F61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EC3A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必修2 项目六 配置并测试数字家庭系统网络</w:t>
            </w:r>
          </w:p>
        </w:tc>
      </w:tr>
      <w:tr w14:paraId="58033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28EC4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高中心理健康</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FD87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9ED7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北师大版教材高一全一册第7课《情绪调色板》</w:t>
            </w:r>
          </w:p>
        </w:tc>
      </w:tr>
      <w:tr w14:paraId="6FCB3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8120F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7C9A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9A15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北师大版教材高二全一册第20课《我的未来我做主》</w:t>
            </w:r>
          </w:p>
        </w:tc>
      </w:tr>
      <w:tr w14:paraId="08625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49A7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D852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3BC6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北师大版教材高三全一册第5课《时间管理 忙而不盲》</w:t>
            </w:r>
          </w:p>
        </w:tc>
      </w:tr>
      <w:tr w14:paraId="1F81B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73B70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初中语文</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4F3D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5D0A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教读课《往事依依》</w:t>
            </w:r>
          </w:p>
        </w:tc>
      </w:tr>
      <w:tr w14:paraId="6A3AA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D33F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B8A7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591C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写作课《学会记事》</w:t>
            </w:r>
          </w:p>
        </w:tc>
      </w:tr>
      <w:tr w14:paraId="07C90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97AB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1C19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A8B4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整本书阅读《西游记》</w:t>
            </w:r>
          </w:p>
        </w:tc>
      </w:tr>
      <w:tr w14:paraId="1A8EC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AB378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初中数学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FE76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D521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七上2.2.1有理数的乘法（第1课时）</w:t>
            </w:r>
          </w:p>
        </w:tc>
      </w:tr>
      <w:tr w14:paraId="4DD16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0135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1C25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1457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八上11.2.1三角形的内角(第1课时)</w:t>
            </w:r>
          </w:p>
        </w:tc>
      </w:tr>
      <w:tr w14:paraId="1B198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A6C4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EF94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E442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九上23.1图形的旋转(第1课时)</w:t>
            </w:r>
          </w:p>
        </w:tc>
      </w:tr>
      <w:tr w14:paraId="58752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60CCD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初中英语</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B87F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A5AE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Language learning</w:t>
            </w:r>
          </w:p>
        </w:tc>
      </w:tr>
      <w:tr w14:paraId="41072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F3EC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599B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47CE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Arts</w:t>
            </w:r>
          </w:p>
        </w:tc>
      </w:tr>
      <w:tr w14:paraId="3AF1A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6B28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68BA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B455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Environmental protection</w:t>
            </w:r>
          </w:p>
        </w:tc>
      </w:tr>
      <w:tr w14:paraId="3B560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50370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初中物理</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E8B4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6509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凸透镜成像规律</w:t>
            </w:r>
          </w:p>
        </w:tc>
      </w:tr>
      <w:tr w14:paraId="58877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CE88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6929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E828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压强</w:t>
            </w:r>
          </w:p>
        </w:tc>
      </w:tr>
      <w:tr w14:paraId="766EF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E91D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AE00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F3F5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比热容</w:t>
            </w:r>
          </w:p>
        </w:tc>
      </w:tr>
      <w:tr w14:paraId="51EEC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71392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初中化学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6A6B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8684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化学方程式</w:t>
            </w:r>
          </w:p>
        </w:tc>
      </w:tr>
      <w:tr w14:paraId="14A01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0E639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1605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BC92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二氧化碳的实验室制取</w:t>
            </w:r>
          </w:p>
        </w:tc>
      </w:tr>
      <w:tr w14:paraId="180F7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3FB4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5531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3710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 xml:space="preserve">中和反应 </w:t>
            </w:r>
          </w:p>
        </w:tc>
      </w:tr>
      <w:tr w14:paraId="7CC0F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411E2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初中道法</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7592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D646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七上4.2《让家更美好》</w:t>
            </w:r>
          </w:p>
        </w:tc>
      </w:tr>
      <w:tr w14:paraId="538D5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F456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CDC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BE9D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八上1.1《在社会中成长》</w:t>
            </w:r>
          </w:p>
        </w:tc>
      </w:tr>
      <w:tr w14:paraId="1E19D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41E8E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C552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F8A8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八下8.2《公平正义的守护》</w:t>
            </w:r>
          </w:p>
        </w:tc>
      </w:tr>
      <w:tr w14:paraId="7ECA3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CCCB8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初中历史</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502C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11E1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七上 第3课 中华文明的起源</w:t>
            </w:r>
          </w:p>
        </w:tc>
      </w:tr>
      <w:tr w14:paraId="52DF2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71B3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C9EF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BCA2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八上 第4课 洋务运动和边疆危机</w:t>
            </w:r>
          </w:p>
        </w:tc>
      </w:tr>
      <w:tr w14:paraId="65AC0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BFAE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40BB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A952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九上 第14课 文艺复兴运动</w:t>
            </w:r>
          </w:p>
        </w:tc>
      </w:tr>
      <w:tr w14:paraId="0CFFB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94D79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初中地理</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B777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37F3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七上《世界的气候》</w:t>
            </w:r>
          </w:p>
        </w:tc>
      </w:tr>
      <w:tr w14:paraId="0E197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DA02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051C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99CA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七下《日本》</w:t>
            </w:r>
          </w:p>
        </w:tc>
      </w:tr>
      <w:tr w14:paraId="32395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41C0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704E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71A0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八上《农业》</w:t>
            </w:r>
          </w:p>
        </w:tc>
      </w:tr>
      <w:tr w14:paraId="70B77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60728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初中生物</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FF10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B98B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八上 《细菌》</w:t>
            </w:r>
          </w:p>
        </w:tc>
      </w:tr>
      <w:tr w14:paraId="790B8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4E72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BAF0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53BB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七下《尿液的形成》</w:t>
            </w:r>
          </w:p>
        </w:tc>
      </w:tr>
      <w:tr w14:paraId="06580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F4D4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2B6C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8A34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七上《细胞通过分裂产生新细胞》</w:t>
            </w:r>
          </w:p>
        </w:tc>
      </w:tr>
      <w:tr w14:paraId="6666A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EE053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初中信息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83CA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C509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计算机中的数制</w:t>
            </w:r>
          </w:p>
        </w:tc>
      </w:tr>
      <w:tr w14:paraId="22E1A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4171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5E04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B075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输入输出语句</w:t>
            </w:r>
          </w:p>
        </w:tc>
      </w:tr>
      <w:tr w14:paraId="15C6B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EC9C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1BEC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5538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网络安全与信息社会责任</w:t>
            </w:r>
          </w:p>
        </w:tc>
      </w:tr>
      <w:tr w14:paraId="43215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6A585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初中心理健康</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2C72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EF31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北师大版教材七年级全一册第17课《萌动的青春情愫》</w:t>
            </w:r>
          </w:p>
        </w:tc>
      </w:tr>
      <w:tr w14:paraId="094AE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1AF5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B8F3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0273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北师大版教材八年级全一册第2课《唱响自信之歌》</w:t>
            </w:r>
          </w:p>
        </w:tc>
      </w:tr>
      <w:tr w14:paraId="48D1B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EC41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E2DC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27E5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北师大版教材九年级全一册第3课《做情绪的主人》</w:t>
            </w:r>
          </w:p>
        </w:tc>
      </w:tr>
      <w:tr w14:paraId="0E22E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00C19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小学语文</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2369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2617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二上第19课《古诗二首》</w:t>
            </w:r>
          </w:p>
        </w:tc>
      </w:tr>
      <w:tr w14:paraId="12596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DF32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4401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9570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四上第25课《王戎不取道旁李》</w:t>
            </w:r>
          </w:p>
        </w:tc>
      </w:tr>
      <w:tr w14:paraId="22F6D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7D8D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F1B8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9524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六上第5课《七律长征》</w:t>
            </w:r>
          </w:p>
        </w:tc>
      </w:tr>
      <w:tr w14:paraId="5AD83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FF572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小学数学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5830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C342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一上《10的再认识》</w:t>
            </w:r>
          </w:p>
        </w:tc>
      </w:tr>
      <w:tr w14:paraId="76AA1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2785E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804D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23A8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三上《认识周长》</w:t>
            </w:r>
          </w:p>
        </w:tc>
      </w:tr>
      <w:tr w14:paraId="6C24C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9748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08E8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3BC9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五上《可能性》（例1）</w:t>
            </w:r>
          </w:p>
        </w:tc>
      </w:tr>
      <w:tr w14:paraId="10393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9F9CF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小学英语</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4A4A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6E6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 xml:space="preserve"> Sports </w:t>
            </w:r>
          </w:p>
        </w:tc>
      </w:tr>
      <w:tr w14:paraId="01F3C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9A67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BB7F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B539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 xml:space="preserve"> Family</w:t>
            </w:r>
          </w:p>
        </w:tc>
      </w:tr>
      <w:tr w14:paraId="5B856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15698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C5C1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9CE5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Hobbies</w:t>
            </w:r>
          </w:p>
        </w:tc>
      </w:tr>
      <w:tr w14:paraId="20025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A1B8C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小学道德与法治</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156C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4408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一上《14.人人爱护公物》</w:t>
            </w:r>
          </w:p>
        </w:tc>
      </w:tr>
      <w:tr w14:paraId="1E57D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9AC73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5F79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F327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三上《10.父母多爱我》</w:t>
            </w:r>
          </w:p>
        </w:tc>
      </w:tr>
      <w:tr w14:paraId="5B9DE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AD28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5530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8411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五上《6.我们神圣的国土》</w:t>
            </w:r>
          </w:p>
        </w:tc>
      </w:tr>
      <w:tr w14:paraId="13886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76D49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小学科学</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60CD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CBC1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大象版二年级上册第三单元第三课《两极相遇了》</w:t>
            </w:r>
          </w:p>
        </w:tc>
      </w:tr>
      <w:tr w14:paraId="5D979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67BF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AF71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FDFD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大象版三年级下册第二单元第二课《点亮小灯泡》</w:t>
            </w:r>
          </w:p>
        </w:tc>
      </w:tr>
      <w:tr w14:paraId="6B437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BC9A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D9D5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B3BA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大象版四年级上册第四单元第三课《肺是怎样呼吸的》</w:t>
            </w:r>
          </w:p>
        </w:tc>
      </w:tr>
      <w:tr w14:paraId="2C294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98890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小学信息</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6986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C387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三年级上册 打开窗口找童趣</w:t>
            </w:r>
          </w:p>
        </w:tc>
      </w:tr>
      <w:tr w14:paraId="17CA7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5CD9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2223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4EB1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四年级上册 动感十足的“图书”</w:t>
            </w:r>
          </w:p>
        </w:tc>
      </w:tr>
      <w:tr w14:paraId="1BF87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C17F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F585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9569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五年级上册 守家小卫士（一）</w:t>
            </w:r>
          </w:p>
        </w:tc>
      </w:tr>
      <w:tr w14:paraId="0A7C5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83F98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小学心理健康</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804A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0252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大象版教材四年级全一册第3课《学会表达情绪》</w:t>
            </w:r>
          </w:p>
        </w:tc>
      </w:tr>
      <w:tr w14:paraId="39930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E309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BE4B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2</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0F9C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大象版教材五年级全一册第10课《化解冲突 收获友谊》</w:t>
            </w:r>
          </w:p>
        </w:tc>
      </w:tr>
      <w:tr w14:paraId="05F67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0574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4945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3</w:t>
            </w: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98D5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大象版教材六年级全一册第1课《突破自我》</w:t>
            </w:r>
          </w:p>
        </w:tc>
      </w:tr>
      <w:tr w14:paraId="3AA4F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4471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特殊教育</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3893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190A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从任教的学段，学科任选三节课，要求不同年级不同课型</w:t>
            </w:r>
          </w:p>
        </w:tc>
      </w:tr>
      <w:tr w14:paraId="4B3C5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9B64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幼儿教育</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3894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6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45CF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语言、健康（体育）、艺术（音乐）三个领域</w:t>
            </w:r>
            <w:r>
              <w:rPr>
                <w:rFonts w:hint="eastAsia" w:ascii="仿宋_GB2312" w:hAnsi="仿宋_GB2312" w:eastAsia="仿宋_GB2312" w:cs="仿宋_GB2312"/>
                <w:i w:val="0"/>
                <w:color w:val="auto"/>
                <w:kern w:val="0"/>
                <w:sz w:val="24"/>
                <w:szCs w:val="24"/>
                <w:u w:val="none"/>
                <w:lang w:val="en-US" w:eastAsia="zh-CN" w:bidi="ar"/>
              </w:rPr>
              <w:br w:type="textWrapping"/>
            </w:r>
            <w:r>
              <w:rPr>
                <w:rFonts w:hint="eastAsia" w:ascii="仿宋_GB2312" w:hAnsi="仿宋_GB2312" w:eastAsia="仿宋_GB2312" w:cs="仿宋_GB2312"/>
                <w:i w:val="0"/>
                <w:color w:val="auto"/>
                <w:kern w:val="0"/>
                <w:sz w:val="24"/>
                <w:szCs w:val="24"/>
                <w:u w:val="none"/>
                <w:lang w:val="en-US" w:eastAsia="zh-CN" w:bidi="ar"/>
              </w:rPr>
              <w:t>各准备一节课，级段不限</w:t>
            </w:r>
          </w:p>
        </w:tc>
      </w:tr>
    </w:tbl>
    <w:p w14:paraId="163F6D2E">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auto"/>
        <w:rPr>
          <w:rFonts w:hint="eastAsia" w:ascii="黑体" w:hAnsi="黑体" w:eastAsia="黑体" w:cs="黑体"/>
          <w:sz w:val="24"/>
          <w:szCs w:val="24"/>
          <w:lang w:val="en-US" w:eastAsia="zh-CN"/>
        </w:rPr>
      </w:pPr>
    </w:p>
    <w:p w14:paraId="306DE17B">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auto"/>
        <w:rPr>
          <w:rFonts w:hint="eastAsia" w:ascii="黑体" w:hAnsi="黑体" w:eastAsia="黑体" w:cs="黑体"/>
          <w:sz w:val="24"/>
          <w:szCs w:val="24"/>
          <w:lang w:val="en-US" w:eastAsia="zh-CN"/>
        </w:rPr>
      </w:pPr>
    </w:p>
    <w:p w14:paraId="3122ECD2">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auto"/>
        <w:rPr>
          <w:rFonts w:hint="eastAsia" w:ascii="黑体" w:hAnsi="黑体" w:eastAsia="黑体" w:cs="黑体"/>
          <w:sz w:val="24"/>
          <w:szCs w:val="24"/>
          <w:lang w:val="en-US" w:eastAsia="zh-CN"/>
        </w:rPr>
      </w:pPr>
    </w:p>
    <w:p w14:paraId="48E20D4C">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auto"/>
        <w:rPr>
          <w:rFonts w:hint="eastAsia" w:ascii="黑体" w:hAnsi="黑体" w:eastAsia="黑体" w:cs="黑体"/>
          <w:sz w:val="24"/>
          <w:szCs w:val="24"/>
          <w:lang w:val="en-US" w:eastAsia="zh-CN"/>
        </w:rPr>
      </w:pPr>
    </w:p>
    <w:p w14:paraId="0F450325">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auto"/>
        <w:rPr>
          <w:rFonts w:hint="eastAsia" w:ascii="黑体" w:hAnsi="黑体" w:eastAsia="黑体" w:cs="黑体"/>
          <w:sz w:val="24"/>
          <w:szCs w:val="24"/>
          <w:lang w:val="en-US" w:eastAsia="zh-CN"/>
        </w:rPr>
      </w:pPr>
    </w:p>
    <w:p w14:paraId="2A55E624">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auto"/>
        <w:rPr>
          <w:rFonts w:hint="eastAsia" w:ascii="黑体" w:hAnsi="黑体" w:eastAsia="黑体" w:cs="黑体"/>
          <w:sz w:val="24"/>
          <w:szCs w:val="24"/>
          <w:lang w:val="en-US" w:eastAsia="zh-CN"/>
        </w:rPr>
      </w:pPr>
    </w:p>
    <w:p w14:paraId="286CFA7E">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auto"/>
        <w:rPr>
          <w:rFonts w:hint="eastAsia" w:ascii="黑体" w:hAnsi="黑体" w:eastAsia="黑体" w:cs="黑体"/>
          <w:sz w:val="24"/>
          <w:szCs w:val="24"/>
          <w:lang w:val="en-US" w:eastAsia="zh-CN"/>
        </w:rPr>
      </w:pPr>
    </w:p>
    <w:p w14:paraId="005C55A5">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auto"/>
        <w:rPr>
          <w:rFonts w:hint="eastAsia" w:ascii="黑体" w:hAnsi="黑体" w:eastAsia="黑体" w:cs="黑体"/>
          <w:sz w:val="24"/>
          <w:szCs w:val="24"/>
          <w:lang w:val="en-US" w:eastAsia="zh-CN"/>
        </w:rPr>
      </w:pPr>
    </w:p>
    <w:p w14:paraId="22598B02">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auto"/>
        <w:rPr>
          <w:rFonts w:hint="eastAsia" w:ascii="黑体" w:hAnsi="黑体" w:eastAsia="黑体" w:cs="黑体"/>
          <w:sz w:val="24"/>
          <w:szCs w:val="24"/>
          <w:lang w:val="en-US" w:eastAsia="zh-CN"/>
        </w:rPr>
      </w:pPr>
    </w:p>
    <w:p w14:paraId="1DEB45AB">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auto"/>
        <w:rPr>
          <w:rFonts w:hint="eastAsia" w:ascii="黑体" w:hAnsi="黑体" w:eastAsia="黑体" w:cs="黑体"/>
          <w:sz w:val="24"/>
          <w:szCs w:val="24"/>
          <w:lang w:val="en-US" w:eastAsia="zh-CN"/>
        </w:rPr>
      </w:pPr>
    </w:p>
    <w:p w14:paraId="14485A32">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w:t>
      </w:r>
    </w:p>
    <w:p w14:paraId="60622268">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2024年许昌市青年教师基本功暨教坛新秀</w:t>
      </w:r>
    </w:p>
    <w:p w14:paraId="71F0DF94">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评选体育、音乐、美术增设专业基本功的考核内容及方式</w:t>
      </w:r>
    </w:p>
    <w:p w14:paraId="0ACAECAB">
      <w:pPr>
        <w:keepNext w:val="0"/>
        <w:keepLines w:val="0"/>
        <w:pageBreakBefore w:val="0"/>
        <w:widowControl w:val="0"/>
        <w:kinsoku/>
        <w:wordWrap/>
        <w:overflowPunct/>
        <w:topLinePunct w:val="0"/>
        <w:autoSpaceDE/>
        <w:autoSpaceDN/>
        <w:bidi w:val="0"/>
        <w:adjustRightInd/>
        <w:snapToGrid/>
        <w:spacing w:line="500" w:lineRule="exact"/>
        <w:ind w:firstLine="880" w:firstLineChars="200"/>
        <w:jc w:val="center"/>
        <w:textAlignment w:val="auto"/>
        <w:rPr>
          <w:rFonts w:hint="eastAsia" w:ascii="方正大标宋简体" w:hAnsi="方正大标宋简体" w:eastAsia="方正大标宋简体" w:cs="方正大标宋简体"/>
          <w:b w:val="0"/>
          <w:bCs w:val="0"/>
          <w:sz w:val="44"/>
          <w:szCs w:val="44"/>
          <w:vertAlign w:val="baseline"/>
          <w:lang w:val="en-US" w:eastAsia="zh-CN"/>
        </w:rPr>
      </w:pPr>
    </w:p>
    <w:p w14:paraId="0C7D9DC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中小学体育与健康学科</w:t>
      </w:r>
    </w:p>
    <w:p w14:paraId="0A3CB4D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kern w:val="2"/>
          <w:sz w:val="32"/>
          <w:szCs w:val="32"/>
          <w:lang w:val="en-US" w:eastAsia="zh-CN" w:bidi="ar-SA"/>
        </w:rPr>
        <w:t>一、</w:t>
      </w:r>
      <w:r>
        <w:rPr>
          <w:rFonts w:hint="eastAsia" w:ascii="黑体" w:hAnsi="黑体" w:eastAsia="黑体" w:cs="黑体"/>
          <w:color w:val="auto"/>
          <w:sz w:val="32"/>
          <w:szCs w:val="32"/>
          <w:lang w:val="en-US" w:eastAsia="zh-CN"/>
        </w:rPr>
        <w:t>现场教学设计（30分）</w:t>
      </w:r>
    </w:p>
    <w:p w14:paraId="370CD17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参赛教师自带教材（根据所在学段带每个年级的上册教材）进入考场，在规定的时间内，按照现场指定课题在给定的答卷上撰写教学设计（60分钟）。</w:t>
      </w:r>
    </w:p>
    <w:p w14:paraId="6A35095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二、现场模拟上课（30分）</w:t>
      </w:r>
    </w:p>
    <w:p w14:paraId="5AC06ED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黑体" w:hAnsi="黑体" w:eastAsia="黑体" w:cs="黑体"/>
          <w:sz w:val="28"/>
          <w:szCs w:val="28"/>
          <w:lang w:val="en-US" w:eastAsia="zh-CN"/>
        </w:rPr>
      </w:pPr>
      <w:r>
        <w:rPr>
          <w:rFonts w:hint="eastAsia" w:ascii="仿宋_GB2312" w:hAnsi="仿宋_GB2312" w:eastAsia="仿宋_GB2312" w:cs="仿宋_GB2312"/>
          <w:color w:val="auto"/>
          <w:sz w:val="32"/>
          <w:szCs w:val="32"/>
          <w:lang w:val="en-US" w:eastAsia="zh-CN"/>
        </w:rPr>
        <w:t>现场比赛时，选手从指定课题中抽取其中一节课，借助课件，面向评委现场模拟上课。</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5"/>
        <w:gridCol w:w="4420"/>
        <w:gridCol w:w="2634"/>
      </w:tblGrid>
      <w:tr w14:paraId="6584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405" w:type="dxa"/>
            <w:vAlign w:val="center"/>
          </w:tcPr>
          <w:p w14:paraId="29DED6B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sz w:val="28"/>
                <w:szCs w:val="28"/>
                <w:vertAlign w:val="baseline"/>
                <w:lang w:val="en-US" w:eastAsia="zh-CN"/>
              </w:rPr>
            </w:pPr>
            <w:r>
              <w:rPr>
                <w:rFonts w:hint="eastAsia" w:ascii="黑体" w:hAnsi="黑体" w:eastAsia="黑体" w:cs="黑体"/>
                <w:b w:val="0"/>
                <w:bCs w:val="0"/>
                <w:sz w:val="28"/>
                <w:szCs w:val="28"/>
                <w:vertAlign w:val="baseline"/>
                <w:lang w:val="en-US" w:eastAsia="zh-CN"/>
              </w:rPr>
              <w:t>项目</w:t>
            </w:r>
          </w:p>
        </w:tc>
        <w:tc>
          <w:tcPr>
            <w:tcW w:w="4420" w:type="dxa"/>
            <w:vAlign w:val="center"/>
          </w:tcPr>
          <w:p w14:paraId="54EA8E8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sz w:val="28"/>
                <w:szCs w:val="28"/>
                <w:vertAlign w:val="baseline"/>
                <w:lang w:val="en-US" w:eastAsia="zh-CN"/>
              </w:rPr>
            </w:pPr>
            <w:r>
              <w:rPr>
                <w:rFonts w:hint="eastAsia" w:ascii="黑体" w:hAnsi="黑体" w:eastAsia="黑体" w:cs="黑体"/>
                <w:b w:val="0"/>
                <w:bCs w:val="0"/>
                <w:sz w:val="28"/>
                <w:szCs w:val="28"/>
                <w:vertAlign w:val="baseline"/>
                <w:lang w:val="en-US" w:eastAsia="zh-CN"/>
              </w:rPr>
              <w:t>内容1</w:t>
            </w:r>
          </w:p>
        </w:tc>
        <w:tc>
          <w:tcPr>
            <w:tcW w:w="2634" w:type="dxa"/>
            <w:vAlign w:val="center"/>
          </w:tcPr>
          <w:p w14:paraId="43CEF34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sz w:val="28"/>
                <w:szCs w:val="28"/>
                <w:vertAlign w:val="baseline"/>
                <w:lang w:val="en-US" w:eastAsia="zh-CN"/>
              </w:rPr>
            </w:pPr>
            <w:r>
              <w:rPr>
                <w:rFonts w:hint="eastAsia" w:ascii="黑体" w:hAnsi="黑体" w:eastAsia="黑体" w:cs="黑体"/>
                <w:b w:val="0"/>
                <w:bCs w:val="0"/>
                <w:sz w:val="28"/>
                <w:szCs w:val="28"/>
                <w:vertAlign w:val="baseline"/>
                <w:lang w:val="en-US" w:eastAsia="zh-CN"/>
              </w:rPr>
              <w:t>内容2</w:t>
            </w:r>
          </w:p>
        </w:tc>
      </w:tr>
      <w:tr w14:paraId="40B51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405" w:type="dxa"/>
            <w:vAlign w:val="center"/>
          </w:tcPr>
          <w:p w14:paraId="2DD86D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1.田径</w:t>
            </w:r>
          </w:p>
        </w:tc>
        <w:tc>
          <w:tcPr>
            <w:tcW w:w="4420" w:type="dxa"/>
            <w:vAlign w:val="center"/>
          </w:tcPr>
          <w:p w14:paraId="606738A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lang w:val="en-US" w:eastAsia="zh-CN"/>
              </w:rPr>
              <w:t>挺身式跳远</w:t>
            </w:r>
          </w:p>
        </w:tc>
        <w:tc>
          <w:tcPr>
            <w:tcW w:w="2634" w:type="dxa"/>
            <w:vAlign w:val="center"/>
          </w:tcPr>
          <w:p w14:paraId="3AC7757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30- 40米迎面接力跑</w:t>
            </w:r>
          </w:p>
        </w:tc>
      </w:tr>
      <w:tr w14:paraId="7F7E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405" w:type="dxa"/>
            <w:vAlign w:val="center"/>
          </w:tcPr>
          <w:p w14:paraId="67D4E4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2.体操</w:t>
            </w:r>
          </w:p>
        </w:tc>
        <w:tc>
          <w:tcPr>
            <w:tcW w:w="4420" w:type="dxa"/>
            <w:vAlign w:val="center"/>
          </w:tcPr>
          <w:p w14:paraId="04F59B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lang w:val="en-US" w:eastAsia="zh-CN"/>
              </w:rPr>
              <w:t>肩肘倒立——前滚成蹲立</w:t>
            </w:r>
          </w:p>
        </w:tc>
        <w:tc>
          <w:tcPr>
            <w:tcW w:w="2634" w:type="dxa"/>
            <w:vAlign w:val="center"/>
          </w:tcPr>
          <w:p w14:paraId="2AEF51F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侧手翻</w:t>
            </w:r>
          </w:p>
        </w:tc>
      </w:tr>
      <w:tr w14:paraId="22AAF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405" w:type="dxa"/>
            <w:vAlign w:val="center"/>
          </w:tcPr>
          <w:p w14:paraId="5154BE6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3.足球</w:t>
            </w:r>
          </w:p>
        </w:tc>
        <w:tc>
          <w:tcPr>
            <w:tcW w:w="4420" w:type="dxa"/>
            <w:vAlign w:val="center"/>
          </w:tcPr>
          <w:p w14:paraId="685460C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lang w:val="en-US" w:eastAsia="zh-CN"/>
              </w:rPr>
              <w:t>脚背正面运球—脚背正面射门</w:t>
            </w:r>
          </w:p>
        </w:tc>
        <w:tc>
          <w:tcPr>
            <w:tcW w:w="2634" w:type="dxa"/>
            <w:vAlign w:val="center"/>
          </w:tcPr>
          <w:p w14:paraId="0166BC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二过一配合</w:t>
            </w:r>
          </w:p>
        </w:tc>
      </w:tr>
      <w:tr w14:paraId="2925E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405" w:type="dxa"/>
            <w:vAlign w:val="center"/>
          </w:tcPr>
          <w:p w14:paraId="08BEBB2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4.篮球</w:t>
            </w:r>
          </w:p>
        </w:tc>
        <w:tc>
          <w:tcPr>
            <w:tcW w:w="4420" w:type="dxa"/>
            <w:vAlign w:val="center"/>
          </w:tcPr>
          <w:p w14:paraId="6FF9FF1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lang w:val="en-US" w:eastAsia="zh-CN"/>
              </w:rPr>
              <w:t>行进间运球急停——原地单手肩上投篮</w:t>
            </w:r>
          </w:p>
        </w:tc>
        <w:tc>
          <w:tcPr>
            <w:tcW w:w="2634" w:type="dxa"/>
            <w:vAlign w:val="center"/>
          </w:tcPr>
          <w:p w14:paraId="5B90CC6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传切配合</w:t>
            </w:r>
          </w:p>
        </w:tc>
      </w:tr>
      <w:tr w14:paraId="00584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405" w:type="dxa"/>
            <w:vAlign w:val="center"/>
          </w:tcPr>
          <w:p w14:paraId="03CC02C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5.操武类</w:t>
            </w:r>
          </w:p>
        </w:tc>
        <w:tc>
          <w:tcPr>
            <w:tcW w:w="4420" w:type="dxa"/>
            <w:vAlign w:val="center"/>
          </w:tcPr>
          <w:p w14:paraId="11193AF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武术   少年拳第一套：1- 3式</w:t>
            </w:r>
          </w:p>
        </w:tc>
        <w:tc>
          <w:tcPr>
            <w:tcW w:w="2634" w:type="dxa"/>
            <w:vAlign w:val="center"/>
          </w:tcPr>
          <w:p w14:paraId="099A014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lang w:val="en-US" w:eastAsia="zh-CN"/>
              </w:rPr>
              <w:t>健美操：创编套路</w:t>
            </w:r>
          </w:p>
        </w:tc>
      </w:tr>
    </w:tbl>
    <w:p w14:paraId="2F2C0B5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要求：</w:t>
      </w:r>
    </w:p>
    <w:p w14:paraId="2B1AE10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1.参赛选手按照抽签顺序依次进行。</w:t>
      </w:r>
    </w:p>
    <w:p w14:paraId="11191E3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2.在上述5个项目中随机抽取一项教材。</w:t>
      </w:r>
    </w:p>
    <w:p w14:paraId="410F9D7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3.从提供的2项内容中自行选择1项作为本人上课内容。</w:t>
      </w:r>
    </w:p>
    <w:p w14:paraId="28BF9BF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4.上课时参赛选手根据教材内容，进行课的基本部分教学。</w:t>
      </w:r>
    </w:p>
    <w:p w14:paraId="3C74C53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5.限时10分钟，每人一次机会。</w:t>
      </w:r>
    </w:p>
    <w:p w14:paraId="5A810FD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三、体育专项测评（40分）</w:t>
      </w:r>
    </w:p>
    <w:p w14:paraId="0BB8D53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参赛教师从以下8个项目中任选一项进行动作技能比赛</w:t>
      </w:r>
    </w:p>
    <w:tbl>
      <w:tblPr>
        <w:tblStyle w:val="6"/>
        <w:tblW w:w="9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8293"/>
      </w:tblGrid>
      <w:tr w14:paraId="1AB3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050" w:type="dxa"/>
            <w:vAlign w:val="center"/>
          </w:tcPr>
          <w:p w14:paraId="5C95159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8"/>
                <w:szCs w:val="28"/>
                <w:vertAlign w:val="baseline"/>
                <w:lang w:val="en-US" w:eastAsia="zh-CN"/>
              </w:rPr>
            </w:pPr>
            <w:r>
              <w:rPr>
                <w:rFonts w:hint="eastAsia" w:ascii="黑体" w:hAnsi="黑体" w:eastAsia="黑体" w:cs="黑体"/>
                <w:b w:val="0"/>
                <w:bCs w:val="0"/>
                <w:sz w:val="28"/>
                <w:szCs w:val="28"/>
                <w:vertAlign w:val="baseline"/>
                <w:lang w:val="en-US" w:eastAsia="zh-CN"/>
              </w:rPr>
              <w:t>项目</w:t>
            </w:r>
          </w:p>
        </w:tc>
        <w:tc>
          <w:tcPr>
            <w:tcW w:w="8293" w:type="dxa"/>
            <w:vAlign w:val="center"/>
          </w:tcPr>
          <w:p w14:paraId="45A2A72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8"/>
                <w:szCs w:val="28"/>
                <w:vertAlign w:val="baseline"/>
                <w:lang w:val="en-US" w:eastAsia="zh-CN"/>
              </w:rPr>
            </w:pPr>
            <w:r>
              <w:rPr>
                <w:rFonts w:hint="eastAsia" w:ascii="黑体" w:hAnsi="黑体" w:eastAsia="黑体" w:cs="黑体"/>
                <w:b w:val="0"/>
                <w:bCs w:val="0"/>
                <w:sz w:val="28"/>
                <w:szCs w:val="28"/>
                <w:vertAlign w:val="baseline"/>
                <w:lang w:val="en-US" w:eastAsia="zh-CN"/>
              </w:rPr>
              <w:t>具体要求</w:t>
            </w:r>
          </w:p>
        </w:tc>
      </w:tr>
      <w:tr w14:paraId="4FBD2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0" w:type="dxa"/>
            <w:vAlign w:val="center"/>
          </w:tcPr>
          <w:p w14:paraId="25968D4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足球</w:t>
            </w:r>
          </w:p>
        </w:tc>
        <w:tc>
          <w:tcPr>
            <w:tcW w:w="8293" w:type="dxa"/>
            <w:vAlign w:val="center"/>
          </w:tcPr>
          <w:p w14:paraId="60CB1FE0">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从中线出发，行进间颠球（除手以外的身体任何部位触球），球落地后即以脚内侧传地滚球的方式和助传者进行踢墙式二过一配合，受试者用脚内侧接助传者传过来的地滚球后依次运球过障碍，过完最后一个障碍用脚背正面射门。运球过障碍的动作方法不限。每人两次测试机会，计最好一次成绩。</w:t>
            </w:r>
          </w:p>
        </w:tc>
      </w:tr>
      <w:tr w14:paraId="6C0A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0" w:type="dxa"/>
            <w:vAlign w:val="center"/>
          </w:tcPr>
          <w:p w14:paraId="45A0C41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篮球</w:t>
            </w:r>
          </w:p>
        </w:tc>
        <w:tc>
          <w:tcPr>
            <w:tcW w:w="8293" w:type="dxa"/>
            <w:vAlign w:val="center"/>
          </w:tcPr>
          <w:p w14:paraId="5265ED41">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在端线后持球静止站立，右手运球出发至第一障碍柱前做后转身运球，换左手运球至第二障碍柱前做体前变向换手运球，换右手运球，接行进间单手肩上投篮或行进间单手低手投篮，无论投中与否均自抢篮板球，双手胸前传球给助传者，并在侧身跑过程中，用行进间双手胸前传球经与助传者传接球后，接行进间投篮结束。每人两次测试机会，计最好一次成绩。</w:t>
            </w:r>
          </w:p>
        </w:tc>
      </w:tr>
      <w:tr w14:paraId="3EF9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0" w:type="dxa"/>
            <w:vAlign w:val="center"/>
          </w:tcPr>
          <w:p w14:paraId="0FC3267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排球</w:t>
            </w:r>
          </w:p>
        </w:tc>
        <w:tc>
          <w:tcPr>
            <w:tcW w:w="8293" w:type="dxa"/>
            <w:vAlign w:val="center"/>
          </w:tcPr>
          <w:p w14:paraId="04954FBA">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在发球区持球听指令发球，发球后进入场区，接对方推攻球（下手发球或抛球）后连续进行自传、自垫，至前场区连接一次扣球技术，再在网前做一次拦网（模拟）动作。每个步骤为一项技术，第 2-5 步骤 4 项技术（接抛球、自垫、自传、自扣过网）是一组连贯的击球动作，球不准落地，自传、自垫没有次数限制。每人两次测试机会，计最好一次成绩。</w:t>
            </w:r>
          </w:p>
        </w:tc>
      </w:tr>
      <w:tr w14:paraId="79F5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0" w:type="dxa"/>
            <w:vAlign w:val="center"/>
          </w:tcPr>
          <w:p w14:paraId="79A0644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田赛</w:t>
            </w:r>
          </w:p>
        </w:tc>
        <w:tc>
          <w:tcPr>
            <w:tcW w:w="8293" w:type="dxa"/>
            <w:vAlign w:val="center"/>
          </w:tcPr>
          <w:p w14:paraId="19BDFFF4">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急行跳远：男女均采用 3M 板，挺身式、走步式评分可达优秀级，蹲踞式评分在良好及以下。每人三次机会，计最好一次成绩。</w:t>
            </w:r>
          </w:p>
        </w:tc>
      </w:tr>
      <w:tr w14:paraId="2EFBD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0" w:type="dxa"/>
            <w:vAlign w:val="center"/>
          </w:tcPr>
          <w:p w14:paraId="447ACEB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径赛</w:t>
            </w:r>
          </w:p>
        </w:tc>
        <w:tc>
          <w:tcPr>
            <w:tcW w:w="8293" w:type="dxa"/>
            <w:vAlign w:val="center"/>
          </w:tcPr>
          <w:p w14:paraId="56C167B0">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跨栏跑——弯道跑组合：全程 100m，其中直道 40m，弯道60m。直道中跨过 3 个栏：男，起跑至第一栏距离 13.72m，栏高0.84m，栏间 9.14m；女，起跑至第一栏距离 13m，栏高 0.762m，栏间 8.5m。每人一次测试机会。</w:t>
            </w:r>
          </w:p>
        </w:tc>
      </w:tr>
      <w:tr w14:paraId="04C04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0" w:type="dxa"/>
            <w:vAlign w:val="center"/>
          </w:tcPr>
          <w:p w14:paraId="2A5C932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体操</w:t>
            </w:r>
          </w:p>
        </w:tc>
        <w:tc>
          <w:tcPr>
            <w:tcW w:w="8293" w:type="dxa"/>
            <w:vAlign w:val="center"/>
          </w:tcPr>
          <w:p w14:paraId="2DF3744C">
            <w:pPr>
              <w:keepNext w:val="0"/>
              <w:keepLines w:val="0"/>
              <w:pageBreakBefore w:val="0"/>
              <w:widowControl w:val="0"/>
              <w:kinsoku/>
              <w:wordWrap/>
              <w:overflowPunct/>
              <w:topLinePunct w:val="0"/>
              <w:autoSpaceDE/>
              <w:autoSpaceDN/>
              <w:bidi w:val="0"/>
              <w:adjustRightInd/>
              <w:snapToGrid/>
              <w:spacing w:line="320" w:lineRule="exact"/>
              <w:ind w:firstLine="482" w:firstLineChars="200"/>
              <w:jc w:val="left"/>
              <w:textAlignment w:val="auto"/>
              <w:rPr>
                <w:rFonts w:hint="eastAsia" w:ascii="仿宋_GB2312" w:hAnsi="仿宋_GB2312" w:eastAsia="仿宋_GB2312" w:cs="仿宋_GB2312"/>
                <w:b/>
                <w:bCs/>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男子技巧组合动作：</w:t>
            </w:r>
          </w:p>
          <w:p w14:paraId="2A7399C5">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直立——鱼跃前滚翻——蹲撑跳成屈体分腿俯撑——体前屈两臂侧举（稍停）——分腿慢起成头手倒立（停 3"）——前滚翻成直腿坐——经体前屈后倒屈体后滚翻成直立同时两臂上举——（趋步）侧手翻——向前并步成直立。</w:t>
            </w:r>
          </w:p>
          <w:p w14:paraId="7CC19A92">
            <w:pPr>
              <w:keepNext w:val="0"/>
              <w:keepLines w:val="0"/>
              <w:pageBreakBefore w:val="0"/>
              <w:widowControl w:val="0"/>
              <w:kinsoku/>
              <w:wordWrap/>
              <w:overflowPunct/>
              <w:topLinePunct w:val="0"/>
              <w:autoSpaceDE/>
              <w:autoSpaceDN/>
              <w:bidi w:val="0"/>
              <w:adjustRightInd/>
              <w:snapToGrid/>
              <w:spacing w:line="320" w:lineRule="exact"/>
              <w:ind w:firstLine="482" w:firstLineChars="200"/>
              <w:jc w:val="left"/>
              <w:textAlignment w:val="auto"/>
              <w:rPr>
                <w:rFonts w:hint="eastAsia" w:ascii="仿宋_GB2312" w:hAnsi="仿宋_GB2312" w:eastAsia="仿宋_GB2312" w:cs="仿宋_GB2312"/>
                <w:b/>
                <w:bCs/>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女子技巧组合动作：</w:t>
            </w:r>
          </w:p>
          <w:p w14:paraId="5D09EDAC">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直立——前滚翻——直立，两臂经侧至上举，上一步成俯平衡（停 2"）——单脚蹬地前滚翻成直腿坐——经体前屈后倒成肩肘倒立（停 2"）——经单肩后滚翻成单腿跪撑平衡——成跪立——跪跳起——侧手翻——向前并步成直立。</w:t>
            </w:r>
          </w:p>
        </w:tc>
      </w:tr>
      <w:tr w14:paraId="1FFE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0" w:type="dxa"/>
            <w:vAlign w:val="center"/>
          </w:tcPr>
          <w:p w14:paraId="0EC69DF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武术</w:t>
            </w:r>
          </w:p>
        </w:tc>
        <w:tc>
          <w:tcPr>
            <w:tcW w:w="8293" w:type="dxa"/>
            <w:vAlign w:val="center"/>
          </w:tcPr>
          <w:p w14:paraId="72FD3B9B">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《形神拳》武术套路（参见普通高中教科书教师教学用书</w:t>
            </w:r>
          </w:p>
          <w:p w14:paraId="7C8D55DB">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体育与健康:必修:全一册/人民教育出版社，2019 年 7 月版次）。</w:t>
            </w:r>
          </w:p>
        </w:tc>
      </w:tr>
      <w:tr w14:paraId="3B984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0" w:type="dxa"/>
            <w:vAlign w:val="center"/>
          </w:tcPr>
          <w:p w14:paraId="620C825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健美操</w:t>
            </w:r>
          </w:p>
        </w:tc>
        <w:tc>
          <w:tcPr>
            <w:tcW w:w="8293" w:type="dxa"/>
            <w:vAlign w:val="center"/>
          </w:tcPr>
          <w:p w14:paraId="3E2142EA">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《全国健美操大众锻炼标准第三套动作》成人二级成套动作，地面动作（力量训练部分）不做。参见中国健美操协会审定的《全国健美操大众锻炼标准第三套动作图解》</w:t>
            </w:r>
          </w:p>
        </w:tc>
      </w:tr>
    </w:tbl>
    <w:p w14:paraId="542B009C">
      <w:pPr>
        <w:keepNext w:val="0"/>
        <w:keepLines w:val="0"/>
        <w:pageBreakBefore w:val="0"/>
        <w:kinsoku/>
        <w:wordWrap/>
        <w:overflowPunct/>
        <w:topLinePunct w:val="0"/>
        <w:autoSpaceDE/>
        <w:autoSpaceDN/>
        <w:bidi w:val="0"/>
        <w:adjustRightInd/>
        <w:snapToGrid/>
        <w:jc w:val="left"/>
        <w:textAlignment w:val="auto"/>
        <w:rPr>
          <w:rFonts w:hint="eastAsia"/>
          <w:b/>
          <w:bCs/>
          <w:sz w:val="28"/>
          <w:szCs w:val="28"/>
          <w:vertAlign w:val="baseline"/>
          <w:lang w:val="en-US" w:eastAsia="zh-CN"/>
        </w:rPr>
      </w:pPr>
    </w:p>
    <w:p w14:paraId="7D663580">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vertAlign w:val="baseline"/>
          <w:lang w:val="en-US" w:eastAsia="zh-CN"/>
        </w:rPr>
        <w:t>体育专项测评项目详细解读：</w:t>
      </w:r>
    </w:p>
    <w:p w14:paraId="789427CB">
      <w:pPr>
        <w:keepNext w:val="0"/>
        <w:keepLines w:val="0"/>
        <w:pageBreakBefore w:val="0"/>
        <w:widowControl w:val="0"/>
        <w:suppressLineNumbers w:val="0"/>
        <w:kinsoku/>
        <w:wordWrap/>
        <w:overflowPunct/>
        <w:topLinePunct w:val="0"/>
        <w:autoSpaceDE/>
        <w:autoSpaceDN/>
        <w:bidi w:val="0"/>
        <w:adjustRightInd/>
        <w:snapToGrid/>
        <w:spacing w:line="240" w:lineRule="auto"/>
        <w:ind w:firstLine="562" w:firstLineChars="200"/>
        <w:jc w:val="both"/>
        <w:textAlignment w:val="auto"/>
        <w:rPr>
          <w:rFonts w:hint="eastAsia" w:ascii="楷体" w:hAnsi="楷体" w:eastAsia="楷体" w:cs="楷体"/>
          <w:b/>
          <w:bCs/>
          <w:sz w:val="28"/>
          <w:szCs w:val="28"/>
        </w:rPr>
      </w:pPr>
      <w:r>
        <w:rPr>
          <w:rFonts w:hint="eastAsia" w:ascii="楷体" w:hAnsi="楷体" w:eastAsia="楷体" w:cs="楷体"/>
          <w:b/>
          <w:bCs/>
          <w:color w:val="000000"/>
          <w:kern w:val="0"/>
          <w:sz w:val="28"/>
          <w:szCs w:val="28"/>
          <w:lang w:val="en-US" w:eastAsia="zh-CN" w:bidi="ar"/>
        </w:rPr>
        <w:t xml:space="preserve">（一）足球 </w:t>
      </w:r>
    </w:p>
    <w:p w14:paraId="0D933170">
      <w:pPr>
        <w:keepNext w:val="0"/>
        <w:keepLines w:val="0"/>
        <w:pageBreakBefore w:val="0"/>
        <w:widowControl w:val="0"/>
        <w:suppressLineNumbers w:val="0"/>
        <w:kinsoku/>
        <w:wordWrap/>
        <w:overflowPunct/>
        <w:topLinePunct w:val="0"/>
        <w:autoSpaceDE/>
        <w:autoSpaceDN/>
        <w:bidi w:val="0"/>
        <w:adjustRightInd/>
        <w:snapToGrid/>
        <w:spacing w:line="240" w:lineRule="auto"/>
        <w:ind w:firstLine="560" w:firstLineChars="200"/>
        <w:jc w:val="both"/>
        <w:textAlignment w:val="auto"/>
        <w:rPr>
          <w:rFonts w:hint="eastAsia" w:ascii="仿宋_GB2312" w:hAnsi="仿宋_GB2312" w:eastAsia="仿宋_GB2312" w:cs="仿宋_GB2312"/>
          <w:color w:val="000000"/>
          <w:kern w:val="0"/>
          <w:sz w:val="28"/>
          <w:szCs w:val="28"/>
          <w:lang w:val="en-US" w:eastAsia="zh-CN" w:bidi="ar"/>
        </w:rPr>
      </w:pPr>
      <w:r>
        <w:rPr>
          <w:rFonts w:hint="eastAsia" w:ascii="仿宋_GB2312" w:hAnsi="仿宋_GB2312" w:eastAsia="仿宋_GB2312" w:cs="仿宋_GB2312"/>
          <w:color w:val="000000"/>
          <w:kern w:val="0"/>
          <w:sz w:val="28"/>
          <w:szCs w:val="28"/>
          <w:lang w:val="en-US" w:eastAsia="zh-CN" w:bidi="ar"/>
        </w:rPr>
        <w:t xml:space="preserve">从中线出发，行进间颠球（除手以外的身体任何部位触球），球落地后即以脚内侧传地滚球的方式和助传者进行踢墙式二过一配合，受试者用脚内侧接助传者传过来的地滚球后依次运球过障碍，过完最后一个障碍用脚背正面射门。运球过障碍的动作方法不限。每人两次测试机会，计最好一次成绩。 </w:t>
      </w:r>
    </w:p>
    <w:p w14:paraId="4DA761B4">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000000"/>
          <w:kern w:val="0"/>
          <w:sz w:val="28"/>
          <w:szCs w:val="28"/>
          <w:lang w:val="en-US" w:eastAsia="zh-CN" w:bidi="ar"/>
        </w:rPr>
      </w:pPr>
      <w:r>
        <w:rPr>
          <w:sz w:val="28"/>
          <w:szCs w:val="28"/>
        </w:rPr>
        <w:drawing>
          <wp:inline distT="0" distB="0" distL="114300" distR="114300">
            <wp:extent cx="5842000" cy="31750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842000" cy="3175000"/>
                    </a:xfrm>
                    <a:prstGeom prst="rect">
                      <a:avLst/>
                    </a:prstGeom>
                    <a:noFill/>
                    <a:ln>
                      <a:noFill/>
                    </a:ln>
                  </pic:spPr>
                </pic:pic>
              </a:graphicData>
            </a:graphic>
          </wp:inline>
        </w:drawing>
      </w:r>
    </w:p>
    <w:p w14:paraId="5A5CC65C">
      <w:pPr>
        <w:keepNext w:val="0"/>
        <w:keepLines w:val="0"/>
        <w:pageBreakBefore w:val="0"/>
        <w:widowControl w:val="0"/>
        <w:suppressLineNumbers w:val="0"/>
        <w:kinsoku/>
        <w:wordWrap/>
        <w:overflowPunct/>
        <w:topLinePunct w:val="0"/>
        <w:autoSpaceDE/>
        <w:autoSpaceDN/>
        <w:bidi w:val="0"/>
        <w:adjustRightInd/>
        <w:snapToGrid/>
        <w:spacing w:line="240" w:lineRule="auto"/>
        <w:ind w:firstLine="561" w:firstLineChars="200"/>
        <w:jc w:val="both"/>
        <w:textAlignment w:val="auto"/>
        <w:rPr>
          <w:rFonts w:ascii="华文楷体" w:hAnsi="华文楷体" w:eastAsia="华文楷体" w:cs="华文楷体"/>
          <w:b/>
          <w:bCs/>
          <w:color w:val="000000"/>
          <w:kern w:val="0"/>
          <w:sz w:val="28"/>
          <w:szCs w:val="28"/>
          <w:lang w:val="en-US" w:eastAsia="zh-CN" w:bidi="ar"/>
        </w:rPr>
      </w:pPr>
      <w:r>
        <w:rPr>
          <w:rFonts w:ascii="华文楷体" w:hAnsi="华文楷体" w:eastAsia="华文楷体" w:cs="华文楷体"/>
          <w:b/>
          <w:bCs/>
          <w:color w:val="000000"/>
          <w:kern w:val="0"/>
          <w:sz w:val="28"/>
          <w:szCs w:val="28"/>
          <w:lang w:val="en-US" w:eastAsia="zh-CN" w:bidi="ar"/>
        </w:rPr>
        <w:t xml:space="preserve">（二）篮球 </w:t>
      </w:r>
    </w:p>
    <w:p w14:paraId="61779B3F">
      <w:pPr>
        <w:keepNext w:val="0"/>
        <w:keepLines w:val="0"/>
        <w:pageBreakBefore w:val="0"/>
        <w:widowControl w:val="0"/>
        <w:suppressLineNumbers w:val="0"/>
        <w:kinsoku/>
        <w:wordWrap/>
        <w:overflowPunct/>
        <w:topLinePunct w:val="0"/>
        <w:autoSpaceDE/>
        <w:autoSpaceDN/>
        <w:bidi w:val="0"/>
        <w:adjustRightInd/>
        <w:snapToGrid/>
        <w:spacing w:line="240" w:lineRule="auto"/>
        <w:ind w:firstLine="560" w:firstLineChars="200"/>
        <w:jc w:val="both"/>
        <w:textAlignment w:val="auto"/>
        <w:rPr>
          <w:rFonts w:hint="eastAsia" w:ascii="仿宋_GB2312" w:hAnsi="仿宋_GB2312" w:eastAsia="仿宋_GB2312" w:cs="仿宋_GB2312"/>
          <w:color w:val="000000"/>
          <w:kern w:val="0"/>
          <w:sz w:val="28"/>
          <w:szCs w:val="28"/>
          <w:lang w:val="en-US" w:eastAsia="zh-CN" w:bidi="ar"/>
        </w:rPr>
      </w:pPr>
      <w:r>
        <w:rPr>
          <w:rFonts w:hint="eastAsia" w:ascii="仿宋_GB2312" w:hAnsi="仿宋_GB2312" w:eastAsia="仿宋_GB2312" w:cs="仿宋_GB2312"/>
          <w:color w:val="000000"/>
          <w:kern w:val="0"/>
          <w:sz w:val="28"/>
          <w:szCs w:val="28"/>
          <w:lang w:val="en-US" w:eastAsia="zh-CN" w:bidi="ar"/>
        </w:rPr>
        <w:t xml:space="preserve">在端线后持球静止站立，右手运球出发至第一障碍柱前做后转身运球，换左手运球至第二障碍柱前做体前变向换手运球，换右手运球，接行进间单手肩上投篮或行进间单手低手投篮，无论投中与否均自抢篮板球，双手胸前传球给助传者，并在侧身跑过程中，用行进间双手胸前传球经与助传者传接球后，接行进间投篮结束。每人两次测试机会，计最好一次成绩。 </w:t>
      </w:r>
    </w:p>
    <w:p w14:paraId="6F274D90">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both"/>
        <w:textAlignment w:val="auto"/>
        <w:rPr>
          <w:sz w:val="28"/>
          <w:szCs w:val="28"/>
        </w:rPr>
      </w:pPr>
      <w:r>
        <w:rPr>
          <w:sz w:val="28"/>
          <w:szCs w:val="28"/>
        </w:rPr>
        <w:drawing>
          <wp:inline distT="0" distB="0" distL="114300" distR="114300">
            <wp:extent cx="5106670" cy="3157220"/>
            <wp:effectExtent l="0" t="0" r="1778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106670" cy="3157220"/>
                    </a:xfrm>
                    <a:prstGeom prst="rect">
                      <a:avLst/>
                    </a:prstGeom>
                    <a:noFill/>
                    <a:ln>
                      <a:noFill/>
                    </a:ln>
                  </pic:spPr>
                </pic:pic>
              </a:graphicData>
            </a:graphic>
          </wp:inline>
        </w:drawing>
      </w:r>
    </w:p>
    <w:p w14:paraId="5930DCF4">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both"/>
        <w:textAlignment w:val="auto"/>
        <w:rPr>
          <w:rFonts w:hint="eastAsia"/>
          <w:sz w:val="28"/>
          <w:szCs w:val="28"/>
          <w:lang w:val="en-US" w:eastAsia="zh-CN"/>
        </w:rPr>
      </w:pPr>
      <w:r>
        <w:rPr>
          <w:sz w:val="28"/>
          <w:szCs w:val="28"/>
        </w:rPr>
        <w:drawing>
          <wp:inline distT="0" distB="0" distL="114300" distR="114300">
            <wp:extent cx="5253355" cy="864870"/>
            <wp:effectExtent l="0" t="0" r="444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53355" cy="864870"/>
                    </a:xfrm>
                    <a:prstGeom prst="rect">
                      <a:avLst/>
                    </a:prstGeom>
                    <a:noFill/>
                    <a:ln>
                      <a:noFill/>
                    </a:ln>
                  </pic:spPr>
                </pic:pic>
              </a:graphicData>
            </a:graphic>
          </wp:inline>
        </w:drawing>
      </w:r>
    </w:p>
    <w:p w14:paraId="77CFFCE7">
      <w:pPr>
        <w:keepNext w:val="0"/>
        <w:keepLines w:val="0"/>
        <w:pageBreakBefore w:val="0"/>
        <w:widowControl w:val="0"/>
        <w:suppressLineNumbers w:val="0"/>
        <w:kinsoku/>
        <w:wordWrap/>
        <w:overflowPunct/>
        <w:topLinePunct w:val="0"/>
        <w:autoSpaceDE/>
        <w:autoSpaceDN/>
        <w:bidi w:val="0"/>
        <w:adjustRightInd/>
        <w:snapToGrid/>
        <w:spacing w:line="240" w:lineRule="auto"/>
        <w:ind w:firstLine="561" w:firstLineChars="200"/>
        <w:jc w:val="both"/>
        <w:textAlignment w:val="auto"/>
        <w:rPr>
          <w:rFonts w:ascii="华文楷体" w:hAnsi="华文楷体" w:eastAsia="华文楷体" w:cs="华文楷体"/>
          <w:b/>
          <w:bCs/>
          <w:color w:val="000000"/>
          <w:kern w:val="0"/>
          <w:sz w:val="28"/>
          <w:szCs w:val="28"/>
          <w:lang w:val="en-US" w:eastAsia="zh-CN" w:bidi="ar"/>
        </w:rPr>
      </w:pPr>
      <w:r>
        <w:rPr>
          <w:rFonts w:ascii="华文楷体" w:hAnsi="华文楷体" w:eastAsia="华文楷体" w:cs="华文楷体"/>
          <w:b/>
          <w:bCs/>
          <w:color w:val="000000"/>
          <w:kern w:val="0"/>
          <w:sz w:val="28"/>
          <w:szCs w:val="28"/>
          <w:lang w:val="en-US" w:eastAsia="zh-CN" w:bidi="ar"/>
        </w:rPr>
        <w:t xml:space="preserve">（三）排球 </w:t>
      </w:r>
    </w:p>
    <w:p w14:paraId="7452C6C7">
      <w:pPr>
        <w:keepNext w:val="0"/>
        <w:keepLines w:val="0"/>
        <w:pageBreakBefore w:val="0"/>
        <w:widowControl w:val="0"/>
        <w:suppressLineNumbers w:val="0"/>
        <w:kinsoku/>
        <w:wordWrap/>
        <w:overflowPunct/>
        <w:topLinePunct w:val="0"/>
        <w:autoSpaceDE/>
        <w:autoSpaceDN/>
        <w:bidi w:val="0"/>
        <w:adjustRightInd/>
        <w:snapToGrid/>
        <w:spacing w:line="240" w:lineRule="auto"/>
        <w:ind w:firstLine="560" w:firstLineChars="200"/>
        <w:jc w:val="both"/>
        <w:textAlignment w:val="auto"/>
        <w:rPr>
          <w:sz w:val="28"/>
          <w:szCs w:val="28"/>
        </w:rPr>
      </w:pPr>
      <w:r>
        <w:rPr>
          <w:rFonts w:hint="eastAsia" w:ascii="仿宋_GB2312" w:hAnsi="仿宋_GB2312" w:eastAsia="仿宋_GB2312" w:cs="仿宋_GB2312"/>
          <w:color w:val="000000"/>
          <w:kern w:val="0"/>
          <w:sz w:val="28"/>
          <w:szCs w:val="28"/>
          <w:lang w:val="en-US" w:eastAsia="zh-CN" w:bidi="ar"/>
        </w:rPr>
        <w:t xml:space="preserve">在发球区持球听指令发球，发球后进入场区，接对方推攻球（下手发球或抛球）后连续进行自传、自垫，至前场区连接一次扣球技术，再在网前做一次拦网（模拟）动作。每个步骤为一项技术，第2-5步骤4项技术（接抛球、自垫、自传、自扣过网）是一组连贯的击球动作，球不准落地，自传、自垫没有次数限制。 每人两次测试机会，计最好一次成绩。 </w:t>
      </w:r>
    </w:p>
    <w:p w14:paraId="18C21A49">
      <w:pPr>
        <w:keepNext w:val="0"/>
        <w:keepLines w:val="0"/>
        <w:pageBreakBefore w:val="0"/>
        <w:widowControl w:val="0"/>
        <w:suppressLineNumbers w:val="0"/>
        <w:kinsoku/>
        <w:wordWrap/>
        <w:overflowPunct/>
        <w:topLinePunct w:val="0"/>
        <w:autoSpaceDE/>
        <w:autoSpaceDN/>
        <w:bidi w:val="0"/>
        <w:adjustRightInd/>
        <w:snapToGrid/>
        <w:spacing w:line="240" w:lineRule="auto"/>
        <w:ind w:firstLine="561" w:firstLineChars="200"/>
        <w:jc w:val="both"/>
        <w:textAlignment w:val="auto"/>
        <w:rPr>
          <w:rFonts w:ascii="华文楷体" w:hAnsi="华文楷体" w:eastAsia="华文楷体" w:cs="华文楷体"/>
          <w:b/>
          <w:bCs/>
          <w:color w:val="000000"/>
          <w:kern w:val="0"/>
          <w:sz w:val="28"/>
          <w:szCs w:val="28"/>
          <w:lang w:val="en-US" w:eastAsia="zh-CN" w:bidi="ar"/>
        </w:rPr>
      </w:pPr>
      <w:r>
        <w:rPr>
          <w:rFonts w:ascii="华文楷体" w:hAnsi="华文楷体" w:eastAsia="华文楷体" w:cs="华文楷体"/>
          <w:b/>
          <w:bCs/>
          <w:color w:val="000000"/>
          <w:kern w:val="0"/>
          <w:sz w:val="28"/>
          <w:szCs w:val="28"/>
          <w:lang w:val="en-US" w:eastAsia="zh-CN" w:bidi="ar"/>
        </w:rPr>
        <w:t xml:space="preserve">（四）田赛 </w:t>
      </w:r>
    </w:p>
    <w:p w14:paraId="074F1D1A">
      <w:pPr>
        <w:keepNext w:val="0"/>
        <w:keepLines w:val="0"/>
        <w:pageBreakBefore w:val="0"/>
        <w:widowControl w:val="0"/>
        <w:suppressLineNumbers w:val="0"/>
        <w:kinsoku/>
        <w:wordWrap/>
        <w:overflowPunct/>
        <w:topLinePunct w:val="0"/>
        <w:autoSpaceDE/>
        <w:autoSpaceDN/>
        <w:bidi w:val="0"/>
        <w:adjustRightInd/>
        <w:snapToGrid/>
        <w:spacing w:line="240" w:lineRule="auto"/>
        <w:ind w:firstLine="560" w:firstLineChars="200"/>
        <w:jc w:val="both"/>
        <w:textAlignment w:val="auto"/>
        <w:rPr>
          <w:sz w:val="28"/>
          <w:szCs w:val="28"/>
        </w:rPr>
      </w:pPr>
      <w:r>
        <w:rPr>
          <w:rFonts w:hint="eastAsia" w:ascii="仿宋_GB2312" w:hAnsi="仿宋_GB2312" w:eastAsia="仿宋_GB2312" w:cs="仿宋_GB2312"/>
          <w:color w:val="000000"/>
          <w:kern w:val="0"/>
          <w:sz w:val="28"/>
          <w:szCs w:val="28"/>
          <w:lang w:val="en-US" w:eastAsia="zh-CN" w:bidi="ar"/>
        </w:rPr>
        <w:t xml:space="preserve">急行跳远：男女均采用3M板，挺身式、走步式评分可达优秀级，蹲踞式评分在良好及以下。每人三次机会，计最好一次成绩。 </w:t>
      </w:r>
    </w:p>
    <w:p w14:paraId="016C4A0D">
      <w:pPr>
        <w:keepNext w:val="0"/>
        <w:keepLines w:val="0"/>
        <w:pageBreakBefore w:val="0"/>
        <w:widowControl w:val="0"/>
        <w:suppressLineNumbers w:val="0"/>
        <w:kinsoku/>
        <w:wordWrap/>
        <w:overflowPunct/>
        <w:topLinePunct w:val="0"/>
        <w:autoSpaceDE/>
        <w:autoSpaceDN/>
        <w:bidi w:val="0"/>
        <w:adjustRightInd/>
        <w:snapToGrid/>
        <w:spacing w:line="240" w:lineRule="auto"/>
        <w:ind w:firstLine="561" w:firstLineChars="200"/>
        <w:jc w:val="both"/>
        <w:textAlignment w:val="auto"/>
        <w:rPr>
          <w:rFonts w:ascii="华文楷体" w:hAnsi="华文楷体" w:eastAsia="华文楷体" w:cs="华文楷体"/>
          <w:b/>
          <w:bCs/>
          <w:color w:val="000000"/>
          <w:kern w:val="0"/>
          <w:sz w:val="28"/>
          <w:szCs w:val="28"/>
          <w:lang w:val="en-US" w:eastAsia="zh-CN" w:bidi="ar"/>
        </w:rPr>
      </w:pPr>
      <w:r>
        <w:rPr>
          <w:rFonts w:ascii="华文楷体" w:hAnsi="华文楷体" w:eastAsia="华文楷体" w:cs="华文楷体"/>
          <w:b/>
          <w:bCs/>
          <w:color w:val="000000"/>
          <w:kern w:val="0"/>
          <w:sz w:val="28"/>
          <w:szCs w:val="28"/>
          <w:lang w:val="en-US" w:eastAsia="zh-CN" w:bidi="ar"/>
        </w:rPr>
        <w:t xml:space="preserve">（五）径赛 </w:t>
      </w:r>
    </w:p>
    <w:p w14:paraId="11F8C2A4">
      <w:pPr>
        <w:keepNext w:val="0"/>
        <w:keepLines w:val="0"/>
        <w:pageBreakBefore w:val="0"/>
        <w:widowControl w:val="0"/>
        <w:suppressLineNumbers w:val="0"/>
        <w:kinsoku/>
        <w:wordWrap/>
        <w:overflowPunct/>
        <w:topLinePunct w:val="0"/>
        <w:autoSpaceDE/>
        <w:autoSpaceDN/>
        <w:bidi w:val="0"/>
        <w:adjustRightInd/>
        <w:snapToGrid/>
        <w:spacing w:line="240" w:lineRule="auto"/>
        <w:ind w:firstLine="560" w:firstLineChars="200"/>
        <w:jc w:val="both"/>
        <w:textAlignment w:val="auto"/>
        <w:rPr>
          <w:rFonts w:hint="eastAsia" w:ascii="仿宋_GB2312" w:hAnsi="仿宋_GB2312" w:eastAsia="仿宋_GB2312" w:cs="仿宋_GB2312"/>
          <w:color w:val="000000"/>
          <w:kern w:val="0"/>
          <w:sz w:val="28"/>
          <w:szCs w:val="28"/>
          <w:lang w:val="en-US" w:eastAsia="zh-CN" w:bidi="ar"/>
        </w:rPr>
      </w:pPr>
      <w:r>
        <w:rPr>
          <w:rFonts w:hint="eastAsia" w:ascii="仿宋_GB2312" w:hAnsi="仿宋_GB2312" w:eastAsia="仿宋_GB2312" w:cs="仿宋_GB2312"/>
          <w:color w:val="000000"/>
          <w:kern w:val="0"/>
          <w:sz w:val="28"/>
          <w:szCs w:val="28"/>
          <w:lang w:val="en-US" w:eastAsia="zh-CN" w:bidi="ar"/>
        </w:rPr>
        <w:t xml:space="preserve">跨栏跑——弯道跑组合：全程 100m，其中直道40m，弯道60m。直道中跨过3个栏：男，起跑至第一栏距离13.72m，栏高0.84m，栏间 9.14m；女，起跑至第一栏距离 13m，栏高 0.762m， 栏间 8.5m。每人一次测试机会。 </w:t>
      </w:r>
    </w:p>
    <w:p w14:paraId="5FBAF82E">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color w:val="000000"/>
          <w:kern w:val="0"/>
          <w:sz w:val="28"/>
          <w:szCs w:val="28"/>
          <w:lang w:val="en-US" w:eastAsia="zh-CN" w:bidi="ar"/>
        </w:rPr>
      </w:pPr>
      <w:r>
        <w:rPr>
          <w:sz w:val="28"/>
          <w:szCs w:val="28"/>
        </w:rPr>
        <w:drawing>
          <wp:inline distT="0" distB="0" distL="114300" distR="114300">
            <wp:extent cx="5727700" cy="3559175"/>
            <wp:effectExtent l="0" t="0" r="635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727700" cy="3559175"/>
                    </a:xfrm>
                    <a:prstGeom prst="rect">
                      <a:avLst/>
                    </a:prstGeom>
                    <a:noFill/>
                    <a:ln>
                      <a:noFill/>
                    </a:ln>
                  </pic:spPr>
                </pic:pic>
              </a:graphicData>
            </a:graphic>
          </wp:inline>
        </w:drawing>
      </w:r>
    </w:p>
    <w:p w14:paraId="5B2E6FA9">
      <w:pPr>
        <w:keepNext w:val="0"/>
        <w:keepLines w:val="0"/>
        <w:pageBreakBefore w:val="0"/>
        <w:widowControl w:val="0"/>
        <w:suppressLineNumbers w:val="0"/>
        <w:kinsoku/>
        <w:wordWrap/>
        <w:overflowPunct/>
        <w:topLinePunct w:val="0"/>
        <w:autoSpaceDE/>
        <w:autoSpaceDN/>
        <w:bidi w:val="0"/>
        <w:adjustRightInd/>
        <w:snapToGrid/>
        <w:spacing w:line="240" w:lineRule="auto"/>
        <w:ind w:firstLine="561" w:firstLineChars="200"/>
        <w:jc w:val="both"/>
        <w:textAlignment w:val="auto"/>
        <w:rPr>
          <w:rFonts w:ascii="华文楷体" w:hAnsi="华文楷体" w:eastAsia="华文楷体" w:cs="华文楷体"/>
          <w:b/>
          <w:bCs/>
          <w:color w:val="000000"/>
          <w:kern w:val="0"/>
          <w:sz w:val="28"/>
          <w:szCs w:val="28"/>
          <w:lang w:val="en-US" w:eastAsia="zh-CN" w:bidi="ar"/>
        </w:rPr>
      </w:pPr>
      <w:r>
        <w:rPr>
          <w:rFonts w:ascii="华文楷体" w:hAnsi="华文楷体" w:eastAsia="华文楷体" w:cs="华文楷体"/>
          <w:b/>
          <w:bCs/>
          <w:color w:val="000000"/>
          <w:kern w:val="0"/>
          <w:sz w:val="28"/>
          <w:szCs w:val="28"/>
          <w:lang w:val="en-US" w:eastAsia="zh-CN" w:bidi="ar"/>
        </w:rPr>
        <w:t xml:space="preserve">（六）体操（技巧） </w:t>
      </w:r>
    </w:p>
    <w:p w14:paraId="654338D1">
      <w:pPr>
        <w:keepNext w:val="0"/>
        <w:keepLines w:val="0"/>
        <w:pageBreakBefore w:val="0"/>
        <w:widowControl w:val="0"/>
        <w:suppressLineNumbers w:val="0"/>
        <w:kinsoku/>
        <w:wordWrap/>
        <w:overflowPunct/>
        <w:topLinePunct w:val="0"/>
        <w:autoSpaceDE/>
        <w:autoSpaceDN/>
        <w:bidi w:val="0"/>
        <w:adjustRightInd/>
        <w:snapToGrid/>
        <w:spacing w:line="240" w:lineRule="auto"/>
        <w:ind w:firstLine="560" w:firstLineChars="200"/>
        <w:jc w:val="both"/>
        <w:textAlignment w:val="auto"/>
        <w:rPr>
          <w:sz w:val="28"/>
          <w:szCs w:val="28"/>
        </w:rPr>
      </w:pPr>
      <w:r>
        <w:rPr>
          <w:rFonts w:hint="eastAsia" w:ascii="仿宋_GB2312" w:hAnsi="仿宋_GB2312" w:eastAsia="仿宋_GB2312" w:cs="仿宋_GB2312"/>
          <w:color w:val="000000"/>
          <w:kern w:val="0"/>
          <w:sz w:val="28"/>
          <w:szCs w:val="28"/>
          <w:lang w:val="en-US" w:eastAsia="zh-CN" w:bidi="ar"/>
        </w:rPr>
        <w:t>1.按顺序在规定区域等候出场，出场时，面向裁判右手上举示意动作开始，动作完成后，面向裁判站立，两臂侧上举示意动作结束。</w:t>
      </w:r>
    </w:p>
    <w:p w14:paraId="6883D6F0">
      <w:pPr>
        <w:keepNext w:val="0"/>
        <w:keepLines w:val="0"/>
        <w:pageBreakBefore w:val="0"/>
        <w:widowControl w:val="0"/>
        <w:suppressLineNumbers w:val="0"/>
        <w:kinsoku/>
        <w:wordWrap/>
        <w:overflowPunct/>
        <w:topLinePunct w:val="0"/>
        <w:autoSpaceDE/>
        <w:autoSpaceDN/>
        <w:bidi w:val="0"/>
        <w:adjustRightInd/>
        <w:snapToGrid/>
        <w:spacing w:line="240" w:lineRule="auto"/>
        <w:ind w:firstLine="560" w:firstLineChars="200"/>
        <w:jc w:val="both"/>
        <w:textAlignment w:val="auto"/>
        <w:rPr>
          <w:sz w:val="28"/>
          <w:szCs w:val="28"/>
        </w:rPr>
      </w:pPr>
      <w:r>
        <w:rPr>
          <w:rFonts w:hint="eastAsia" w:ascii="仿宋_GB2312" w:hAnsi="仿宋_GB2312" w:eastAsia="仿宋_GB2312" w:cs="仿宋_GB2312"/>
          <w:color w:val="000000"/>
          <w:kern w:val="0"/>
          <w:sz w:val="28"/>
          <w:szCs w:val="28"/>
          <w:lang w:val="en-US" w:eastAsia="zh-CN" w:bidi="ar"/>
        </w:rPr>
        <w:t>2.应连贯完成规定组合动作，动作失败，在裁判示意允许的情况下，可从失败动作处继续，但一个动作反复失败达三次，此动作计零分。</w:t>
      </w:r>
    </w:p>
    <w:p w14:paraId="581EA115">
      <w:pPr>
        <w:keepNext w:val="0"/>
        <w:keepLines w:val="0"/>
        <w:pageBreakBefore w:val="0"/>
        <w:widowControl w:val="0"/>
        <w:suppressLineNumbers w:val="0"/>
        <w:kinsoku/>
        <w:wordWrap/>
        <w:overflowPunct/>
        <w:topLinePunct w:val="0"/>
        <w:autoSpaceDE/>
        <w:autoSpaceDN/>
        <w:bidi w:val="0"/>
        <w:adjustRightInd/>
        <w:snapToGrid/>
        <w:spacing w:line="240" w:lineRule="auto"/>
        <w:ind w:firstLine="560" w:firstLineChars="200"/>
        <w:jc w:val="both"/>
        <w:textAlignment w:val="auto"/>
        <w:rPr>
          <w:sz w:val="28"/>
          <w:szCs w:val="28"/>
        </w:rPr>
      </w:pPr>
      <w:r>
        <w:rPr>
          <w:rFonts w:hint="eastAsia" w:ascii="仿宋_GB2312" w:hAnsi="仿宋_GB2312" w:eastAsia="仿宋_GB2312" w:cs="仿宋_GB2312"/>
          <w:color w:val="000000"/>
          <w:kern w:val="0"/>
          <w:sz w:val="28"/>
          <w:szCs w:val="28"/>
          <w:lang w:val="en-US" w:eastAsia="zh-CN" w:bidi="ar"/>
        </w:rPr>
        <w:t>3.应着简洁运动装和体操鞋，禁止佩戴项链、戒指、手镯、手表等饰物参赛。</w:t>
      </w:r>
    </w:p>
    <w:p w14:paraId="6003F65A">
      <w:pPr>
        <w:keepNext w:val="0"/>
        <w:keepLines w:val="0"/>
        <w:pageBreakBefore w:val="0"/>
        <w:widowControl w:val="0"/>
        <w:suppressLineNumbers w:val="0"/>
        <w:kinsoku/>
        <w:wordWrap/>
        <w:overflowPunct/>
        <w:topLinePunct w:val="0"/>
        <w:autoSpaceDE/>
        <w:autoSpaceDN/>
        <w:bidi w:val="0"/>
        <w:adjustRightInd/>
        <w:snapToGrid/>
        <w:spacing w:line="240" w:lineRule="auto"/>
        <w:ind w:firstLine="560" w:firstLineChars="200"/>
        <w:jc w:val="both"/>
        <w:textAlignment w:val="auto"/>
        <w:rPr>
          <w:sz w:val="28"/>
          <w:szCs w:val="28"/>
        </w:rPr>
      </w:pPr>
      <w:r>
        <w:rPr>
          <w:rFonts w:hint="eastAsia" w:ascii="仿宋_GB2312" w:hAnsi="仿宋_GB2312" w:eastAsia="仿宋_GB2312" w:cs="仿宋_GB2312"/>
          <w:color w:val="000000"/>
          <w:kern w:val="0"/>
          <w:sz w:val="28"/>
          <w:szCs w:val="28"/>
          <w:lang w:val="en-US" w:eastAsia="zh-CN" w:bidi="ar"/>
        </w:rPr>
        <w:t xml:space="preserve">男子技巧组合动作：直立——鱼跃前滚翻——蹲撑跳成屈体分腿俯撑——体前屈两臂侧举（稍停）——分腿慢起成头手倒立（停3"）——前滚翻成直腿坐——经体前屈后倒屈体后滚翻成直立同时两臂上举——（趋步）侧手翻——向前并步成直立。 </w:t>
      </w:r>
    </w:p>
    <w:p w14:paraId="2B56884C">
      <w:pPr>
        <w:keepNext w:val="0"/>
        <w:keepLines w:val="0"/>
        <w:pageBreakBefore w:val="0"/>
        <w:widowControl w:val="0"/>
        <w:suppressLineNumbers w:val="0"/>
        <w:kinsoku/>
        <w:wordWrap/>
        <w:overflowPunct/>
        <w:topLinePunct w:val="0"/>
        <w:autoSpaceDE/>
        <w:autoSpaceDN/>
        <w:bidi w:val="0"/>
        <w:adjustRightInd/>
        <w:snapToGrid/>
        <w:spacing w:line="240" w:lineRule="auto"/>
        <w:ind w:firstLine="560" w:firstLineChars="200"/>
        <w:jc w:val="both"/>
        <w:textAlignment w:val="auto"/>
        <w:rPr>
          <w:sz w:val="28"/>
          <w:szCs w:val="28"/>
        </w:rPr>
      </w:pPr>
      <w:r>
        <w:rPr>
          <w:rFonts w:hint="eastAsia" w:ascii="仿宋_GB2312" w:hAnsi="仿宋_GB2312" w:eastAsia="仿宋_GB2312" w:cs="仿宋_GB2312"/>
          <w:color w:val="000000"/>
          <w:kern w:val="0"/>
          <w:sz w:val="28"/>
          <w:szCs w:val="28"/>
          <w:lang w:val="en-US" w:eastAsia="zh-CN" w:bidi="ar"/>
        </w:rPr>
        <w:t xml:space="preserve">女子技巧组合动作：直立——前滚翻——直立，两臂经侧至上举，上一步成俯平衡（停 2"）——单脚蹬地前滚翻成直腿坐——经体前屈后倒成肩肘倒立（停 2"）——经单肩后滚翻成单腿跪撑平衡——成跪立——跪跳起——侧手翻——向前并步成直立。 </w:t>
      </w:r>
    </w:p>
    <w:p w14:paraId="3E88FAAD">
      <w:pPr>
        <w:keepNext w:val="0"/>
        <w:keepLines w:val="0"/>
        <w:pageBreakBefore w:val="0"/>
        <w:widowControl w:val="0"/>
        <w:suppressLineNumbers w:val="0"/>
        <w:kinsoku/>
        <w:wordWrap/>
        <w:overflowPunct/>
        <w:topLinePunct w:val="0"/>
        <w:autoSpaceDE/>
        <w:autoSpaceDN/>
        <w:bidi w:val="0"/>
        <w:adjustRightInd/>
        <w:snapToGrid/>
        <w:spacing w:line="240" w:lineRule="auto"/>
        <w:ind w:firstLine="561" w:firstLineChars="200"/>
        <w:jc w:val="both"/>
        <w:textAlignment w:val="auto"/>
        <w:rPr>
          <w:rFonts w:ascii="华文楷体" w:hAnsi="华文楷体" w:eastAsia="华文楷体" w:cs="华文楷体"/>
          <w:b/>
          <w:bCs/>
          <w:color w:val="000000"/>
          <w:kern w:val="0"/>
          <w:sz w:val="28"/>
          <w:szCs w:val="28"/>
          <w:lang w:val="en-US" w:eastAsia="zh-CN" w:bidi="ar"/>
        </w:rPr>
      </w:pPr>
      <w:r>
        <w:rPr>
          <w:rFonts w:ascii="华文楷体" w:hAnsi="华文楷体" w:eastAsia="华文楷体" w:cs="华文楷体"/>
          <w:b/>
          <w:bCs/>
          <w:color w:val="000000"/>
          <w:kern w:val="0"/>
          <w:sz w:val="28"/>
          <w:szCs w:val="28"/>
          <w:lang w:val="en-US" w:eastAsia="zh-CN" w:bidi="ar"/>
        </w:rPr>
        <w:t xml:space="preserve">（七）武术 </w:t>
      </w:r>
    </w:p>
    <w:p w14:paraId="6E2E977E">
      <w:pPr>
        <w:keepNext w:val="0"/>
        <w:keepLines w:val="0"/>
        <w:pageBreakBefore w:val="0"/>
        <w:widowControl w:val="0"/>
        <w:suppressLineNumbers w:val="0"/>
        <w:kinsoku/>
        <w:wordWrap/>
        <w:overflowPunct/>
        <w:topLinePunct w:val="0"/>
        <w:autoSpaceDE/>
        <w:autoSpaceDN/>
        <w:bidi w:val="0"/>
        <w:adjustRightInd/>
        <w:snapToGrid/>
        <w:spacing w:line="240" w:lineRule="auto"/>
        <w:ind w:firstLine="560" w:firstLineChars="200"/>
        <w:jc w:val="both"/>
        <w:textAlignment w:val="auto"/>
        <w:rPr>
          <w:sz w:val="28"/>
          <w:szCs w:val="28"/>
        </w:rPr>
      </w:pPr>
      <w:r>
        <w:rPr>
          <w:rFonts w:hint="eastAsia" w:ascii="仿宋_GB2312" w:hAnsi="仿宋_GB2312" w:eastAsia="仿宋_GB2312" w:cs="仿宋_GB2312"/>
          <w:color w:val="000000"/>
          <w:kern w:val="0"/>
          <w:sz w:val="28"/>
          <w:szCs w:val="28"/>
          <w:lang w:val="en-US" w:eastAsia="zh-CN" w:bidi="ar"/>
        </w:rPr>
        <w:t xml:space="preserve">《形神拳》武术套路（参见普通高中教科书教师教学用书.体育与健康:必修:全一册/人民教育出版社，2019 年 7 月版）。 </w:t>
      </w:r>
    </w:p>
    <w:p w14:paraId="2714F940">
      <w:pPr>
        <w:keepNext w:val="0"/>
        <w:keepLines w:val="0"/>
        <w:pageBreakBefore w:val="0"/>
        <w:widowControl w:val="0"/>
        <w:suppressLineNumbers w:val="0"/>
        <w:kinsoku/>
        <w:wordWrap/>
        <w:overflowPunct/>
        <w:topLinePunct w:val="0"/>
        <w:autoSpaceDE/>
        <w:autoSpaceDN/>
        <w:bidi w:val="0"/>
        <w:adjustRightInd/>
        <w:snapToGrid/>
        <w:spacing w:line="240" w:lineRule="auto"/>
        <w:ind w:firstLine="560" w:firstLineChars="200"/>
        <w:jc w:val="both"/>
        <w:textAlignment w:val="auto"/>
        <w:rPr>
          <w:sz w:val="28"/>
          <w:szCs w:val="28"/>
        </w:rPr>
      </w:pPr>
      <w:r>
        <w:rPr>
          <w:rFonts w:hint="eastAsia" w:ascii="仿宋_GB2312" w:hAnsi="仿宋_GB2312" w:eastAsia="仿宋_GB2312" w:cs="仿宋_GB2312"/>
          <w:color w:val="000000"/>
          <w:kern w:val="0"/>
          <w:sz w:val="28"/>
          <w:szCs w:val="28"/>
          <w:lang w:val="en-US" w:eastAsia="zh-CN" w:bidi="ar"/>
        </w:rPr>
        <w:t xml:space="preserve">预备势——并步抱拳——左、右侧并步冲拳——开步前推双掌——翻掌抱拳——震脚砸拳——蹬腿冲拳——马步冲拳——插步摆掌——转身弓步勾手推掌——弹踢推掌——弓步冲拳——抡臂砸拳——弓步冲拳——震脚左弓步双推掌——抡臂拍脚——弓步顶肘——歇步冲拳——提膝穿掌——仆步穿掌——虚步挑掌——震脚提膝上冲拳——弓步架拳——蹬腿冲拳——转身提膝双挑掌——提膝穿掌——仆步穿掌——仆步抡拍——弓步架栽拳——收势。每人一次测试机会。 </w:t>
      </w:r>
    </w:p>
    <w:p w14:paraId="242931F5">
      <w:pPr>
        <w:keepNext w:val="0"/>
        <w:keepLines w:val="0"/>
        <w:pageBreakBefore w:val="0"/>
        <w:widowControl w:val="0"/>
        <w:suppressLineNumbers w:val="0"/>
        <w:kinsoku/>
        <w:wordWrap/>
        <w:overflowPunct/>
        <w:topLinePunct w:val="0"/>
        <w:autoSpaceDE/>
        <w:autoSpaceDN/>
        <w:bidi w:val="0"/>
        <w:adjustRightInd/>
        <w:snapToGrid/>
        <w:spacing w:line="240" w:lineRule="auto"/>
        <w:ind w:firstLine="561" w:firstLineChars="200"/>
        <w:jc w:val="both"/>
        <w:textAlignment w:val="auto"/>
        <w:rPr>
          <w:rFonts w:ascii="华文楷体" w:hAnsi="华文楷体" w:eastAsia="华文楷体" w:cs="华文楷体"/>
          <w:b/>
          <w:bCs/>
          <w:color w:val="000000"/>
          <w:kern w:val="0"/>
          <w:sz w:val="28"/>
          <w:szCs w:val="28"/>
          <w:lang w:val="en-US" w:eastAsia="zh-CN" w:bidi="ar"/>
        </w:rPr>
      </w:pPr>
      <w:r>
        <w:rPr>
          <w:rFonts w:ascii="华文楷体" w:hAnsi="华文楷体" w:eastAsia="华文楷体" w:cs="华文楷体"/>
          <w:b/>
          <w:bCs/>
          <w:color w:val="000000"/>
          <w:kern w:val="0"/>
          <w:sz w:val="28"/>
          <w:szCs w:val="28"/>
          <w:lang w:val="en-US" w:eastAsia="zh-CN" w:bidi="ar"/>
        </w:rPr>
        <w:t xml:space="preserve">（八）健美操 </w:t>
      </w:r>
    </w:p>
    <w:p w14:paraId="2D597ADA">
      <w:pPr>
        <w:keepNext w:val="0"/>
        <w:keepLines w:val="0"/>
        <w:pageBreakBefore w:val="0"/>
        <w:widowControl w:val="0"/>
        <w:suppressLineNumbers w:val="0"/>
        <w:kinsoku/>
        <w:wordWrap/>
        <w:overflowPunct/>
        <w:topLinePunct w:val="0"/>
        <w:autoSpaceDE/>
        <w:autoSpaceDN/>
        <w:bidi w:val="0"/>
        <w:adjustRightInd/>
        <w:snapToGrid/>
        <w:spacing w:line="240" w:lineRule="auto"/>
        <w:ind w:firstLine="560" w:firstLineChars="200"/>
        <w:jc w:val="both"/>
        <w:textAlignment w:val="auto"/>
        <w:rPr>
          <w:sz w:val="28"/>
          <w:szCs w:val="28"/>
        </w:rPr>
      </w:pPr>
      <w:r>
        <w:rPr>
          <w:rFonts w:hint="eastAsia" w:ascii="仿宋_GB2312" w:hAnsi="仿宋_GB2312" w:eastAsia="仿宋_GB2312" w:cs="仿宋_GB2312"/>
          <w:color w:val="000000"/>
          <w:kern w:val="0"/>
          <w:sz w:val="28"/>
          <w:szCs w:val="28"/>
          <w:lang w:val="en-US" w:eastAsia="zh-CN" w:bidi="ar"/>
        </w:rPr>
        <w:t>《全国健美操大众锻炼标准第三套动作》成人二级成套动作，地面动作（力量训练部分）不做。参见中国健美操协会审定的《全国健美操大众锻炼标准第三套动作图解》（2009年8月发行）。比赛时配合音乐进行成套动作的比赛，每人一次测试机会。</w:t>
      </w:r>
    </w:p>
    <w:p w14:paraId="17AF407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音乐学科</w:t>
      </w:r>
    </w:p>
    <w:p w14:paraId="75DEF09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黑体" w:hAnsi="黑体" w:eastAsia="黑体" w:cs="黑体"/>
          <w:color w:val="auto"/>
          <w:sz w:val="32"/>
          <w:szCs w:val="32"/>
          <w:lang w:val="en-US" w:eastAsia="zh-CN"/>
        </w:rPr>
      </w:pPr>
    </w:p>
    <w:p w14:paraId="4665389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一、现场教学设计（30分）</w:t>
      </w:r>
    </w:p>
    <w:p w14:paraId="2575BED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参赛教师自带教材（根据所在学段带每个年级的上册教材）进入考场，在规定的时间内，按照现场指定课题在给定的答卷上撰写教学设计（60分钟）。</w:t>
      </w:r>
    </w:p>
    <w:p w14:paraId="6AAB89F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二、现场模拟上课（40分）</w:t>
      </w:r>
    </w:p>
    <w:tbl>
      <w:tblPr>
        <w:tblStyle w:val="6"/>
        <w:tblpPr w:leftFromText="180" w:rightFromText="180" w:vertAnchor="text" w:horzAnchor="page" w:tblpX="1891" w:tblpY="29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7"/>
        <w:gridCol w:w="6325"/>
      </w:tblGrid>
      <w:tr w14:paraId="4D853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22" w:type="dxa"/>
            <w:gridSpan w:val="2"/>
          </w:tcPr>
          <w:p w14:paraId="3D240C0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center"/>
              <w:textAlignment w:val="auto"/>
              <w:rPr>
                <w:rFonts w:hint="eastAsia" w:ascii="仿宋_GB2312" w:hAnsi="仿宋_GB2312" w:eastAsia="仿宋_GB2312" w:cs="仿宋_GB2312"/>
                <w:b/>
                <w:bCs/>
                <w:sz w:val="24"/>
                <w:szCs w:val="24"/>
                <w:vertAlign w:val="baseline"/>
                <w:lang w:val="en-US" w:eastAsia="zh-CN"/>
              </w:rPr>
            </w:pPr>
            <w:r>
              <w:rPr>
                <w:rFonts w:hint="eastAsia" w:ascii="仿宋_GB2312" w:hAnsi="仿宋_GB2312" w:eastAsia="仿宋_GB2312" w:cs="仿宋_GB2312"/>
                <w:b w:val="0"/>
                <w:bCs w:val="0"/>
                <w:color w:val="auto"/>
                <w:sz w:val="24"/>
                <w:szCs w:val="24"/>
                <w:lang w:val="en-US" w:eastAsia="zh-CN"/>
              </w:rPr>
              <w:t>模拟上课内容</w:t>
            </w:r>
          </w:p>
        </w:tc>
      </w:tr>
      <w:tr w14:paraId="5BE2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97" w:type="dxa"/>
          </w:tcPr>
          <w:p w14:paraId="3DAAB4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学段学科</w:t>
            </w:r>
          </w:p>
        </w:tc>
        <w:tc>
          <w:tcPr>
            <w:tcW w:w="6325" w:type="dxa"/>
          </w:tcPr>
          <w:p w14:paraId="7D4D9D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参评课题</w:t>
            </w:r>
          </w:p>
        </w:tc>
      </w:tr>
      <w:tr w14:paraId="7A6F1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97" w:type="dxa"/>
            <w:vAlign w:val="center"/>
          </w:tcPr>
          <w:p w14:paraId="3E5BEF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小学音乐</w:t>
            </w:r>
          </w:p>
        </w:tc>
        <w:tc>
          <w:tcPr>
            <w:tcW w:w="6325" w:type="dxa"/>
            <w:vAlign w:val="center"/>
          </w:tcPr>
          <w:p w14:paraId="335D483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lang w:val="en-US" w:eastAsia="zh-CN"/>
              </w:rPr>
              <w:t>1.</w:t>
            </w:r>
            <w:r>
              <w:rPr>
                <w:rFonts w:hint="eastAsia" w:ascii="仿宋_GB2312" w:hAnsi="仿宋_GB2312" w:eastAsia="仿宋_GB2312" w:cs="仿宋_GB2312"/>
                <w:sz w:val="24"/>
                <w:szCs w:val="24"/>
                <w:vertAlign w:val="baseline"/>
              </w:rPr>
              <w:t>卖报歌</w:t>
            </w:r>
          </w:p>
          <w:p w14:paraId="6AA027F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lang w:val="en-US" w:eastAsia="zh-CN"/>
              </w:rPr>
              <w:t>2.</w:t>
            </w:r>
            <w:r>
              <w:rPr>
                <w:rFonts w:hint="eastAsia" w:ascii="仿宋_GB2312" w:hAnsi="仿宋_GB2312" w:eastAsia="仿宋_GB2312" w:cs="仿宋_GB2312"/>
                <w:sz w:val="24"/>
                <w:szCs w:val="24"/>
                <w:vertAlign w:val="baseline"/>
              </w:rPr>
              <w:t>我是小</w:t>
            </w:r>
            <w:r>
              <w:rPr>
                <w:rFonts w:hint="eastAsia" w:ascii="仿宋_GB2312" w:hAnsi="仿宋_GB2312" w:eastAsia="仿宋_GB2312" w:cs="仿宋_GB2312"/>
                <w:sz w:val="24"/>
                <w:szCs w:val="24"/>
                <w:vertAlign w:val="baseline"/>
                <w:lang w:val="en-US" w:eastAsia="zh-CN"/>
              </w:rPr>
              <w:t>小</w:t>
            </w:r>
            <w:r>
              <w:rPr>
                <w:rFonts w:hint="eastAsia" w:ascii="仿宋_GB2312" w:hAnsi="仿宋_GB2312" w:eastAsia="仿宋_GB2312" w:cs="仿宋_GB2312"/>
                <w:sz w:val="24"/>
                <w:szCs w:val="24"/>
                <w:vertAlign w:val="baseline"/>
              </w:rPr>
              <w:t>音乐家</w:t>
            </w:r>
          </w:p>
          <w:p w14:paraId="4D67615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lang w:val="en-US" w:eastAsia="zh-CN"/>
              </w:rPr>
              <w:t>3.</w:t>
            </w:r>
            <w:r>
              <w:rPr>
                <w:rFonts w:hint="eastAsia" w:ascii="仿宋_GB2312" w:hAnsi="仿宋_GB2312" w:eastAsia="仿宋_GB2312" w:cs="仿宋_GB2312"/>
                <w:sz w:val="24"/>
                <w:szCs w:val="24"/>
                <w:vertAlign w:val="baseline"/>
              </w:rPr>
              <w:t>瑶族舞曲</w:t>
            </w:r>
          </w:p>
          <w:p w14:paraId="361A838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lang w:val="en-US" w:eastAsia="zh-CN"/>
              </w:rPr>
              <w:t>4.</w:t>
            </w:r>
            <w:r>
              <w:rPr>
                <w:rFonts w:hint="eastAsia" w:ascii="仿宋_GB2312" w:hAnsi="仿宋_GB2312" w:eastAsia="仿宋_GB2312" w:cs="仿宋_GB2312"/>
                <w:sz w:val="24"/>
                <w:szCs w:val="24"/>
                <w:vertAlign w:val="baseline"/>
              </w:rPr>
              <w:t>铁匠波尔卡</w:t>
            </w:r>
          </w:p>
        </w:tc>
      </w:tr>
      <w:tr w14:paraId="151F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97" w:type="dxa"/>
            <w:vAlign w:val="center"/>
          </w:tcPr>
          <w:p w14:paraId="212B96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初中音乐</w:t>
            </w:r>
          </w:p>
        </w:tc>
        <w:tc>
          <w:tcPr>
            <w:tcW w:w="6325" w:type="dxa"/>
            <w:vAlign w:val="center"/>
          </w:tcPr>
          <w:p w14:paraId="61D18AE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lang w:val="en-US" w:eastAsia="zh-CN"/>
              </w:rPr>
              <w:t>1.</w:t>
            </w:r>
            <w:r>
              <w:rPr>
                <w:rFonts w:hint="eastAsia" w:ascii="仿宋_GB2312" w:hAnsi="仿宋_GB2312" w:eastAsia="仿宋_GB2312" w:cs="仿宋_GB2312"/>
                <w:sz w:val="24"/>
                <w:szCs w:val="24"/>
                <w:vertAlign w:val="baseline"/>
              </w:rPr>
              <w:t>乌苏里船歌</w:t>
            </w:r>
          </w:p>
          <w:p w14:paraId="22CA8D6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lang w:val="en-US" w:eastAsia="zh-CN"/>
              </w:rPr>
              <w:t>2.</w:t>
            </w:r>
            <w:r>
              <w:rPr>
                <w:rFonts w:hint="eastAsia" w:ascii="仿宋_GB2312" w:hAnsi="仿宋_GB2312" w:eastAsia="仿宋_GB2312" w:cs="仿宋_GB2312"/>
                <w:sz w:val="24"/>
                <w:szCs w:val="24"/>
                <w:vertAlign w:val="baseline"/>
              </w:rPr>
              <w:t>阳关三叠</w:t>
            </w:r>
          </w:p>
          <w:p w14:paraId="29741F3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lang w:val="en-US" w:eastAsia="zh-CN"/>
              </w:rPr>
              <w:t>3.</w:t>
            </w:r>
            <w:r>
              <w:rPr>
                <w:rFonts w:hint="eastAsia" w:ascii="仿宋_GB2312" w:hAnsi="仿宋_GB2312" w:eastAsia="仿宋_GB2312" w:cs="仿宋_GB2312"/>
                <w:sz w:val="24"/>
                <w:szCs w:val="24"/>
                <w:vertAlign w:val="baseline"/>
              </w:rPr>
              <w:t>彩云追月</w:t>
            </w:r>
          </w:p>
          <w:p w14:paraId="2E17363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lang w:val="en-US" w:eastAsia="zh-CN"/>
              </w:rPr>
              <w:t>4.</w:t>
            </w:r>
            <w:r>
              <w:rPr>
                <w:rFonts w:hint="eastAsia" w:ascii="仿宋_GB2312" w:hAnsi="仿宋_GB2312" w:eastAsia="仿宋_GB2312" w:cs="仿宋_GB2312"/>
                <w:sz w:val="24"/>
                <w:szCs w:val="24"/>
                <w:vertAlign w:val="baseline"/>
              </w:rPr>
              <w:t>第五（命运）交响曲</w:t>
            </w:r>
          </w:p>
        </w:tc>
      </w:tr>
      <w:tr w14:paraId="2F4DF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97" w:type="dxa"/>
            <w:vAlign w:val="center"/>
          </w:tcPr>
          <w:p w14:paraId="0FBE6C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高中音乐</w:t>
            </w:r>
          </w:p>
        </w:tc>
        <w:tc>
          <w:tcPr>
            <w:tcW w:w="6325" w:type="dxa"/>
            <w:vAlign w:val="center"/>
          </w:tcPr>
          <w:p w14:paraId="607887A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1.湘艺版《音乐鉴赏》1.3联想与想象</w:t>
            </w:r>
          </w:p>
          <w:p w14:paraId="563BB7A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2.湘艺版《音乐鉴赏》2.3中国近代音乐（1）</w:t>
            </w:r>
          </w:p>
          <w:p w14:paraId="032DB99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3.湘艺版《音乐鉴赏》4.1民歌（1），</w:t>
            </w:r>
          </w:p>
          <w:p w14:paraId="49A6919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4.湘艺版《音乐鉴赏》5.3非洲、美洲民族民间音乐</w:t>
            </w:r>
          </w:p>
        </w:tc>
      </w:tr>
    </w:tbl>
    <w:p w14:paraId="29C2116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现场比赛时，选手从指定课题中抽取其中一节课，借助课件，面向评委现场模拟上课（10分钟）。</w:t>
      </w:r>
    </w:p>
    <w:p w14:paraId="17903CA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三、才艺展示（30分）</w:t>
      </w:r>
    </w:p>
    <w:p w14:paraId="4575A38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才艺展示分为声乐、器乐、舞蹈三项（考察教师基本素养），参评教师根据自己的特长选择其中一项进行展示，乐器、伴奏音乐自备（钢琴除外），才艺展示时间5分钟。</w:t>
      </w:r>
    </w:p>
    <w:p w14:paraId="3B78EA86">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br w:type="page"/>
      </w:r>
    </w:p>
    <w:p w14:paraId="3EB3EEA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美术学科</w:t>
      </w:r>
    </w:p>
    <w:p w14:paraId="5AC9060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楷体" w:hAnsi="楷体" w:eastAsia="楷体" w:cs="楷体"/>
          <w:b/>
          <w:bCs/>
          <w:sz w:val="32"/>
          <w:szCs w:val="32"/>
          <w:lang w:val="en-US" w:eastAsia="zh-CN"/>
        </w:rPr>
      </w:pPr>
    </w:p>
    <w:p w14:paraId="6CC471B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一、现场教学设计（30分）</w:t>
      </w:r>
    </w:p>
    <w:p w14:paraId="1089694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参赛教师自带教材（根据所在学段带每个年级的上册教材）进入考场，在规定的时间内，按照现场指定课题在给定的答卷上撰写教学设计（60分钟）。</w:t>
      </w:r>
    </w:p>
    <w:p w14:paraId="47D4C57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eastAsia" w:ascii="黑体" w:hAnsi="黑体" w:eastAsia="黑体" w:cs="黑体"/>
          <w:b w:val="0"/>
          <w:bCs w:val="0"/>
          <w:color w:val="000000"/>
          <w:sz w:val="32"/>
          <w:szCs w:val="32"/>
          <w:lang w:eastAsia="zh-CN"/>
        </w:rPr>
      </w:pPr>
      <w:r>
        <w:rPr>
          <w:rFonts w:hint="eastAsia" w:ascii="黑体" w:hAnsi="黑体" w:eastAsia="黑体" w:cs="黑体"/>
          <w:b w:val="0"/>
          <w:bCs w:val="0"/>
          <w:color w:val="000000"/>
          <w:sz w:val="32"/>
          <w:szCs w:val="32"/>
        </w:rPr>
        <w:t>评分标准</w:t>
      </w:r>
      <w:r>
        <w:rPr>
          <w:rFonts w:hint="eastAsia" w:ascii="黑体" w:hAnsi="黑体" w:eastAsia="黑体" w:cs="黑体"/>
          <w:b w:val="0"/>
          <w:bCs w:val="0"/>
          <w:color w:val="000000"/>
          <w:sz w:val="32"/>
          <w:szCs w:val="32"/>
          <w:lang w:eastAsia="zh-CN"/>
        </w:rPr>
        <w:t>：</w:t>
      </w:r>
    </w:p>
    <w:p w14:paraId="05FCC6E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eastAsia" w:ascii="楷体" w:hAnsi="楷体" w:eastAsia="楷体" w:cs="楷体"/>
          <w:b w:val="0"/>
          <w:bCs w:val="0"/>
          <w:color w:val="000000"/>
          <w:sz w:val="32"/>
          <w:szCs w:val="32"/>
        </w:rPr>
      </w:pPr>
      <w:r>
        <w:rPr>
          <w:rFonts w:hint="eastAsia" w:ascii="楷体" w:hAnsi="楷体" w:eastAsia="楷体" w:cs="楷体"/>
          <w:b w:val="0"/>
          <w:bCs w:val="0"/>
          <w:color w:val="000000"/>
          <w:sz w:val="32"/>
          <w:szCs w:val="32"/>
        </w:rPr>
        <w:t>A档（</w:t>
      </w:r>
      <w:r>
        <w:rPr>
          <w:rFonts w:hint="eastAsia" w:ascii="楷体" w:hAnsi="楷体" w:eastAsia="楷体" w:cs="楷体"/>
          <w:b w:val="0"/>
          <w:bCs w:val="0"/>
          <w:color w:val="000000"/>
          <w:sz w:val="32"/>
          <w:szCs w:val="32"/>
          <w:lang w:val="en-US" w:eastAsia="zh-CN"/>
        </w:rPr>
        <w:t>26</w:t>
      </w:r>
      <w:r>
        <w:rPr>
          <w:rFonts w:hint="eastAsia" w:ascii="楷体" w:hAnsi="楷体" w:eastAsia="楷体" w:cs="楷体"/>
          <w:b w:val="0"/>
          <w:bCs w:val="0"/>
          <w:color w:val="000000"/>
          <w:sz w:val="32"/>
          <w:szCs w:val="32"/>
        </w:rPr>
        <w:t>-3</w:t>
      </w:r>
      <w:r>
        <w:rPr>
          <w:rFonts w:hint="eastAsia" w:ascii="楷体" w:hAnsi="楷体" w:eastAsia="楷体" w:cs="楷体"/>
          <w:b w:val="0"/>
          <w:bCs w:val="0"/>
          <w:color w:val="000000"/>
          <w:sz w:val="32"/>
          <w:szCs w:val="32"/>
          <w:lang w:val="en-US" w:eastAsia="zh-CN"/>
        </w:rPr>
        <w:t>0</w:t>
      </w:r>
      <w:r>
        <w:rPr>
          <w:rFonts w:hint="eastAsia" w:ascii="楷体" w:hAnsi="楷体" w:eastAsia="楷体" w:cs="楷体"/>
          <w:b w:val="0"/>
          <w:bCs w:val="0"/>
          <w:color w:val="000000"/>
          <w:sz w:val="32"/>
          <w:szCs w:val="32"/>
        </w:rPr>
        <w:t>分）：教学设计创新且具有高度的实践价值，能够有效提升学生的艺术素养和创造力。教学内容与课程标准高度契合，教学目标明确，重点突出，难点得到有效解决。教学方法和手段多样化，能够激发学生的学习兴趣和参与度。</w:t>
      </w:r>
    </w:p>
    <w:p w14:paraId="3AFA869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eastAsia" w:ascii="楷体" w:hAnsi="楷体" w:eastAsia="楷体" w:cs="楷体"/>
          <w:b w:val="0"/>
          <w:bCs w:val="0"/>
          <w:color w:val="000000"/>
          <w:sz w:val="32"/>
          <w:szCs w:val="32"/>
        </w:rPr>
      </w:pPr>
      <w:r>
        <w:rPr>
          <w:rFonts w:hint="eastAsia" w:ascii="楷体" w:hAnsi="楷体" w:eastAsia="楷体" w:cs="楷体"/>
          <w:b w:val="0"/>
          <w:bCs w:val="0"/>
          <w:color w:val="000000"/>
          <w:sz w:val="32"/>
          <w:szCs w:val="32"/>
        </w:rPr>
        <w:t>B档（2</w:t>
      </w:r>
      <w:r>
        <w:rPr>
          <w:rFonts w:hint="eastAsia" w:ascii="楷体" w:hAnsi="楷体" w:eastAsia="楷体" w:cs="楷体"/>
          <w:b w:val="0"/>
          <w:bCs w:val="0"/>
          <w:color w:val="000000"/>
          <w:sz w:val="32"/>
          <w:szCs w:val="32"/>
          <w:lang w:val="en-US" w:eastAsia="zh-CN"/>
        </w:rPr>
        <w:t>1</w:t>
      </w:r>
      <w:r>
        <w:rPr>
          <w:rFonts w:hint="eastAsia" w:ascii="楷体" w:hAnsi="楷体" w:eastAsia="楷体" w:cs="楷体"/>
          <w:b w:val="0"/>
          <w:bCs w:val="0"/>
          <w:color w:val="000000"/>
          <w:sz w:val="32"/>
          <w:szCs w:val="32"/>
        </w:rPr>
        <w:t>-2</w:t>
      </w:r>
      <w:r>
        <w:rPr>
          <w:rFonts w:hint="eastAsia" w:ascii="楷体" w:hAnsi="楷体" w:eastAsia="楷体" w:cs="楷体"/>
          <w:b w:val="0"/>
          <w:bCs w:val="0"/>
          <w:color w:val="000000"/>
          <w:sz w:val="32"/>
          <w:szCs w:val="32"/>
          <w:lang w:val="en-US" w:eastAsia="zh-CN"/>
        </w:rPr>
        <w:t>5</w:t>
      </w:r>
      <w:r>
        <w:rPr>
          <w:rFonts w:hint="eastAsia" w:ascii="楷体" w:hAnsi="楷体" w:eastAsia="楷体" w:cs="楷体"/>
          <w:b w:val="0"/>
          <w:bCs w:val="0"/>
          <w:color w:val="000000"/>
          <w:sz w:val="32"/>
          <w:szCs w:val="32"/>
        </w:rPr>
        <w:t>分）：教学设计较为创新，实践价值较高，能够较好地提升学生的艺术素养。教学内容与课程标准较为契合，教学目标较为明确，重点较为突出，难点基本得到解决。教学方法和手段较为多样化，能够较好地激发学生的学习兴趣和参与度。</w:t>
      </w:r>
    </w:p>
    <w:p w14:paraId="22C8C2B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eastAsia" w:ascii="楷体" w:hAnsi="楷体" w:eastAsia="楷体" w:cs="楷体"/>
          <w:b w:val="0"/>
          <w:bCs w:val="0"/>
          <w:color w:val="000000"/>
          <w:sz w:val="32"/>
          <w:szCs w:val="32"/>
        </w:rPr>
      </w:pPr>
      <w:r>
        <w:rPr>
          <w:rFonts w:hint="eastAsia" w:ascii="楷体" w:hAnsi="楷体" w:eastAsia="楷体" w:cs="楷体"/>
          <w:b w:val="0"/>
          <w:bCs w:val="0"/>
          <w:color w:val="000000"/>
          <w:sz w:val="32"/>
          <w:szCs w:val="32"/>
        </w:rPr>
        <w:t>C档（</w:t>
      </w:r>
      <w:r>
        <w:rPr>
          <w:rFonts w:hint="eastAsia" w:ascii="楷体" w:hAnsi="楷体" w:eastAsia="楷体" w:cs="楷体"/>
          <w:b w:val="0"/>
          <w:bCs w:val="0"/>
          <w:color w:val="000000"/>
          <w:sz w:val="32"/>
          <w:szCs w:val="32"/>
          <w:lang w:val="en-US" w:eastAsia="zh-CN"/>
        </w:rPr>
        <w:t>16</w:t>
      </w:r>
      <w:r>
        <w:rPr>
          <w:rFonts w:hint="eastAsia" w:ascii="楷体" w:hAnsi="楷体" w:eastAsia="楷体" w:cs="楷体"/>
          <w:b w:val="0"/>
          <w:bCs w:val="0"/>
          <w:color w:val="000000"/>
          <w:sz w:val="32"/>
          <w:szCs w:val="32"/>
        </w:rPr>
        <w:t>-</w:t>
      </w:r>
      <w:r>
        <w:rPr>
          <w:rFonts w:hint="eastAsia" w:ascii="楷体" w:hAnsi="楷体" w:eastAsia="楷体" w:cs="楷体"/>
          <w:b w:val="0"/>
          <w:bCs w:val="0"/>
          <w:color w:val="000000"/>
          <w:sz w:val="32"/>
          <w:szCs w:val="32"/>
          <w:lang w:val="en-US" w:eastAsia="zh-CN"/>
        </w:rPr>
        <w:t>20</w:t>
      </w:r>
      <w:r>
        <w:rPr>
          <w:rFonts w:hint="eastAsia" w:ascii="楷体" w:hAnsi="楷体" w:eastAsia="楷体" w:cs="楷体"/>
          <w:b w:val="0"/>
          <w:bCs w:val="0"/>
          <w:color w:val="000000"/>
          <w:sz w:val="32"/>
          <w:szCs w:val="32"/>
        </w:rPr>
        <w:t>分）：教学设计基本符合要求，有一定的实践价值，能够提升学生的艺术素养。 教学内容基本符合课程标准，教学目标基本明确，重点基本突出，难点基本得到解决。教学方法和手段较为单一，但能够满足基本教学需求。</w:t>
      </w:r>
    </w:p>
    <w:p w14:paraId="17BDE7F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eastAsia" w:ascii="楷体" w:hAnsi="楷体" w:eastAsia="楷体" w:cs="楷体"/>
          <w:b w:val="0"/>
          <w:bCs w:val="0"/>
          <w:color w:val="000000"/>
          <w:sz w:val="32"/>
          <w:szCs w:val="32"/>
        </w:rPr>
      </w:pPr>
      <w:r>
        <w:rPr>
          <w:rFonts w:hint="eastAsia" w:ascii="楷体" w:hAnsi="楷体" w:eastAsia="楷体" w:cs="楷体"/>
          <w:b w:val="0"/>
          <w:bCs w:val="0"/>
          <w:color w:val="000000"/>
          <w:sz w:val="32"/>
          <w:szCs w:val="32"/>
        </w:rPr>
        <w:t>D档（0-1</w:t>
      </w:r>
      <w:r>
        <w:rPr>
          <w:rFonts w:hint="eastAsia" w:ascii="楷体" w:hAnsi="楷体" w:eastAsia="楷体" w:cs="楷体"/>
          <w:b w:val="0"/>
          <w:bCs w:val="0"/>
          <w:color w:val="000000"/>
          <w:sz w:val="32"/>
          <w:szCs w:val="32"/>
          <w:lang w:val="en-US" w:eastAsia="zh-CN"/>
        </w:rPr>
        <w:t>5</w:t>
      </w:r>
      <w:r>
        <w:rPr>
          <w:rFonts w:hint="eastAsia" w:ascii="楷体" w:hAnsi="楷体" w:eastAsia="楷体" w:cs="楷体"/>
          <w:b w:val="0"/>
          <w:bCs w:val="0"/>
          <w:color w:val="000000"/>
          <w:sz w:val="32"/>
          <w:szCs w:val="32"/>
        </w:rPr>
        <w:t>分）：教学设计缺乏创新，实践价值有限，对学生艺术素养的提升帮助不大。教学内容与课程标准契合度不高，教学目标不够明确，重点不够突出，难点未得到有效解决。教学方法和手段单一，难以激发学生的学习兴趣和参与度。</w:t>
      </w:r>
    </w:p>
    <w:p w14:paraId="46B51A5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二、现场模拟上课（40分）</w:t>
      </w:r>
    </w:p>
    <w:tbl>
      <w:tblPr>
        <w:tblStyle w:val="6"/>
        <w:tblpPr w:leftFromText="180" w:rightFromText="180" w:vertAnchor="text" w:horzAnchor="page" w:tblpX="1521" w:tblpY="226"/>
        <w:tblOverlap w:val="never"/>
        <w:tblW w:w="93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5828"/>
        <w:gridCol w:w="2143"/>
      </w:tblGrid>
      <w:tr w14:paraId="5865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415" w:type="dxa"/>
            <w:vAlign w:val="center"/>
          </w:tcPr>
          <w:p w14:paraId="2ABF5FB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学段学科</w:t>
            </w:r>
          </w:p>
        </w:tc>
        <w:tc>
          <w:tcPr>
            <w:tcW w:w="5828" w:type="dxa"/>
            <w:vAlign w:val="center"/>
          </w:tcPr>
          <w:p w14:paraId="55978E2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参评课题</w:t>
            </w:r>
          </w:p>
        </w:tc>
        <w:tc>
          <w:tcPr>
            <w:tcW w:w="2143" w:type="dxa"/>
            <w:vAlign w:val="center"/>
          </w:tcPr>
          <w:p w14:paraId="2FEC602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备注</w:t>
            </w:r>
          </w:p>
        </w:tc>
      </w:tr>
      <w:tr w14:paraId="7D89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15" w:type="dxa"/>
            <w:vAlign w:val="center"/>
          </w:tcPr>
          <w:p w14:paraId="4372737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小学美术</w:t>
            </w:r>
          </w:p>
        </w:tc>
        <w:tc>
          <w:tcPr>
            <w:tcW w:w="5828" w:type="dxa"/>
            <w:vAlign w:val="center"/>
          </w:tcPr>
          <w:p w14:paraId="0FFF6D36">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175"/>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1.人教版一年级上册第一单元龙的传人 第三课《龙的故事》</w:t>
            </w:r>
          </w:p>
          <w:p w14:paraId="782657ED">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175"/>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2.人教版三年级上册第八课《星空的联想》</w:t>
            </w:r>
          </w:p>
          <w:p w14:paraId="3571AB0C">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175"/>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3.人教版四年级下册第一课《聚聚散散》</w:t>
            </w:r>
          </w:p>
          <w:p w14:paraId="46A5BA26">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175"/>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4.人教版五年级上册第四课 《趣味文字》</w:t>
            </w:r>
          </w:p>
        </w:tc>
        <w:tc>
          <w:tcPr>
            <w:tcW w:w="2143" w:type="dxa"/>
            <w:vAlign w:val="center"/>
          </w:tcPr>
          <w:p w14:paraId="0BCBE60F">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可以参考人民教育出版社《美术》教材或相关资料</w:t>
            </w:r>
          </w:p>
        </w:tc>
      </w:tr>
      <w:tr w14:paraId="20E53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15" w:type="dxa"/>
            <w:vAlign w:val="center"/>
          </w:tcPr>
          <w:p w14:paraId="2688420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初中美术</w:t>
            </w:r>
          </w:p>
        </w:tc>
        <w:tc>
          <w:tcPr>
            <w:tcW w:w="5828" w:type="dxa"/>
            <w:vAlign w:val="center"/>
          </w:tcPr>
          <w:p w14:paraId="19FF0C32">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175"/>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1.七年级上册第二单元 多彩的校园生活 第2课《在校园中健康成长》（造型表现）</w:t>
            </w:r>
          </w:p>
          <w:p w14:paraId="2BBBA5CC">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175"/>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2.七年级下册第一单元 美术是创造性的劳动 第1课《营造艺术的情趣和意境》（欣赏评述）</w:t>
            </w:r>
          </w:p>
          <w:p w14:paraId="2FEE5881">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175"/>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3.八年级上册第三单元笔墨丹青 第2课《借物寓意》（造型表现）</w:t>
            </w:r>
          </w:p>
          <w:p w14:paraId="1650A941">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175"/>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4.八年级下册第二单元 第2课《纹样与生活》（设计应用）</w:t>
            </w:r>
          </w:p>
        </w:tc>
        <w:tc>
          <w:tcPr>
            <w:tcW w:w="2143" w:type="dxa"/>
            <w:vAlign w:val="center"/>
          </w:tcPr>
          <w:p w14:paraId="7FD7B955">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可以参考人民教育出版社《美术》教材或相关资料</w:t>
            </w:r>
          </w:p>
        </w:tc>
      </w:tr>
      <w:tr w14:paraId="60958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15" w:type="dxa"/>
            <w:vAlign w:val="center"/>
          </w:tcPr>
          <w:p w14:paraId="6B85A32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高中美术</w:t>
            </w:r>
          </w:p>
        </w:tc>
        <w:tc>
          <w:tcPr>
            <w:tcW w:w="5828" w:type="dxa"/>
            <w:vAlign w:val="center"/>
          </w:tcPr>
          <w:p w14:paraId="1C2D0EFF">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175"/>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1.第二单元第三课：象外之境-中国传统山水画</w:t>
            </w:r>
          </w:p>
          <w:p w14:paraId="589DEE95">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175"/>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2.第二单元第七课：华夏意匠-中国传统建筑与园林设计</w:t>
            </w:r>
          </w:p>
          <w:p w14:paraId="3D455C89">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175"/>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3.第三单元第十二课：理想与典范-古希腊与古罗马美术</w:t>
            </w:r>
          </w:p>
          <w:p w14:paraId="6EF3ABD3">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175"/>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4.第三单元第十四课：人性的崛起-文艺复兴美术</w:t>
            </w:r>
          </w:p>
        </w:tc>
        <w:tc>
          <w:tcPr>
            <w:tcW w:w="2143" w:type="dxa"/>
            <w:vAlign w:val="center"/>
          </w:tcPr>
          <w:p w14:paraId="34C6752B">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可以参考人民教育出版社《美术》（美术鉴赏必修）教材或相关资料</w:t>
            </w:r>
          </w:p>
        </w:tc>
      </w:tr>
    </w:tbl>
    <w:p w14:paraId="2772681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现场比赛时，选手从指定课题中抽取其中一节课，借助课件，面向评委现场模拟上课（10分钟）。</w:t>
      </w:r>
    </w:p>
    <w:p w14:paraId="5847931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eastAsia" w:ascii="黑体" w:hAnsi="黑体" w:eastAsia="黑体" w:cs="黑体"/>
          <w:b w:val="0"/>
          <w:bCs w:val="0"/>
          <w:color w:val="000000"/>
          <w:sz w:val="32"/>
          <w:szCs w:val="32"/>
        </w:rPr>
      </w:pPr>
    </w:p>
    <w:p w14:paraId="7B8F079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eastAsia" w:ascii="黑体" w:hAnsi="黑体" w:eastAsia="黑体" w:cs="黑体"/>
          <w:b w:val="0"/>
          <w:bCs w:val="0"/>
          <w:color w:val="000000"/>
          <w:sz w:val="32"/>
          <w:szCs w:val="32"/>
        </w:rPr>
      </w:pPr>
      <w:r>
        <w:rPr>
          <w:rFonts w:hint="eastAsia" w:ascii="黑体" w:hAnsi="黑体" w:eastAsia="黑体" w:cs="黑体"/>
          <w:b w:val="0"/>
          <w:bCs w:val="0"/>
          <w:color w:val="000000"/>
          <w:sz w:val="32"/>
          <w:szCs w:val="32"/>
        </w:rPr>
        <w:t>评分标准：</w:t>
      </w:r>
    </w:p>
    <w:p w14:paraId="55AD51E2">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auto"/>
        <w:rPr>
          <w:rFonts w:hint="eastAsia" w:ascii="楷体" w:hAnsi="楷体" w:eastAsia="楷体" w:cs="楷体"/>
          <w:b w:val="0"/>
          <w:bCs w:val="0"/>
          <w:color w:val="000000"/>
          <w:sz w:val="32"/>
          <w:szCs w:val="32"/>
        </w:rPr>
      </w:pPr>
      <w:r>
        <w:rPr>
          <w:rFonts w:hint="eastAsia" w:ascii="仿宋" w:hAnsi="仿宋" w:eastAsia="仿宋" w:cs="仿宋"/>
          <w:b/>
          <w:bCs/>
          <w:color w:val="000000"/>
          <w:sz w:val="32"/>
          <w:szCs w:val="32"/>
        </w:rPr>
        <w:t xml:space="preserve"> </w:t>
      </w:r>
      <w:r>
        <w:rPr>
          <w:rFonts w:hint="eastAsia" w:ascii="仿宋" w:hAnsi="仿宋" w:eastAsia="仿宋" w:cs="仿宋"/>
          <w:b/>
          <w:bCs/>
          <w:color w:val="000000"/>
          <w:sz w:val="32"/>
          <w:szCs w:val="32"/>
          <w:lang w:val="en-US" w:eastAsia="zh-CN"/>
        </w:rPr>
        <w:t xml:space="preserve">   </w:t>
      </w:r>
      <w:r>
        <w:rPr>
          <w:rFonts w:hint="eastAsia" w:ascii="楷体" w:hAnsi="楷体" w:eastAsia="楷体" w:cs="楷体"/>
          <w:b w:val="0"/>
          <w:bCs w:val="0"/>
          <w:color w:val="000000"/>
          <w:sz w:val="32"/>
          <w:szCs w:val="32"/>
        </w:rPr>
        <w:t>A档（3</w:t>
      </w:r>
      <w:r>
        <w:rPr>
          <w:rFonts w:hint="eastAsia" w:ascii="楷体" w:hAnsi="楷体" w:eastAsia="楷体" w:cs="楷体"/>
          <w:b w:val="0"/>
          <w:bCs w:val="0"/>
          <w:color w:val="000000"/>
          <w:sz w:val="32"/>
          <w:szCs w:val="32"/>
          <w:lang w:val="en-US" w:eastAsia="zh-CN"/>
        </w:rPr>
        <w:t>6</w:t>
      </w:r>
      <w:r>
        <w:rPr>
          <w:rFonts w:hint="eastAsia" w:ascii="楷体" w:hAnsi="楷体" w:eastAsia="楷体" w:cs="楷体"/>
          <w:b w:val="0"/>
          <w:bCs w:val="0"/>
          <w:color w:val="000000"/>
          <w:sz w:val="32"/>
          <w:szCs w:val="32"/>
        </w:rPr>
        <w:t>-</w:t>
      </w:r>
      <w:r>
        <w:rPr>
          <w:rFonts w:hint="eastAsia" w:ascii="楷体" w:hAnsi="楷体" w:eastAsia="楷体" w:cs="楷体"/>
          <w:b w:val="0"/>
          <w:bCs w:val="0"/>
          <w:color w:val="000000"/>
          <w:sz w:val="32"/>
          <w:szCs w:val="32"/>
          <w:lang w:val="en-US" w:eastAsia="zh-CN"/>
        </w:rPr>
        <w:t>40</w:t>
      </w:r>
      <w:r>
        <w:rPr>
          <w:rFonts w:hint="eastAsia" w:ascii="楷体" w:hAnsi="楷体" w:eastAsia="楷体" w:cs="楷体"/>
          <w:b w:val="0"/>
          <w:bCs w:val="0"/>
          <w:color w:val="000000"/>
          <w:sz w:val="32"/>
          <w:szCs w:val="32"/>
        </w:rPr>
        <w:t>分）：内容创新，教学方法先进，互动性强，效果显著，能够准确传达主题，具有高度的教育价值和启发性。</w:t>
      </w:r>
    </w:p>
    <w:p w14:paraId="4B383A1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eastAsia" w:ascii="楷体" w:hAnsi="楷体" w:eastAsia="楷体" w:cs="楷体"/>
          <w:b w:val="0"/>
          <w:bCs w:val="0"/>
          <w:color w:val="000000"/>
          <w:sz w:val="32"/>
          <w:szCs w:val="32"/>
        </w:rPr>
      </w:pPr>
      <w:r>
        <w:rPr>
          <w:rFonts w:hint="eastAsia" w:ascii="楷体" w:hAnsi="楷体" w:eastAsia="楷体" w:cs="楷体"/>
          <w:b w:val="0"/>
          <w:bCs w:val="0"/>
          <w:color w:val="000000"/>
          <w:sz w:val="32"/>
          <w:szCs w:val="32"/>
        </w:rPr>
        <w:t>B档（</w:t>
      </w:r>
      <w:r>
        <w:rPr>
          <w:rFonts w:hint="eastAsia" w:ascii="楷体" w:hAnsi="楷体" w:eastAsia="楷体" w:cs="楷体"/>
          <w:b w:val="0"/>
          <w:bCs w:val="0"/>
          <w:color w:val="000000"/>
          <w:sz w:val="32"/>
          <w:szCs w:val="32"/>
          <w:lang w:val="en-US" w:eastAsia="zh-CN"/>
        </w:rPr>
        <w:t>31</w:t>
      </w:r>
      <w:r>
        <w:rPr>
          <w:rFonts w:hint="eastAsia" w:ascii="楷体" w:hAnsi="楷体" w:eastAsia="楷体" w:cs="楷体"/>
          <w:b w:val="0"/>
          <w:bCs w:val="0"/>
          <w:color w:val="000000"/>
          <w:sz w:val="32"/>
          <w:szCs w:val="32"/>
        </w:rPr>
        <w:t>-</w:t>
      </w:r>
      <w:r>
        <w:rPr>
          <w:rFonts w:hint="eastAsia" w:ascii="楷体" w:hAnsi="楷体" w:eastAsia="楷体" w:cs="楷体"/>
          <w:b w:val="0"/>
          <w:bCs w:val="0"/>
          <w:color w:val="000000"/>
          <w:sz w:val="32"/>
          <w:szCs w:val="32"/>
          <w:lang w:val="en-US" w:eastAsia="zh-CN"/>
        </w:rPr>
        <w:t>35</w:t>
      </w:r>
      <w:r>
        <w:rPr>
          <w:rFonts w:hint="eastAsia" w:ascii="楷体" w:hAnsi="楷体" w:eastAsia="楷体" w:cs="楷体"/>
          <w:b w:val="0"/>
          <w:bCs w:val="0"/>
          <w:color w:val="000000"/>
          <w:sz w:val="32"/>
          <w:szCs w:val="32"/>
        </w:rPr>
        <w:t>分）：内容较为创新，教学方法较为有效，互动良好，效果较好，基本能够传达主题，具有一定的教育价值。</w:t>
      </w:r>
    </w:p>
    <w:p w14:paraId="3503CE5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eastAsia" w:ascii="楷体" w:hAnsi="楷体" w:eastAsia="楷体" w:cs="楷体"/>
          <w:b w:val="0"/>
          <w:bCs w:val="0"/>
          <w:color w:val="000000"/>
          <w:sz w:val="32"/>
          <w:szCs w:val="32"/>
        </w:rPr>
      </w:pPr>
      <w:r>
        <w:rPr>
          <w:rFonts w:hint="eastAsia" w:ascii="楷体" w:hAnsi="楷体" w:eastAsia="楷体" w:cs="楷体"/>
          <w:b w:val="0"/>
          <w:bCs w:val="0"/>
          <w:color w:val="000000"/>
          <w:sz w:val="32"/>
          <w:szCs w:val="32"/>
        </w:rPr>
        <w:t>C档（2</w:t>
      </w:r>
      <w:r>
        <w:rPr>
          <w:rFonts w:hint="eastAsia" w:ascii="楷体" w:hAnsi="楷体" w:eastAsia="楷体" w:cs="楷体"/>
          <w:b w:val="0"/>
          <w:bCs w:val="0"/>
          <w:color w:val="000000"/>
          <w:sz w:val="32"/>
          <w:szCs w:val="32"/>
          <w:lang w:val="en-US" w:eastAsia="zh-CN"/>
        </w:rPr>
        <w:t>6</w:t>
      </w:r>
      <w:r>
        <w:rPr>
          <w:rFonts w:hint="eastAsia" w:ascii="楷体" w:hAnsi="楷体" w:eastAsia="楷体" w:cs="楷体"/>
          <w:b w:val="0"/>
          <w:bCs w:val="0"/>
          <w:color w:val="000000"/>
          <w:sz w:val="32"/>
          <w:szCs w:val="32"/>
        </w:rPr>
        <w:t>-</w:t>
      </w:r>
      <w:r>
        <w:rPr>
          <w:rFonts w:hint="eastAsia" w:ascii="楷体" w:hAnsi="楷体" w:eastAsia="楷体" w:cs="楷体"/>
          <w:b w:val="0"/>
          <w:bCs w:val="0"/>
          <w:color w:val="000000"/>
          <w:sz w:val="32"/>
          <w:szCs w:val="32"/>
          <w:lang w:val="en-US" w:eastAsia="zh-CN"/>
        </w:rPr>
        <w:t>30</w:t>
      </w:r>
      <w:r>
        <w:rPr>
          <w:rFonts w:hint="eastAsia" w:ascii="楷体" w:hAnsi="楷体" w:eastAsia="楷体" w:cs="楷体"/>
          <w:b w:val="0"/>
          <w:bCs w:val="0"/>
          <w:color w:val="000000"/>
          <w:sz w:val="32"/>
          <w:szCs w:val="32"/>
        </w:rPr>
        <w:t>分）：内容基本符合要求，教学方法一般，互动一般，效果一般，能够基本传达主题，教育价值一般。</w:t>
      </w:r>
    </w:p>
    <w:p w14:paraId="3E56B2B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eastAsia" w:ascii="楷体" w:hAnsi="楷体" w:eastAsia="楷体" w:cs="楷体"/>
          <w:b w:val="0"/>
          <w:bCs w:val="0"/>
          <w:color w:val="000000"/>
          <w:sz w:val="32"/>
          <w:szCs w:val="32"/>
        </w:rPr>
      </w:pPr>
      <w:r>
        <w:rPr>
          <w:rFonts w:hint="eastAsia" w:ascii="楷体" w:hAnsi="楷体" w:eastAsia="楷体" w:cs="楷体"/>
          <w:b w:val="0"/>
          <w:bCs w:val="0"/>
          <w:color w:val="000000"/>
          <w:sz w:val="32"/>
          <w:szCs w:val="32"/>
        </w:rPr>
        <w:t>D档（0-</w:t>
      </w:r>
      <w:r>
        <w:rPr>
          <w:rFonts w:hint="eastAsia" w:ascii="楷体" w:hAnsi="楷体" w:eastAsia="楷体" w:cs="楷体"/>
          <w:b w:val="0"/>
          <w:bCs w:val="0"/>
          <w:color w:val="000000"/>
          <w:sz w:val="32"/>
          <w:szCs w:val="32"/>
          <w:lang w:val="en-US" w:eastAsia="zh-CN"/>
        </w:rPr>
        <w:t>25</w:t>
      </w:r>
      <w:r>
        <w:rPr>
          <w:rFonts w:hint="eastAsia" w:ascii="楷体" w:hAnsi="楷体" w:eastAsia="楷体" w:cs="楷体"/>
          <w:b w:val="0"/>
          <w:bCs w:val="0"/>
          <w:color w:val="000000"/>
          <w:sz w:val="32"/>
          <w:szCs w:val="32"/>
        </w:rPr>
        <w:t>分）：内容缺乏创新，教学方法不够有效，互动不足，效果不佳，难以有效传达主题，教育价值有限。</w:t>
      </w:r>
    </w:p>
    <w:p w14:paraId="4A0CB1F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三、专业技能测评（30分）</w:t>
      </w:r>
    </w:p>
    <w:p w14:paraId="14C82DF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根据所教学段分为小学组、初中组和高中组。参赛教师需根据公布的命题进行绘画创作（20分钟）。</w:t>
      </w:r>
    </w:p>
    <w:p w14:paraId="3527095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_GB2312" w:hAnsi="仿宋_GB2312" w:eastAsia="仿宋_GB2312" w:cs="仿宋_GB2312"/>
          <w:color w:val="auto"/>
          <w:sz w:val="32"/>
          <w:szCs w:val="32"/>
          <w:lang w:val="en-US" w:eastAsia="zh-CN"/>
        </w:rPr>
        <w:t>要求每位参赛教师提前自带一块小黑板和彩色粉笔。</w:t>
      </w:r>
    </w:p>
    <w:p w14:paraId="172B20D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eastAsia" w:ascii="黑体" w:hAnsi="黑体" w:eastAsia="黑体" w:cs="黑体"/>
          <w:b w:val="0"/>
          <w:bCs w:val="0"/>
          <w:color w:val="000000"/>
          <w:sz w:val="32"/>
          <w:szCs w:val="32"/>
        </w:rPr>
      </w:pPr>
      <w:r>
        <w:rPr>
          <w:rFonts w:hint="eastAsia" w:ascii="黑体" w:hAnsi="黑体" w:eastAsia="黑体" w:cs="黑体"/>
          <w:b w:val="0"/>
          <w:bCs w:val="0"/>
          <w:color w:val="000000"/>
          <w:sz w:val="32"/>
          <w:szCs w:val="32"/>
        </w:rPr>
        <w:t>评分标准：</w:t>
      </w:r>
    </w:p>
    <w:p w14:paraId="45F346F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eastAsia" w:ascii="楷体" w:hAnsi="楷体" w:eastAsia="楷体" w:cs="楷体"/>
          <w:b w:val="0"/>
          <w:bCs w:val="0"/>
          <w:color w:val="000000"/>
          <w:sz w:val="32"/>
          <w:szCs w:val="32"/>
          <w:lang w:val="en-US" w:eastAsia="zh-CN"/>
        </w:rPr>
      </w:pPr>
      <w:r>
        <w:rPr>
          <w:rFonts w:hint="eastAsia" w:ascii="楷体" w:hAnsi="楷体" w:eastAsia="楷体" w:cs="楷体"/>
          <w:b w:val="0"/>
          <w:bCs w:val="0"/>
          <w:color w:val="000000"/>
          <w:sz w:val="32"/>
          <w:szCs w:val="32"/>
          <w:lang w:val="en-US" w:eastAsia="zh-CN"/>
        </w:rPr>
        <w:t>A档（25-30分）：作品展现出卓越的创意和深刻的艺术理解。技巧上，作品表现出高度的掌握和运用能力，无论是色彩搭配、构图布局还是细节处理都达到了专业水准。作品能够精准而生动地传达主题，具有较强的视觉冲击力和教育意义，能够激发学生的兴趣和思考。</w:t>
      </w:r>
    </w:p>
    <w:p w14:paraId="220F47F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eastAsia" w:ascii="楷体" w:hAnsi="楷体" w:eastAsia="楷体" w:cs="楷体"/>
          <w:b w:val="0"/>
          <w:bCs w:val="0"/>
          <w:color w:val="000000"/>
          <w:sz w:val="32"/>
          <w:szCs w:val="32"/>
          <w:lang w:val="en-US" w:eastAsia="zh-CN"/>
        </w:rPr>
      </w:pPr>
      <w:r>
        <w:rPr>
          <w:rFonts w:hint="eastAsia" w:ascii="楷体" w:hAnsi="楷体" w:eastAsia="楷体" w:cs="楷体"/>
          <w:b w:val="0"/>
          <w:bCs w:val="0"/>
          <w:color w:val="000000"/>
          <w:sz w:val="32"/>
          <w:szCs w:val="32"/>
          <w:lang w:val="en-US" w:eastAsia="zh-CN"/>
        </w:rPr>
        <w:t>B档（20-24分）：作品在创意和艺术表现上较为出色，技巧运用得当，能够较好地完成作品的创作。在色彩、构图等方面有一定的亮点，但可能在某些细节上还有提升空间。作品能够有效地传达主题，具有一定的教育价值和启发性，但可能在深度和广度上略逊于A档作品。</w:t>
      </w:r>
    </w:p>
    <w:p w14:paraId="7B0516C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eastAsia" w:ascii="楷体" w:hAnsi="楷体" w:eastAsia="楷体" w:cs="楷体"/>
          <w:b w:val="0"/>
          <w:bCs w:val="0"/>
          <w:color w:val="000000"/>
          <w:sz w:val="32"/>
          <w:szCs w:val="32"/>
          <w:lang w:val="en-US" w:eastAsia="zh-CN"/>
        </w:rPr>
      </w:pPr>
      <w:r>
        <w:rPr>
          <w:rFonts w:hint="eastAsia" w:ascii="楷体" w:hAnsi="楷体" w:eastAsia="楷体" w:cs="楷体"/>
          <w:b w:val="0"/>
          <w:bCs w:val="0"/>
          <w:color w:val="000000"/>
          <w:sz w:val="32"/>
          <w:szCs w:val="32"/>
          <w:lang w:val="en-US" w:eastAsia="zh-CN"/>
        </w:rPr>
        <w:t>C档（15-19分）：作品在创意和艺术性上表现一般，技巧运用基本符合要求，但在某些方面可能存在不足，如色彩搭配不够协调，构图略显单一，细节处理不够精细。作品能够基本传达主题，但在视觉冲击力和教育意义上可能不如A档和B档作品，需要进一步的改进和提升。</w:t>
      </w:r>
    </w:p>
    <w:p w14:paraId="2F95BFB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eastAsia" w:ascii="楷体" w:hAnsi="楷体" w:eastAsia="楷体" w:cs="楷体"/>
          <w:b w:val="0"/>
          <w:bCs w:val="0"/>
          <w:color w:val="000000"/>
          <w:sz w:val="32"/>
          <w:szCs w:val="32"/>
          <w:lang w:val="en-US" w:eastAsia="zh-CN"/>
        </w:rPr>
      </w:pPr>
      <w:r>
        <w:rPr>
          <w:rFonts w:hint="eastAsia" w:ascii="楷体" w:hAnsi="楷体" w:eastAsia="楷体" w:cs="楷体"/>
          <w:b w:val="0"/>
          <w:bCs w:val="0"/>
          <w:color w:val="000000"/>
          <w:sz w:val="32"/>
          <w:szCs w:val="32"/>
          <w:lang w:val="en-US" w:eastAsia="zh-CN"/>
        </w:rPr>
        <w:t>D档（0-14分）：作品缺乏创意和艺术性，技巧不够成熟，难以有效传达主题，教育价值有限。作品在多个方面表现不佳，需要显著提升。根据作品的创意性、技巧运用、表现力以及教育价值等方面进行综合评分，以确保评分的公正性和专业性。</w:t>
      </w:r>
    </w:p>
    <w:p w14:paraId="03C3E16C">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14:paraId="11DB739B">
      <w:pPr>
        <w:numPr>
          <w:ilvl w:val="0"/>
          <w:numId w:val="0"/>
        </w:num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附件4</w:t>
      </w:r>
    </w:p>
    <w:p w14:paraId="5D131502">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教学设计、模拟上课评价标准</w:t>
      </w:r>
    </w:p>
    <w:p w14:paraId="6888500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14:paraId="3F1F8DF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教学设计评价标准</w:t>
      </w:r>
    </w:p>
    <w:tbl>
      <w:tblPr>
        <w:tblStyle w:val="5"/>
        <w:tblW w:w="99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7194"/>
        <w:gridCol w:w="914"/>
      </w:tblGrid>
      <w:tr w14:paraId="3DB4F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19" w:type="dxa"/>
            <w:tcBorders>
              <w:top w:val="single" w:color="auto" w:sz="4" w:space="0"/>
              <w:left w:val="single" w:color="auto" w:sz="4" w:space="0"/>
              <w:bottom w:val="single" w:color="auto" w:sz="4" w:space="0"/>
              <w:right w:val="single" w:color="auto" w:sz="4" w:space="0"/>
            </w:tcBorders>
            <w:vAlign w:val="center"/>
          </w:tcPr>
          <w:p w14:paraId="0AE40EA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黑体" w:hAnsi="黑体" w:eastAsia="黑体" w:cs="黑体"/>
                <w:b w:val="0"/>
                <w:bCs/>
                <w:sz w:val="28"/>
                <w:szCs w:val="28"/>
              </w:rPr>
            </w:pPr>
            <w:r>
              <w:rPr>
                <w:rFonts w:hint="eastAsia" w:ascii="黑体" w:hAnsi="黑体" w:eastAsia="黑体" w:cs="黑体"/>
                <w:b w:val="0"/>
                <w:bCs/>
                <w:sz w:val="28"/>
                <w:szCs w:val="28"/>
              </w:rPr>
              <w:t>评价内容</w:t>
            </w:r>
          </w:p>
        </w:tc>
        <w:tc>
          <w:tcPr>
            <w:tcW w:w="7194" w:type="dxa"/>
            <w:tcBorders>
              <w:top w:val="single" w:color="auto" w:sz="4" w:space="0"/>
              <w:left w:val="nil"/>
              <w:bottom w:val="single" w:color="auto" w:sz="4" w:space="0"/>
              <w:right w:val="single" w:color="auto" w:sz="4" w:space="0"/>
            </w:tcBorders>
            <w:vAlign w:val="center"/>
          </w:tcPr>
          <w:p w14:paraId="2C7A1D7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黑体" w:hAnsi="黑体" w:eastAsia="黑体" w:cs="黑体"/>
                <w:b w:val="0"/>
                <w:bCs/>
                <w:sz w:val="28"/>
                <w:szCs w:val="28"/>
              </w:rPr>
            </w:pPr>
            <w:r>
              <w:rPr>
                <w:rFonts w:hint="eastAsia" w:ascii="黑体" w:hAnsi="黑体" w:eastAsia="黑体" w:cs="黑体"/>
                <w:b w:val="0"/>
                <w:bCs/>
                <w:sz w:val="28"/>
                <w:szCs w:val="28"/>
              </w:rPr>
              <w:t>评 价 标 准</w:t>
            </w:r>
          </w:p>
        </w:tc>
        <w:tc>
          <w:tcPr>
            <w:tcW w:w="914" w:type="dxa"/>
            <w:tcBorders>
              <w:top w:val="single" w:color="auto" w:sz="4" w:space="0"/>
              <w:left w:val="nil"/>
              <w:bottom w:val="single" w:color="auto" w:sz="4" w:space="0"/>
              <w:right w:val="single" w:color="auto" w:sz="4" w:space="0"/>
            </w:tcBorders>
            <w:vAlign w:val="center"/>
          </w:tcPr>
          <w:p w14:paraId="5F7FC6E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黑体" w:hAnsi="黑体" w:eastAsia="黑体" w:cs="黑体"/>
                <w:b w:val="0"/>
                <w:bCs/>
                <w:sz w:val="28"/>
                <w:szCs w:val="28"/>
              </w:rPr>
            </w:pPr>
            <w:r>
              <w:rPr>
                <w:rFonts w:hint="eastAsia" w:ascii="黑体" w:hAnsi="黑体" w:eastAsia="黑体" w:cs="黑体"/>
                <w:b w:val="0"/>
                <w:bCs/>
                <w:sz w:val="28"/>
                <w:szCs w:val="28"/>
              </w:rPr>
              <w:t>分值</w:t>
            </w:r>
          </w:p>
        </w:tc>
      </w:tr>
      <w:tr w14:paraId="7067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19" w:type="dxa"/>
            <w:tcBorders>
              <w:top w:val="nil"/>
              <w:left w:val="single" w:color="auto" w:sz="4" w:space="0"/>
              <w:bottom w:val="single" w:color="auto" w:sz="4" w:space="0"/>
              <w:right w:val="single" w:color="auto" w:sz="4" w:space="0"/>
            </w:tcBorders>
            <w:vAlign w:val="center"/>
          </w:tcPr>
          <w:p w14:paraId="774A2D8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课标解读</w:t>
            </w:r>
          </w:p>
        </w:tc>
        <w:tc>
          <w:tcPr>
            <w:tcW w:w="7194" w:type="dxa"/>
            <w:tcBorders>
              <w:top w:val="single" w:color="auto" w:sz="4" w:space="0"/>
              <w:left w:val="nil"/>
              <w:bottom w:val="single" w:color="auto" w:sz="4" w:space="0"/>
              <w:right w:val="single" w:color="auto" w:sz="4" w:space="0"/>
            </w:tcBorders>
            <w:vAlign w:val="center"/>
          </w:tcPr>
          <w:p w14:paraId="20B51ECF">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以新课标理念为指导，能够准确阐述课标对相应内容的教学要求及建议等</w:t>
            </w:r>
          </w:p>
        </w:tc>
        <w:tc>
          <w:tcPr>
            <w:tcW w:w="914" w:type="dxa"/>
            <w:tcBorders>
              <w:top w:val="single" w:color="auto" w:sz="4" w:space="0"/>
              <w:left w:val="nil"/>
              <w:bottom w:val="single" w:color="auto" w:sz="4" w:space="0"/>
              <w:right w:val="single" w:color="auto" w:sz="4" w:space="0"/>
            </w:tcBorders>
            <w:vAlign w:val="center"/>
          </w:tcPr>
          <w:p w14:paraId="02E8F77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10</w:t>
            </w:r>
          </w:p>
        </w:tc>
      </w:tr>
      <w:tr w14:paraId="00FE0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19" w:type="dxa"/>
            <w:tcBorders>
              <w:top w:val="nil"/>
              <w:left w:val="single" w:color="auto" w:sz="4" w:space="0"/>
              <w:bottom w:val="single" w:color="auto" w:sz="4" w:space="0"/>
              <w:right w:val="single" w:color="auto" w:sz="4" w:space="0"/>
            </w:tcBorders>
            <w:shd w:val="clear" w:color="auto" w:fill="auto"/>
            <w:vAlign w:val="center"/>
          </w:tcPr>
          <w:p w14:paraId="4D35489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教材</w:t>
            </w:r>
            <w:r>
              <w:rPr>
                <w:rFonts w:hint="eastAsia" w:ascii="仿宋_GB2312" w:hAnsi="仿宋_GB2312" w:eastAsia="仿宋_GB2312" w:cs="仿宋_GB2312"/>
                <w:sz w:val="24"/>
                <w:szCs w:val="24"/>
              </w:rPr>
              <w:t>分析</w:t>
            </w:r>
          </w:p>
        </w:tc>
        <w:tc>
          <w:tcPr>
            <w:tcW w:w="7194" w:type="dxa"/>
            <w:tcBorders>
              <w:top w:val="single" w:color="auto" w:sz="4" w:space="0"/>
              <w:left w:val="nil"/>
              <w:bottom w:val="single" w:color="auto" w:sz="4" w:space="0"/>
              <w:right w:val="single" w:color="auto" w:sz="4" w:space="0"/>
            </w:tcBorders>
            <w:shd w:val="clear" w:color="auto" w:fill="auto"/>
            <w:vAlign w:val="center"/>
          </w:tcPr>
          <w:p w14:paraId="5C6EE0C7">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明确</w:t>
            </w:r>
            <w:r>
              <w:rPr>
                <w:rFonts w:hint="eastAsia" w:ascii="仿宋_GB2312" w:hAnsi="仿宋_GB2312" w:eastAsia="仿宋_GB2312" w:cs="仿宋_GB2312"/>
                <w:sz w:val="24"/>
                <w:szCs w:val="24"/>
              </w:rPr>
              <w:t>教学内容</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地位</w:t>
            </w:r>
            <w:r>
              <w:rPr>
                <w:rFonts w:hint="eastAsia" w:ascii="仿宋_GB2312" w:hAnsi="仿宋_GB2312" w:eastAsia="仿宋_GB2312" w:cs="仿宋_GB2312"/>
                <w:sz w:val="24"/>
                <w:szCs w:val="24"/>
                <w:lang w:val="en-US" w:eastAsia="zh-CN"/>
              </w:rPr>
              <w:t>和</w:t>
            </w:r>
            <w:r>
              <w:rPr>
                <w:rFonts w:hint="eastAsia" w:ascii="仿宋_GB2312" w:hAnsi="仿宋_GB2312" w:eastAsia="仿宋_GB2312" w:cs="仿宋_GB2312"/>
                <w:sz w:val="24"/>
                <w:szCs w:val="24"/>
              </w:rPr>
              <w:t>作用，</w:t>
            </w:r>
            <w:r>
              <w:rPr>
                <w:rFonts w:hint="eastAsia" w:ascii="仿宋_GB2312" w:hAnsi="仿宋_GB2312" w:eastAsia="仿宋_GB2312" w:cs="仿宋_GB2312"/>
                <w:sz w:val="24"/>
                <w:szCs w:val="24"/>
                <w:lang w:eastAsia="zh-CN"/>
              </w:rPr>
              <w:t>理清</w:t>
            </w:r>
            <w:r>
              <w:rPr>
                <w:rFonts w:hint="eastAsia" w:ascii="仿宋_GB2312" w:hAnsi="仿宋_GB2312" w:eastAsia="仿宋_GB2312" w:cs="仿宋_GB2312"/>
                <w:sz w:val="24"/>
                <w:szCs w:val="24"/>
                <w:lang w:val="en-US" w:eastAsia="zh-CN"/>
              </w:rPr>
              <w:t>其与</w:t>
            </w:r>
            <w:r>
              <w:rPr>
                <w:rFonts w:hint="eastAsia" w:ascii="仿宋_GB2312" w:hAnsi="仿宋_GB2312" w:eastAsia="仿宋_GB2312" w:cs="仿宋_GB2312"/>
                <w:sz w:val="24"/>
                <w:szCs w:val="24"/>
              </w:rPr>
              <w:t>前后知识</w:t>
            </w:r>
            <w:r>
              <w:rPr>
                <w:rFonts w:hint="eastAsia" w:ascii="仿宋_GB2312" w:hAnsi="仿宋_GB2312" w:eastAsia="仿宋_GB2312" w:cs="仿宋_GB2312"/>
                <w:sz w:val="24"/>
                <w:szCs w:val="24"/>
                <w:lang w:eastAsia="zh-CN"/>
              </w:rPr>
              <w:t>间</w:t>
            </w:r>
            <w:r>
              <w:rPr>
                <w:rFonts w:hint="eastAsia" w:ascii="仿宋_GB2312" w:hAnsi="仿宋_GB2312" w:eastAsia="仿宋_GB2312" w:cs="仿宋_GB2312"/>
                <w:sz w:val="24"/>
                <w:szCs w:val="24"/>
                <w:lang w:val="en-US" w:eastAsia="zh-CN"/>
              </w:rPr>
              <w:t>的关联</w:t>
            </w:r>
          </w:p>
        </w:tc>
        <w:tc>
          <w:tcPr>
            <w:tcW w:w="914" w:type="dxa"/>
            <w:tcBorders>
              <w:top w:val="single" w:color="auto" w:sz="4" w:space="0"/>
              <w:left w:val="nil"/>
              <w:bottom w:val="single" w:color="auto" w:sz="4" w:space="0"/>
              <w:right w:val="single" w:color="auto" w:sz="4" w:space="0"/>
            </w:tcBorders>
            <w:vAlign w:val="center"/>
          </w:tcPr>
          <w:p w14:paraId="73A4D87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10</w:t>
            </w:r>
          </w:p>
        </w:tc>
      </w:tr>
      <w:tr w14:paraId="08828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19" w:type="dxa"/>
            <w:tcBorders>
              <w:top w:val="nil"/>
              <w:left w:val="single" w:color="auto" w:sz="4" w:space="0"/>
              <w:bottom w:val="single" w:color="auto" w:sz="4" w:space="0"/>
              <w:right w:val="single" w:color="auto" w:sz="4" w:space="0"/>
            </w:tcBorders>
            <w:shd w:val="clear" w:color="auto" w:fill="auto"/>
            <w:vAlign w:val="center"/>
          </w:tcPr>
          <w:p w14:paraId="1169FA9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学情分析</w:t>
            </w:r>
          </w:p>
        </w:tc>
        <w:tc>
          <w:tcPr>
            <w:tcW w:w="7194" w:type="dxa"/>
            <w:tcBorders>
              <w:top w:val="single" w:color="auto" w:sz="4" w:space="0"/>
              <w:left w:val="nil"/>
              <w:bottom w:val="single" w:color="auto" w:sz="4" w:space="0"/>
              <w:right w:val="single" w:color="auto" w:sz="4" w:space="0"/>
            </w:tcBorders>
            <w:shd w:val="clear" w:color="auto" w:fill="auto"/>
            <w:vAlign w:val="center"/>
          </w:tcPr>
          <w:p w14:paraId="2B194719">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合理分析</w:t>
            </w:r>
            <w:r>
              <w:rPr>
                <w:rFonts w:hint="eastAsia" w:ascii="仿宋_GB2312" w:hAnsi="仿宋_GB2312" w:eastAsia="仿宋_GB2312" w:cs="仿宋_GB2312"/>
                <w:sz w:val="24"/>
                <w:szCs w:val="24"/>
                <w:lang w:eastAsia="zh-CN"/>
              </w:rPr>
              <w:t>并</w:t>
            </w:r>
            <w:r>
              <w:rPr>
                <w:rFonts w:hint="eastAsia" w:ascii="仿宋_GB2312" w:hAnsi="仿宋_GB2312" w:eastAsia="仿宋_GB2312" w:cs="仿宋_GB2312"/>
                <w:sz w:val="24"/>
                <w:szCs w:val="24"/>
              </w:rPr>
              <w:t>恰当表述学生</w:t>
            </w:r>
            <w:r>
              <w:rPr>
                <w:rFonts w:hint="eastAsia" w:ascii="仿宋_GB2312" w:hAnsi="仿宋_GB2312" w:eastAsia="仿宋_GB2312" w:cs="仿宋_GB2312"/>
                <w:sz w:val="24"/>
                <w:szCs w:val="24"/>
                <w:lang w:eastAsia="zh-CN"/>
              </w:rPr>
              <w:t>的</w:t>
            </w:r>
            <w:r>
              <w:rPr>
                <w:rFonts w:hint="eastAsia" w:ascii="仿宋_GB2312" w:hAnsi="仿宋_GB2312" w:eastAsia="仿宋_GB2312" w:cs="仿宋_GB2312"/>
                <w:sz w:val="24"/>
                <w:szCs w:val="24"/>
              </w:rPr>
              <w:t>认知特点</w:t>
            </w:r>
            <w:r>
              <w:rPr>
                <w:rFonts w:hint="eastAsia" w:ascii="仿宋_GB2312" w:hAnsi="仿宋_GB2312" w:eastAsia="仿宋_GB2312" w:cs="仿宋_GB2312"/>
                <w:sz w:val="24"/>
                <w:szCs w:val="24"/>
                <w:lang w:eastAsia="zh-CN"/>
              </w:rPr>
              <w:t>、学习能力等学情</w:t>
            </w:r>
          </w:p>
        </w:tc>
        <w:tc>
          <w:tcPr>
            <w:tcW w:w="914" w:type="dxa"/>
            <w:tcBorders>
              <w:top w:val="single" w:color="auto" w:sz="4" w:space="0"/>
              <w:left w:val="nil"/>
              <w:bottom w:val="single" w:color="auto" w:sz="4" w:space="0"/>
              <w:right w:val="single" w:color="auto" w:sz="4" w:space="0"/>
            </w:tcBorders>
            <w:vAlign w:val="center"/>
          </w:tcPr>
          <w:p w14:paraId="0B2A77C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10</w:t>
            </w:r>
          </w:p>
        </w:tc>
      </w:tr>
      <w:tr w14:paraId="217D5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19" w:type="dxa"/>
            <w:vMerge w:val="restart"/>
            <w:tcBorders>
              <w:top w:val="nil"/>
              <w:left w:val="single" w:color="auto" w:sz="4" w:space="0"/>
              <w:bottom w:val="single" w:color="auto" w:sz="4" w:space="0"/>
              <w:right w:val="single" w:color="auto" w:sz="4" w:space="0"/>
            </w:tcBorders>
            <w:vAlign w:val="center"/>
          </w:tcPr>
          <w:p w14:paraId="5B6E547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教学</w:t>
            </w:r>
            <w:r>
              <w:rPr>
                <w:rFonts w:hint="eastAsia" w:ascii="仿宋_GB2312" w:hAnsi="仿宋_GB2312" w:eastAsia="仿宋_GB2312" w:cs="仿宋_GB2312"/>
                <w:sz w:val="24"/>
                <w:szCs w:val="24"/>
              </w:rPr>
              <w:t>目标</w:t>
            </w:r>
          </w:p>
        </w:tc>
        <w:tc>
          <w:tcPr>
            <w:tcW w:w="7194" w:type="dxa"/>
            <w:tcBorders>
              <w:top w:val="single" w:color="auto" w:sz="4" w:space="0"/>
              <w:left w:val="nil"/>
              <w:bottom w:val="single" w:color="auto" w:sz="4" w:space="0"/>
              <w:right w:val="single" w:color="auto" w:sz="4" w:space="0"/>
            </w:tcBorders>
            <w:vAlign w:val="center"/>
          </w:tcPr>
          <w:p w14:paraId="13183E7D">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教学目标清楚、具体，易于理解，便于实施，行为动词使用正确，阐述规范</w:t>
            </w:r>
          </w:p>
        </w:tc>
        <w:tc>
          <w:tcPr>
            <w:tcW w:w="914" w:type="dxa"/>
            <w:tcBorders>
              <w:top w:val="single" w:color="auto" w:sz="4" w:space="0"/>
              <w:left w:val="nil"/>
              <w:bottom w:val="single" w:color="auto" w:sz="4" w:space="0"/>
              <w:right w:val="single" w:color="auto" w:sz="4" w:space="0"/>
            </w:tcBorders>
            <w:vAlign w:val="center"/>
          </w:tcPr>
          <w:p w14:paraId="4D29EB6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5</w:t>
            </w:r>
          </w:p>
        </w:tc>
      </w:tr>
      <w:tr w14:paraId="4614D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19" w:type="dxa"/>
            <w:vMerge w:val="continue"/>
            <w:tcBorders>
              <w:top w:val="nil"/>
              <w:left w:val="single" w:color="auto" w:sz="4" w:space="0"/>
              <w:bottom w:val="single" w:color="auto" w:sz="4" w:space="0"/>
              <w:right w:val="single" w:color="auto" w:sz="4" w:space="0"/>
            </w:tcBorders>
            <w:vAlign w:val="center"/>
          </w:tcPr>
          <w:p w14:paraId="1C43DEE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7194" w:type="dxa"/>
            <w:tcBorders>
              <w:top w:val="single" w:color="auto" w:sz="4" w:space="0"/>
              <w:left w:val="nil"/>
              <w:bottom w:val="single" w:color="auto" w:sz="4" w:space="0"/>
              <w:right w:val="single" w:color="auto" w:sz="4" w:space="0"/>
            </w:tcBorders>
            <w:vAlign w:val="center"/>
          </w:tcPr>
          <w:p w14:paraId="6518CD62">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符合课标要求、学科特点和学生实际；体现对知识、能力与创新思维等方面的要求</w:t>
            </w:r>
          </w:p>
        </w:tc>
        <w:tc>
          <w:tcPr>
            <w:tcW w:w="914" w:type="dxa"/>
            <w:tcBorders>
              <w:top w:val="single" w:color="auto" w:sz="4" w:space="0"/>
              <w:left w:val="nil"/>
              <w:bottom w:val="single" w:color="auto" w:sz="4" w:space="0"/>
              <w:right w:val="single" w:color="auto" w:sz="4" w:space="0"/>
            </w:tcBorders>
            <w:vAlign w:val="center"/>
          </w:tcPr>
          <w:p w14:paraId="4AFE28F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5</w:t>
            </w:r>
          </w:p>
        </w:tc>
      </w:tr>
      <w:tr w14:paraId="7D92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19" w:type="dxa"/>
            <w:tcBorders>
              <w:top w:val="nil"/>
              <w:left w:val="single" w:color="auto" w:sz="4" w:space="0"/>
              <w:bottom w:val="single" w:color="auto" w:sz="4" w:space="0"/>
              <w:right w:val="single" w:color="auto" w:sz="4" w:space="0"/>
            </w:tcBorders>
            <w:vAlign w:val="center"/>
          </w:tcPr>
          <w:p w14:paraId="053D0FA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教学重点难点</w:t>
            </w:r>
          </w:p>
        </w:tc>
        <w:tc>
          <w:tcPr>
            <w:tcW w:w="7194" w:type="dxa"/>
            <w:tcBorders>
              <w:top w:val="single" w:color="auto" w:sz="4" w:space="0"/>
              <w:left w:val="nil"/>
              <w:bottom w:val="single" w:color="auto" w:sz="4" w:space="0"/>
              <w:right w:val="single" w:color="auto" w:sz="4" w:space="0"/>
            </w:tcBorders>
            <w:vAlign w:val="center"/>
          </w:tcPr>
          <w:p w14:paraId="0B74FF45">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准确把握教学重、难点，重点突出，难点突破得当</w:t>
            </w:r>
          </w:p>
        </w:tc>
        <w:tc>
          <w:tcPr>
            <w:tcW w:w="914" w:type="dxa"/>
            <w:tcBorders>
              <w:top w:val="single" w:color="auto" w:sz="4" w:space="0"/>
              <w:left w:val="nil"/>
              <w:bottom w:val="single" w:color="auto" w:sz="4" w:space="0"/>
              <w:right w:val="single" w:color="auto" w:sz="4" w:space="0"/>
            </w:tcBorders>
            <w:vAlign w:val="center"/>
          </w:tcPr>
          <w:p w14:paraId="0175530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8</w:t>
            </w:r>
          </w:p>
        </w:tc>
      </w:tr>
      <w:tr w14:paraId="4CB5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19" w:type="dxa"/>
            <w:tcBorders>
              <w:top w:val="nil"/>
              <w:left w:val="single" w:color="auto" w:sz="4" w:space="0"/>
              <w:bottom w:val="single" w:color="auto" w:sz="4" w:space="0"/>
              <w:right w:val="single" w:color="auto" w:sz="4" w:space="0"/>
            </w:tcBorders>
            <w:vAlign w:val="center"/>
          </w:tcPr>
          <w:p w14:paraId="4A2A79E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教学方式</w:t>
            </w:r>
          </w:p>
        </w:tc>
        <w:tc>
          <w:tcPr>
            <w:tcW w:w="7194" w:type="dxa"/>
            <w:tcBorders>
              <w:top w:val="single" w:color="auto" w:sz="4" w:space="0"/>
              <w:left w:val="nil"/>
              <w:bottom w:val="single" w:color="auto" w:sz="4" w:space="0"/>
              <w:right w:val="single" w:color="auto" w:sz="4" w:space="0"/>
            </w:tcBorders>
            <w:vAlign w:val="center"/>
          </w:tcPr>
          <w:p w14:paraId="0B578164">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教学方式恰当、有效、新颖，精心设计学生活动，注重教学互动，启发学生思考及问题解决</w:t>
            </w:r>
          </w:p>
        </w:tc>
        <w:tc>
          <w:tcPr>
            <w:tcW w:w="914" w:type="dxa"/>
            <w:tcBorders>
              <w:top w:val="single" w:color="auto" w:sz="4" w:space="0"/>
              <w:left w:val="nil"/>
              <w:bottom w:val="single" w:color="auto" w:sz="4" w:space="0"/>
              <w:right w:val="single" w:color="auto" w:sz="4" w:space="0"/>
            </w:tcBorders>
            <w:vAlign w:val="center"/>
          </w:tcPr>
          <w:p w14:paraId="58071A8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8</w:t>
            </w:r>
          </w:p>
        </w:tc>
      </w:tr>
      <w:tr w14:paraId="0ACF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19" w:type="dxa"/>
            <w:vMerge w:val="restart"/>
            <w:tcBorders>
              <w:top w:val="nil"/>
              <w:left w:val="single" w:color="auto" w:sz="4" w:space="0"/>
              <w:bottom w:val="single" w:color="auto" w:sz="4" w:space="0"/>
              <w:right w:val="single" w:color="auto" w:sz="4" w:space="0"/>
            </w:tcBorders>
            <w:vAlign w:val="center"/>
          </w:tcPr>
          <w:p w14:paraId="5DACE7A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教学过程</w:t>
            </w:r>
          </w:p>
        </w:tc>
        <w:tc>
          <w:tcPr>
            <w:tcW w:w="7194" w:type="dxa"/>
            <w:tcBorders>
              <w:top w:val="single" w:color="auto" w:sz="4" w:space="0"/>
              <w:left w:val="single" w:color="auto" w:sz="4" w:space="0"/>
              <w:bottom w:val="single" w:color="auto" w:sz="4" w:space="0"/>
              <w:right w:val="single" w:color="auto" w:sz="4" w:space="0"/>
            </w:tcBorders>
            <w:vAlign w:val="center"/>
          </w:tcPr>
          <w:p w14:paraId="0F0BE40C">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教学</w:t>
            </w:r>
            <w:r>
              <w:rPr>
                <w:rFonts w:hint="eastAsia" w:ascii="仿宋_GB2312" w:hAnsi="仿宋_GB2312" w:eastAsia="仿宋_GB2312" w:cs="仿宋_GB2312"/>
                <w:sz w:val="24"/>
                <w:szCs w:val="24"/>
                <w:lang w:eastAsia="zh-CN"/>
              </w:rPr>
              <w:t>思路清晰</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教学环节完整，</w:t>
            </w:r>
            <w:r>
              <w:rPr>
                <w:rFonts w:hint="eastAsia" w:ascii="仿宋_GB2312" w:hAnsi="仿宋_GB2312" w:eastAsia="仿宋_GB2312" w:cs="仿宋_GB2312"/>
                <w:sz w:val="24"/>
                <w:szCs w:val="24"/>
              </w:rPr>
              <w:t>教学内容处理符合课标要求，具有较强的系统性和逻辑性</w:t>
            </w:r>
          </w:p>
        </w:tc>
        <w:tc>
          <w:tcPr>
            <w:tcW w:w="914" w:type="dxa"/>
            <w:tcBorders>
              <w:top w:val="single" w:color="auto" w:sz="4" w:space="0"/>
              <w:left w:val="nil"/>
              <w:bottom w:val="single" w:color="auto" w:sz="4" w:space="0"/>
              <w:right w:val="single" w:color="auto" w:sz="4" w:space="0"/>
            </w:tcBorders>
            <w:vAlign w:val="center"/>
          </w:tcPr>
          <w:p w14:paraId="10C0380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val="en-US" w:eastAsia="zh-CN"/>
              </w:rPr>
              <w:t>8</w:t>
            </w:r>
          </w:p>
        </w:tc>
      </w:tr>
      <w:tr w14:paraId="1AE1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19" w:type="dxa"/>
            <w:vMerge w:val="continue"/>
            <w:tcBorders>
              <w:top w:val="nil"/>
              <w:left w:val="single" w:color="auto" w:sz="4" w:space="0"/>
              <w:bottom w:val="single" w:color="auto" w:sz="4" w:space="0"/>
              <w:right w:val="single" w:color="auto" w:sz="4" w:space="0"/>
            </w:tcBorders>
            <w:vAlign w:val="center"/>
          </w:tcPr>
          <w:p w14:paraId="316576E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7194" w:type="dxa"/>
            <w:tcBorders>
              <w:top w:val="single" w:color="auto" w:sz="4" w:space="0"/>
              <w:left w:val="single" w:color="auto" w:sz="4" w:space="0"/>
              <w:bottom w:val="single" w:color="auto" w:sz="4" w:space="0"/>
              <w:right w:val="single" w:color="auto" w:sz="4" w:space="0"/>
            </w:tcBorders>
            <w:vAlign w:val="center"/>
          </w:tcPr>
          <w:p w14:paraId="7871C5EF">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教学辅助手段</w:t>
            </w:r>
            <w:r>
              <w:rPr>
                <w:rFonts w:hint="eastAsia" w:ascii="仿宋_GB2312" w:hAnsi="仿宋_GB2312" w:eastAsia="仿宋_GB2312" w:cs="仿宋_GB2312"/>
                <w:sz w:val="24"/>
                <w:szCs w:val="24"/>
                <w:lang w:eastAsia="zh-CN"/>
              </w:rPr>
              <w:t>的</w:t>
            </w:r>
            <w:r>
              <w:rPr>
                <w:rFonts w:hint="eastAsia" w:ascii="仿宋_GB2312" w:hAnsi="仿宋_GB2312" w:eastAsia="仿宋_GB2312" w:cs="仿宋_GB2312"/>
                <w:sz w:val="24"/>
                <w:szCs w:val="24"/>
              </w:rPr>
              <w:t>准备与使用</w:t>
            </w:r>
            <w:r>
              <w:rPr>
                <w:rFonts w:hint="eastAsia" w:ascii="仿宋_GB2312" w:hAnsi="仿宋_GB2312" w:eastAsia="仿宋_GB2312" w:cs="仿宋_GB2312"/>
                <w:sz w:val="24"/>
                <w:szCs w:val="24"/>
                <w:lang w:eastAsia="zh-CN"/>
              </w:rPr>
              <w:t>恰当</w:t>
            </w:r>
            <w:r>
              <w:rPr>
                <w:rFonts w:hint="eastAsia" w:ascii="仿宋_GB2312" w:hAnsi="仿宋_GB2312" w:eastAsia="仿宋_GB2312" w:cs="仿宋_GB2312"/>
                <w:sz w:val="24"/>
                <w:szCs w:val="24"/>
              </w:rPr>
              <w:t>，教具及现代化教学手段运用</w:t>
            </w:r>
            <w:r>
              <w:rPr>
                <w:rFonts w:hint="eastAsia" w:ascii="仿宋_GB2312" w:hAnsi="仿宋_GB2312" w:eastAsia="仿宋_GB2312" w:cs="仿宋_GB2312"/>
                <w:sz w:val="24"/>
                <w:szCs w:val="24"/>
                <w:lang w:eastAsia="zh-CN"/>
              </w:rPr>
              <w:t>有效</w:t>
            </w:r>
          </w:p>
        </w:tc>
        <w:tc>
          <w:tcPr>
            <w:tcW w:w="914" w:type="dxa"/>
            <w:tcBorders>
              <w:top w:val="single" w:color="auto" w:sz="4" w:space="0"/>
              <w:left w:val="nil"/>
              <w:bottom w:val="single" w:color="auto" w:sz="4" w:space="0"/>
              <w:right w:val="single" w:color="auto" w:sz="4" w:space="0"/>
            </w:tcBorders>
            <w:vAlign w:val="center"/>
          </w:tcPr>
          <w:p w14:paraId="3682BDA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val="en-US" w:eastAsia="zh-CN"/>
              </w:rPr>
              <w:t>5</w:t>
            </w:r>
          </w:p>
        </w:tc>
      </w:tr>
      <w:tr w14:paraId="2C51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19" w:type="dxa"/>
            <w:vMerge w:val="continue"/>
            <w:tcBorders>
              <w:top w:val="nil"/>
              <w:left w:val="single" w:color="auto" w:sz="4" w:space="0"/>
              <w:bottom w:val="single" w:color="auto" w:sz="4" w:space="0"/>
              <w:right w:val="single" w:color="auto" w:sz="4" w:space="0"/>
            </w:tcBorders>
            <w:vAlign w:val="center"/>
          </w:tcPr>
          <w:p w14:paraId="77F3F7F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7194" w:type="dxa"/>
            <w:tcBorders>
              <w:top w:val="single" w:color="auto" w:sz="4" w:space="0"/>
              <w:left w:val="single" w:color="auto" w:sz="4" w:space="0"/>
              <w:bottom w:val="single" w:color="auto" w:sz="4" w:space="0"/>
              <w:right w:val="single" w:color="auto" w:sz="4" w:space="0"/>
            </w:tcBorders>
            <w:vAlign w:val="center"/>
          </w:tcPr>
          <w:p w14:paraId="47A456F0">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注重</w:t>
            </w:r>
            <w:r>
              <w:rPr>
                <w:rFonts w:hint="eastAsia" w:ascii="仿宋_GB2312" w:hAnsi="仿宋_GB2312" w:eastAsia="仿宋_GB2312" w:cs="仿宋_GB2312"/>
                <w:sz w:val="24"/>
                <w:szCs w:val="24"/>
                <w:lang w:val="en-US" w:eastAsia="zh-CN"/>
              </w:rPr>
              <w:t>过程</w:t>
            </w:r>
            <w:r>
              <w:rPr>
                <w:rFonts w:hint="eastAsia" w:ascii="仿宋_GB2312" w:hAnsi="仿宋_GB2312" w:eastAsia="仿宋_GB2312" w:cs="仿宋_GB2312"/>
                <w:sz w:val="24"/>
                <w:szCs w:val="24"/>
              </w:rPr>
              <w:t>性评价及生成性问题</w:t>
            </w:r>
            <w:r>
              <w:rPr>
                <w:rFonts w:hint="eastAsia" w:ascii="仿宋_GB2312" w:hAnsi="仿宋_GB2312" w:eastAsia="仿宋_GB2312" w:cs="仿宋_GB2312"/>
                <w:sz w:val="24"/>
                <w:szCs w:val="24"/>
                <w:lang w:eastAsia="zh-CN"/>
              </w:rPr>
              <w:t>的</w:t>
            </w:r>
            <w:r>
              <w:rPr>
                <w:rFonts w:hint="eastAsia" w:ascii="仿宋_GB2312" w:hAnsi="仿宋_GB2312" w:eastAsia="仿宋_GB2312" w:cs="仿宋_GB2312"/>
                <w:sz w:val="24"/>
                <w:szCs w:val="24"/>
              </w:rPr>
              <w:t>解决</w:t>
            </w:r>
          </w:p>
        </w:tc>
        <w:tc>
          <w:tcPr>
            <w:tcW w:w="914" w:type="dxa"/>
            <w:tcBorders>
              <w:top w:val="single" w:color="auto" w:sz="4" w:space="0"/>
              <w:left w:val="nil"/>
              <w:bottom w:val="single" w:color="auto" w:sz="4" w:space="0"/>
              <w:right w:val="single" w:color="auto" w:sz="4" w:space="0"/>
            </w:tcBorders>
            <w:vAlign w:val="center"/>
          </w:tcPr>
          <w:p w14:paraId="3D7959A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val="en-US" w:eastAsia="zh-CN"/>
              </w:rPr>
              <w:t>5</w:t>
            </w:r>
          </w:p>
        </w:tc>
      </w:tr>
      <w:tr w14:paraId="7607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19" w:type="dxa"/>
            <w:tcBorders>
              <w:top w:val="single" w:color="auto" w:sz="4" w:space="0"/>
              <w:left w:val="single" w:color="auto" w:sz="4" w:space="0"/>
              <w:bottom w:val="single" w:color="auto" w:sz="4" w:space="0"/>
              <w:right w:val="single" w:color="auto" w:sz="4" w:space="0"/>
            </w:tcBorders>
            <w:vAlign w:val="center"/>
          </w:tcPr>
          <w:p w14:paraId="7483A13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作业设计</w:t>
            </w:r>
          </w:p>
        </w:tc>
        <w:tc>
          <w:tcPr>
            <w:tcW w:w="7194" w:type="dxa"/>
            <w:tcBorders>
              <w:top w:val="single" w:color="auto" w:sz="4" w:space="0"/>
              <w:left w:val="nil"/>
              <w:bottom w:val="single" w:color="auto" w:sz="4" w:space="0"/>
              <w:right w:val="single" w:color="auto" w:sz="4" w:space="0"/>
            </w:tcBorders>
            <w:vAlign w:val="center"/>
          </w:tcPr>
          <w:p w14:paraId="13E1545F">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作业设计合理，符合减负要求，</w:t>
            </w:r>
            <w:r>
              <w:rPr>
                <w:rFonts w:hint="eastAsia" w:ascii="仿宋_GB2312" w:hAnsi="仿宋_GB2312" w:eastAsia="仿宋_GB2312" w:cs="仿宋_GB2312"/>
                <w:sz w:val="24"/>
                <w:szCs w:val="24"/>
              </w:rPr>
              <w:t>有助</w:t>
            </w:r>
            <w:r>
              <w:rPr>
                <w:rFonts w:hint="eastAsia" w:ascii="仿宋_GB2312" w:hAnsi="仿宋_GB2312" w:eastAsia="仿宋_GB2312" w:cs="仿宋_GB2312"/>
                <w:sz w:val="24"/>
                <w:szCs w:val="24"/>
                <w:lang w:eastAsia="zh-CN"/>
              </w:rPr>
              <w:t>于</w:t>
            </w:r>
            <w:r>
              <w:rPr>
                <w:rFonts w:hint="eastAsia" w:ascii="仿宋_GB2312" w:hAnsi="仿宋_GB2312" w:eastAsia="仿宋_GB2312" w:cs="仿宋_GB2312"/>
                <w:sz w:val="24"/>
                <w:szCs w:val="24"/>
              </w:rPr>
              <w:t>强化学生反思、理解和问题解决</w:t>
            </w:r>
          </w:p>
        </w:tc>
        <w:tc>
          <w:tcPr>
            <w:tcW w:w="914" w:type="dxa"/>
            <w:tcBorders>
              <w:top w:val="single" w:color="auto" w:sz="4" w:space="0"/>
              <w:left w:val="nil"/>
              <w:bottom w:val="single" w:color="auto" w:sz="4" w:space="0"/>
              <w:right w:val="single" w:color="auto" w:sz="4" w:space="0"/>
            </w:tcBorders>
            <w:vAlign w:val="center"/>
          </w:tcPr>
          <w:p w14:paraId="2BC7FD9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6</w:t>
            </w:r>
          </w:p>
        </w:tc>
      </w:tr>
      <w:tr w14:paraId="3FE9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19" w:type="dxa"/>
            <w:tcBorders>
              <w:top w:val="single" w:color="auto" w:sz="4" w:space="0"/>
              <w:left w:val="single" w:color="auto" w:sz="4" w:space="0"/>
              <w:bottom w:val="single" w:color="auto" w:sz="4" w:space="0"/>
              <w:right w:val="single" w:color="auto" w:sz="4" w:space="0"/>
            </w:tcBorders>
            <w:vAlign w:val="center"/>
          </w:tcPr>
          <w:p w14:paraId="4EF97B1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板书设计</w:t>
            </w:r>
          </w:p>
        </w:tc>
        <w:tc>
          <w:tcPr>
            <w:tcW w:w="7194" w:type="dxa"/>
            <w:tcBorders>
              <w:top w:val="single" w:color="auto" w:sz="4" w:space="0"/>
              <w:left w:val="nil"/>
              <w:bottom w:val="single" w:color="auto" w:sz="4" w:space="0"/>
              <w:right w:val="single" w:color="auto" w:sz="4" w:space="0"/>
            </w:tcBorders>
            <w:vAlign w:val="center"/>
          </w:tcPr>
          <w:p w14:paraId="0F94E89E">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板书设计清晰明了，结构完整，重点突出，能体现教学的过程</w:t>
            </w:r>
          </w:p>
        </w:tc>
        <w:tc>
          <w:tcPr>
            <w:tcW w:w="914" w:type="dxa"/>
            <w:tcBorders>
              <w:top w:val="single" w:color="auto" w:sz="4" w:space="0"/>
              <w:left w:val="nil"/>
              <w:bottom w:val="single" w:color="auto" w:sz="4" w:space="0"/>
              <w:right w:val="single" w:color="auto" w:sz="4" w:space="0"/>
            </w:tcBorders>
            <w:vAlign w:val="center"/>
          </w:tcPr>
          <w:p w14:paraId="63A7DCB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5</w:t>
            </w:r>
          </w:p>
        </w:tc>
      </w:tr>
      <w:tr w14:paraId="4F104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19" w:type="dxa"/>
            <w:tcBorders>
              <w:top w:val="single" w:color="auto" w:sz="4" w:space="0"/>
              <w:left w:val="single" w:color="auto" w:sz="4" w:space="0"/>
              <w:bottom w:val="single" w:color="auto" w:sz="4" w:space="0"/>
              <w:right w:val="single" w:color="auto" w:sz="4" w:space="0"/>
            </w:tcBorders>
            <w:vAlign w:val="center"/>
          </w:tcPr>
          <w:p w14:paraId="666FBF4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创新设计</w:t>
            </w:r>
          </w:p>
        </w:tc>
        <w:tc>
          <w:tcPr>
            <w:tcW w:w="7194" w:type="dxa"/>
            <w:tcBorders>
              <w:top w:val="single" w:color="auto" w:sz="4" w:space="0"/>
              <w:left w:val="nil"/>
              <w:bottom w:val="single" w:color="auto" w:sz="4" w:space="0"/>
              <w:right w:val="single" w:color="auto" w:sz="4" w:space="0"/>
            </w:tcBorders>
            <w:vAlign w:val="center"/>
          </w:tcPr>
          <w:p w14:paraId="721FC4B6">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整体设计富有创新性，</w:t>
            </w:r>
            <w:r>
              <w:rPr>
                <w:rFonts w:hint="eastAsia" w:ascii="仿宋_GB2312" w:hAnsi="仿宋_GB2312" w:eastAsia="仿宋_GB2312" w:cs="仿宋_GB2312"/>
                <w:kern w:val="0"/>
                <w:sz w:val="24"/>
                <w:szCs w:val="24"/>
              </w:rPr>
              <w:t>能够体现</w:t>
            </w:r>
            <w:r>
              <w:rPr>
                <w:rFonts w:hint="eastAsia" w:ascii="仿宋_GB2312" w:hAnsi="仿宋_GB2312" w:eastAsia="仿宋_GB2312" w:cs="仿宋_GB2312"/>
                <w:kern w:val="0"/>
                <w:sz w:val="24"/>
                <w:szCs w:val="24"/>
                <w:lang w:val="en-US" w:eastAsia="zh-CN"/>
              </w:rPr>
              <w:t>学科教学与</w:t>
            </w:r>
            <w:r>
              <w:rPr>
                <w:rFonts w:hint="eastAsia" w:ascii="仿宋_GB2312" w:hAnsi="仿宋_GB2312" w:eastAsia="仿宋_GB2312" w:cs="仿宋_GB2312"/>
                <w:kern w:val="0"/>
                <w:sz w:val="24"/>
                <w:szCs w:val="24"/>
              </w:rPr>
              <w:t>信息技术</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跨</w:t>
            </w:r>
            <w:r>
              <w:rPr>
                <w:rFonts w:hint="eastAsia" w:ascii="仿宋_GB2312" w:hAnsi="仿宋_GB2312" w:eastAsia="仿宋_GB2312" w:cs="仿宋_GB2312"/>
                <w:kern w:val="0"/>
                <w:sz w:val="24"/>
                <w:szCs w:val="24"/>
              </w:rPr>
              <w:t>学科教学</w:t>
            </w:r>
            <w:r>
              <w:rPr>
                <w:rFonts w:hint="eastAsia" w:ascii="仿宋_GB2312" w:hAnsi="仿宋_GB2312" w:eastAsia="仿宋_GB2312" w:cs="仿宋_GB2312"/>
                <w:kern w:val="0"/>
                <w:sz w:val="24"/>
                <w:szCs w:val="24"/>
                <w:lang w:val="en-US" w:eastAsia="zh-CN"/>
              </w:rPr>
              <w:t>等方面</w:t>
            </w:r>
            <w:r>
              <w:rPr>
                <w:rFonts w:hint="eastAsia" w:ascii="仿宋_GB2312" w:hAnsi="仿宋_GB2312" w:eastAsia="仿宋_GB2312" w:cs="仿宋_GB2312"/>
                <w:kern w:val="0"/>
                <w:sz w:val="24"/>
                <w:szCs w:val="24"/>
              </w:rPr>
              <w:t>的融合，</w:t>
            </w:r>
            <w:r>
              <w:rPr>
                <w:rFonts w:hint="eastAsia" w:ascii="仿宋_GB2312" w:hAnsi="仿宋_GB2312" w:eastAsia="仿宋_GB2312" w:cs="仿宋_GB2312"/>
                <w:kern w:val="0"/>
                <w:sz w:val="24"/>
                <w:szCs w:val="24"/>
                <w:lang w:eastAsia="zh-CN"/>
              </w:rPr>
              <w:t>体现大单元教学理念，</w:t>
            </w:r>
            <w:r>
              <w:rPr>
                <w:rFonts w:hint="eastAsia" w:ascii="仿宋_GB2312" w:hAnsi="仿宋_GB2312" w:eastAsia="仿宋_GB2312" w:cs="仿宋_GB2312"/>
                <w:kern w:val="0"/>
                <w:sz w:val="24"/>
                <w:szCs w:val="24"/>
                <w:lang w:val="en-US" w:eastAsia="zh-CN"/>
              </w:rPr>
              <w:t>具有</w:t>
            </w:r>
            <w:r>
              <w:rPr>
                <w:rFonts w:hint="eastAsia" w:ascii="仿宋_GB2312" w:hAnsi="仿宋_GB2312" w:eastAsia="仿宋_GB2312" w:cs="仿宋_GB2312"/>
                <w:kern w:val="0"/>
                <w:sz w:val="24"/>
                <w:szCs w:val="24"/>
              </w:rPr>
              <w:t>独特的风格和特色</w:t>
            </w:r>
          </w:p>
        </w:tc>
        <w:tc>
          <w:tcPr>
            <w:tcW w:w="914" w:type="dxa"/>
            <w:tcBorders>
              <w:top w:val="single" w:color="auto" w:sz="4" w:space="0"/>
              <w:left w:val="nil"/>
              <w:bottom w:val="single" w:color="auto" w:sz="4" w:space="0"/>
              <w:right w:val="single" w:color="auto" w:sz="4" w:space="0"/>
            </w:tcBorders>
            <w:vAlign w:val="center"/>
          </w:tcPr>
          <w:p w14:paraId="44BF2A0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5</w:t>
            </w:r>
          </w:p>
        </w:tc>
      </w:tr>
      <w:tr w14:paraId="63DE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19" w:type="dxa"/>
            <w:tcBorders>
              <w:top w:val="single" w:color="auto" w:sz="4" w:space="0"/>
              <w:left w:val="single" w:color="auto" w:sz="4" w:space="0"/>
              <w:bottom w:val="single" w:color="auto" w:sz="4" w:space="0"/>
              <w:right w:val="single" w:color="auto" w:sz="4" w:space="0"/>
            </w:tcBorders>
            <w:vAlign w:val="center"/>
          </w:tcPr>
          <w:p w14:paraId="7DC2973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书写要求</w:t>
            </w:r>
          </w:p>
        </w:tc>
        <w:tc>
          <w:tcPr>
            <w:tcW w:w="7194" w:type="dxa"/>
            <w:tcBorders>
              <w:top w:val="single" w:color="auto" w:sz="4" w:space="0"/>
              <w:left w:val="nil"/>
              <w:bottom w:val="single" w:color="auto" w:sz="4" w:space="0"/>
              <w:right w:val="single" w:color="auto" w:sz="4" w:space="0"/>
            </w:tcBorders>
            <w:vAlign w:val="center"/>
          </w:tcPr>
          <w:p w14:paraId="1A6E5242">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书写规范，整洁美观</w:t>
            </w:r>
          </w:p>
        </w:tc>
        <w:tc>
          <w:tcPr>
            <w:tcW w:w="914" w:type="dxa"/>
            <w:tcBorders>
              <w:top w:val="single" w:color="auto" w:sz="4" w:space="0"/>
              <w:left w:val="nil"/>
              <w:bottom w:val="single" w:color="auto" w:sz="4" w:space="0"/>
              <w:right w:val="single" w:color="auto" w:sz="4" w:space="0"/>
            </w:tcBorders>
            <w:vAlign w:val="center"/>
          </w:tcPr>
          <w:p w14:paraId="449C78D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10</w:t>
            </w:r>
          </w:p>
        </w:tc>
      </w:tr>
      <w:tr w14:paraId="320B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013" w:type="dxa"/>
            <w:gridSpan w:val="2"/>
            <w:tcBorders>
              <w:top w:val="single" w:color="auto" w:sz="4" w:space="0"/>
              <w:left w:val="single" w:color="auto" w:sz="4" w:space="0"/>
              <w:bottom w:val="single" w:color="auto" w:sz="4" w:space="0"/>
              <w:right w:val="single" w:color="auto" w:sz="4" w:space="0"/>
            </w:tcBorders>
            <w:vAlign w:val="center"/>
          </w:tcPr>
          <w:p w14:paraId="3E276E5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合   计</w:t>
            </w:r>
          </w:p>
        </w:tc>
        <w:tc>
          <w:tcPr>
            <w:tcW w:w="914" w:type="dxa"/>
            <w:tcBorders>
              <w:top w:val="single" w:color="auto" w:sz="4" w:space="0"/>
              <w:left w:val="nil"/>
              <w:bottom w:val="single" w:color="auto" w:sz="4" w:space="0"/>
              <w:right w:val="single" w:color="auto" w:sz="4" w:space="0"/>
            </w:tcBorders>
            <w:vAlign w:val="center"/>
          </w:tcPr>
          <w:p w14:paraId="226E700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100</w:t>
            </w:r>
          </w:p>
        </w:tc>
      </w:tr>
    </w:tbl>
    <w:p w14:paraId="187DFD1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模拟上课评价标准</w:t>
      </w:r>
    </w:p>
    <w:tbl>
      <w:tblPr>
        <w:tblStyle w:val="5"/>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7"/>
        <w:gridCol w:w="6337"/>
        <w:gridCol w:w="5"/>
        <w:gridCol w:w="906"/>
      </w:tblGrid>
      <w:tr w14:paraId="4473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2367" w:type="dxa"/>
            <w:tcBorders>
              <w:top w:val="single" w:color="auto" w:sz="4" w:space="0"/>
              <w:left w:val="single" w:color="auto" w:sz="4" w:space="0"/>
              <w:bottom w:val="single" w:color="auto" w:sz="4" w:space="0"/>
              <w:right w:val="single" w:color="auto" w:sz="4" w:space="0"/>
            </w:tcBorders>
            <w:vAlign w:val="center"/>
          </w:tcPr>
          <w:p w14:paraId="7E79A08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黑体" w:hAnsi="黑体" w:eastAsia="黑体" w:cs="黑体"/>
                <w:b w:val="0"/>
                <w:bCs/>
                <w:sz w:val="28"/>
                <w:szCs w:val="28"/>
              </w:rPr>
            </w:pPr>
            <w:r>
              <w:rPr>
                <w:rFonts w:hint="eastAsia" w:ascii="黑体" w:hAnsi="黑体" w:eastAsia="黑体" w:cs="黑体"/>
                <w:b w:val="0"/>
                <w:bCs/>
                <w:sz w:val="28"/>
                <w:szCs w:val="28"/>
              </w:rPr>
              <w:t>评价内容</w:t>
            </w:r>
          </w:p>
        </w:tc>
        <w:tc>
          <w:tcPr>
            <w:tcW w:w="6337" w:type="dxa"/>
            <w:tcBorders>
              <w:top w:val="single" w:color="auto" w:sz="4" w:space="0"/>
              <w:left w:val="nil"/>
              <w:bottom w:val="single" w:color="auto" w:sz="4" w:space="0"/>
              <w:right w:val="single" w:color="auto" w:sz="4" w:space="0"/>
            </w:tcBorders>
            <w:vAlign w:val="center"/>
          </w:tcPr>
          <w:p w14:paraId="7D6F88C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黑体" w:hAnsi="黑体" w:eastAsia="黑体" w:cs="黑体"/>
                <w:b w:val="0"/>
                <w:bCs/>
                <w:sz w:val="28"/>
                <w:szCs w:val="28"/>
              </w:rPr>
            </w:pPr>
            <w:r>
              <w:rPr>
                <w:rFonts w:hint="eastAsia" w:ascii="黑体" w:hAnsi="黑体" w:eastAsia="黑体" w:cs="黑体"/>
                <w:b w:val="0"/>
                <w:bCs/>
                <w:sz w:val="28"/>
                <w:szCs w:val="28"/>
              </w:rPr>
              <w:t>评 价 标 准</w:t>
            </w:r>
          </w:p>
        </w:tc>
        <w:tc>
          <w:tcPr>
            <w:tcW w:w="911" w:type="dxa"/>
            <w:gridSpan w:val="2"/>
            <w:tcBorders>
              <w:top w:val="single" w:color="auto" w:sz="4" w:space="0"/>
              <w:left w:val="nil"/>
              <w:bottom w:val="single" w:color="auto" w:sz="4" w:space="0"/>
              <w:right w:val="single" w:color="auto" w:sz="4" w:space="0"/>
            </w:tcBorders>
            <w:vAlign w:val="center"/>
          </w:tcPr>
          <w:p w14:paraId="189CDA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黑体" w:hAnsi="黑体" w:eastAsia="黑体" w:cs="黑体"/>
                <w:b w:val="0"/>
                <w:bCs/>
                <w:sz w:val="28"/>
                <w:szCs w:val="28"/>
              </w:rPr>
            </w:pPr>
            <w:r>
              <w:rPr>
                <w:rFonts w:hint="eastAsia" w:ascii="黑体" w:hAnsi="黑体" w:eastAsia="黑体" w:cs="黑体"/>
                <w:b w:val="0"/>
                <w:bCs/>
                <w:sz w:val="28"/>
                <w:szCs w:val="28"/>
              </w:rPr>
              <w:t>分值</w:t>
            </w:r>
          </w:p>
        </w:tc>
      </w:tr>
      <w:tr w14:paraId="0A3F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67" w:type="dxa"/>
            <w:tcBorders>
              <w:top w:val="single" w:color="auto" w:sz="4" w:space="0"/>
              <w:left w:val="single" w:color="auto" w:sz="4" w:space="0"/>
              <w:bottom w:val="single" w:color="auto" w:sz="4" w:space="0"/>
              <w:right w:val="single" w:color="auto" w:sz="4" w:space="0"/>
            </w:tcBorders>
            <w:vAlign w:val="center"/>
          </w:tcPr>
          <w:p w14:paraId="4BDC06A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教学目标</w:t>
            </w:r>
          </w:p>
        </w:tc>
        <w:tc>
          <w:tcPr>
            <w:tcW w:w="6337" w:type="dxa"/>
            <w:tcBorders>
              <w:top w:val="single" w:color="auto" w:sz="4" w:space="0"/>
              <w:left w:val="nil"/>
              <w:bottom w:val="single" w:color="auto" w:sz="4" w:space="0"/>
              <w:right w:val="single" w:color="auto" w:sz="4" w:space="0"/>
            </w:tcBorders>
            <w:vAlign w:val="center"/>
          </w:tcPr>
          <w:p w14:paraId="3047CFA4">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目标设置清晰明确，符合课标要求和学生实际</w:t>
            </w:r>
          </w:p>
        </w:tc>
        <w:tc>
          <w:tcPr>
            <w:tcW w:w="911" w:type="dxa"/>
            <w:gridSpan w:val="2"/>
            <w:tcBorders>
              <w:top w:val="single" w:color="auto" w:sz="4" w:space="0"/>
              <w:left w:val="nil"/>
              <w:bottom w:val="single" w:color="auto" w:sz="4" w:space="0"/>
              <w:right w:val="single" w:color="auto" w:sz="4" w:space="0"/>
            </w:tcBorders>
            <w:vAlign w:val="center"/>
          </w:tcPr>
          <w:p w14:paraId="24B8CDE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w:t>
            </w:r>
          </w:p>
        </w:tc>
      </w:tr>
      <w:tr w14:paraId="77478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67" w:type="dxa"/>
            <w:tcBorders>
              <w:top w:val="single" w:color="auto" w:sz="4" w:space="0"/>
              <w:left w:val="single" w:color="auto" w:sz="4" w:space="0"/>
              <w:bottom w:val="single" w:color="auto" w:sz="4" w:space="0"/>
              <w:right w:val="single" w:color="auto" w:sz="4" w:space="0"/>
            </w:tcBorders>
            <w:vAlign w:val="center"/>
          </w:tcPr>
          <w:p w14:paraId="64DEE2E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教学内容</w:t>
            </w:r>
          </w:p>
        </w:tc>
        <w:tc>
          <w:tcPr>
            <w:tcW w:w="6337" w:type="dxa"/>
            <w:tcBorders>
              <w:top w:val="single" w:color="auto" w:sz="4" w:space="0"/>
              <w:left w:val="nil"/>
              <w:bottom w:val="single" w:color="auto" w:sz="4" w:space="0"/>
              <w:right w:val="single" w:color="auto" w:sz="4" w:space="0"/>
            </w:tcBorders>
            <w:vAlign w:val="center"/>
          </w:tcPr>
          <w:p w14:paraId="51B7A6F2">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重点内容讲解明白，教学难点处理恰当，关注学生已有知识和经验，注重学生能力培养，知识教学正确无误</w:t>
            </w:r>
          </w:p>
        </w:tc>
        <w:tc>
          <w:tcPr>
            <w:tcW w:w="911" w:type="dxa"/>
            <w:gridSpan w:val="2"/>
            <w:tcBorders>
              <w:top w:val="single" w:color="auto" w:sz="4" w:space="0"/>
              <w:left w:val="nil"/>
              <w:bottom w:val="single" w:color="auto" w:sz="4" w:space="0"/>
              <w:right w:val="single" w:color="auto" w:sz="4" w:space="0"/>
            </w:tcBorders>
            <w:vAlign w:val="center"/>
          </w:tcPr>
          <w:p w14:paraId="7F9BCD9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w:t>
            </w:r>
          </w:p>
        </w:tc>
      </w:tr>
      <w:tr w14:paraId="049AF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67" w:type="dxa"/>
            <w:tcBorders>
              <w:top w:val="single" w:color="auto" w:sz="4" w:space="0"/>
              <w:left w:val="single" w:color="auto" w:sz="4" w:space="0"/>
              <w:bottom w:val="single" w:color="auto" w:sz="4" w:space="0"/>
              <w:right w:val="single" w:color="auto" w:sz="4" w:space="0"/>
            </w:tcBorders>
            <w:vAlign w:val="center"/>
          </w:tcPr>
          <w:p w14:paraId="119EC90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教学方法</w:t>
            </w:r>
          </w:p>
        </w:tc>
        <w:tc>
          <w:tcPr>
            <w:tcW w:w="6337" w:type="dxa"/>
            <w:tcBorders>
              <w:top w:val="single" w:color="auto" w:sz="4" w:space="0"/>
              <w:left w:val="nil"/>
              <w:bottom w:val="single" w:color="auto" w:sz="4" w:space="0"/>
              <w:right w:val="single" w:color="auto" w:sz="4" w:space="0"/>
            </w:tcBorders>
            <w:vAlign w:val="center"/>
          </w:tcPr>
          <w:p w14:paraId="22B3613A">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按新课标的理念处理教学内容以及教与学、知识与能力的关系，较好落实教学目标，体现多元化学习方法，体现有效师生互动 </w:t>
            </w:r>
          </w:p>
        </w:tc>
        <w:tc>
          <w:tcPr>
            <w:tcW w:w="911" w:type="dxa"/>
            <w:gridSpan w:val="2"/>
            <w:tcBorders>
              <w:top w:val="single" w:color="auto" w:sz="4" w:space="0"/>
              <w:left w:val="nil"/>
              <w:bottom w:val="single" w:color="auto" w:sz="4" w:space="0"/>
              <w:right w:val="single" w:color="auto" w:sz="4" w:space="0"/>
            </w:tcBorders>
            <w:vAlign w:val="center"/>
          </w:tcPr>
          <w:p w14:paraId="64ECD60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w:t>
            </w:r>
          </w:p>
        </w:tc>
      </w:tr>
      <w:tr w14:paraId="4407B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67" w:type="dxa"/>
            <w:tcBorders>
              <w:top w:val="single" w:color="auto" w:sz="4" w:space="0"/>
              <w:left w:val="single" w:color="auto" w:sz="4" w:space="0"/>
              <w:bottom w:val="single" w:color="auto" w:sz="4" w:space="0"/>
              <w:right w:val="single" w:color="auto" w:sz="4" w:space="0"/>
            </w:tcBorders>
            <w:vAlign w:val="center"/>
          </w:tcPr>
          <w:p w14:paraId="6C7F5C4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教学过程</w:t>
            </w:r>
          </w:p>
        </w:tc>
        <w:tc>
          <w:tcPr>
            <w:tcW w:w="6337" w:type="dxa"/>
            <w:tcBorders>
              <w:top w:val="single" w:color="auto" w:sz="4" w:space="0"/>
              <w:left w:val="nil"/>
              <w:bottom w:val="single" w:color="auto" w:sz="4" w:space="0"/>
              <w:right w:val="single" w:color="auto" w:sz="4" w:space="0"/>
            </w:tcBorders>
            <w:vAlign w:val="center"/>
          </w:tcPr>
          <w:p w14:paraId="10529A4A">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教学整体安排合理，环节紧凑，层次清晰，能够突出教学重难点，教学策略、教学方法等能够有效支撑教学活动，促进教学目标的达成</w:t>
            </w:r>
          </w:p>
        </w:tc>
        <w:tc>
          <w:tcPr>
            <w:tcW w:w="911" w:type="dxa"/>
            <w:gridSpan w:val="2"/>
            <w:tcBorders>
              <w:top w:val="single" w:color="auto" w:sz="4" w:space="0"/>
              <w:left w:val="nil"/>
              <w:bottom w:val="single" w:color="auto" w:sz="4" w:space="0"/>
              <w:right w:val="single" w:color="auto" w:sz="4" w:space="0"/>
            </w:tcBorders>
            <w:vAlign w:val="center"/>
          </w:tcPr>
          <w:p w14:paraId="7F3B857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w:t>
            </w:r>
          </w:p>
        </w:tc>
      </w:tr>
      <w:tr w14:paraId="2E38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67" w:type="dxa"/>
            <w:tcBorders>
              <w:top w:val="single" w:color="auto" w:sz="4" w:space="0"/>
              <w:left w:val="single" w:color="auto" w:sz="4" w:space="0"/>
              <w:bottom w:val="single" w:color="auto" w:sz="4" w:space="0"/>
              <w:right w:val="single" w:color="auto" w:sz="4" w:space="0"/>
            </w:tcBorders>
            <w:vAlign w:val="center"/>
          </w:tcPr>
          <w:p w14:paraId="3102D4E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教学素质</w:t>
            </w:r>
          </w:p>
        </w:tc>
        <w:tc>
          <w:tcPr>
            <w:tcW w:w="6337" w:type="dxa"/>
            <w:tcBorders>
              <w:top w:val="single" w:color="auto" w:sz="4" w:space="0"/>
              <w:left w:val="nil"/>
              <w:bottom w:val="single" w:color="auto" w:sz="4" w:space="0"/>
              <w:right w:val="single" w:color="auto" w:sz="4" w:space="0"/>
            </w:tcBorders>
            <w:vAlign w:val="center"/>
          </w:tcPr>
          <w:p w14:paraId="55801FB7">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教态自然亲切、仪表举止得体，教学语言规范准确、生动简洁，普通话标准</w:t>
            </w:r>
          </w:p>
        </w:tc>
        <w:tc>
          <w:tcPr>
            <w:tcW w:w="911" w:type="dxa"/>
            <w:gridSpan w:val="2"/>
            <w:tcBorders>
              <w:top w:val="single" w:color="auto" w:sz="4" w:space="0"/>
              <w:left w:val="nil"/>
              <w:bottom w:val="single" w:color="auto" w:sz="4" w:space="0"/>
              <w:right w:val="single" w:color="auto" w:sz="4" w:space="0"/>
            </w:tcBorders>
            <w:vAlign w:val="center"/>
          </w:tcPr>
          <w:p w14:paraId="6202C23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w:t>
            </w:r>
          </w:p>
        </w:tc>
      </w:tr>
      <w:tr w14:paraId="1236B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67" w:type="dxa"/>
            <w:tcBorders>
              <w:top w:val="single" w:color="auto" w:sz="4" w:space="0"/>
              <w:left w:val="single" w:color="auto" w:sz="4" w:space="0"/>
              <w:bottom w:val="single" w:color="auto" w:sz="4" w:space="0"/>
              <w:right w:val="single" w:color="auto" w:sz="4" w:space="0"/>
            </w:tcBorders>
            <w:vAlign w:val="center"/>
          </w:tcPr>
          <w:p w14:paraId="78FCAA3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教学效果</w:t>
            </w:r>
          </w:p>
        </w:tc>
        <w:tc>
          <w:tcPr>
            <w:tcW w:w="6337" w:type="dxa"/>
            <w:tcBorders>
              <w:top w:val="single" w:color="auto" w:sz="4" w:space="0"/>
              <w:left w:val="nil"/>
              <w:bottom w:val="single" w:color="auto" w:sz="4" w:space="0"/>
              <w:right w:val="single" w:color="auto" w:sz="4" w:space="0"/>
            </w:tcBorders>
            <w:vAlign w:val="center"/>
          </w:tcPr>
          <w:p w14:paraId="473F43B1">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能够生动模拟出真实课堂的状态，把控时间能力强，教学目标达成度高</w:t>
            </w:r>
          </w:p>
        </w:tc>
        <w:tc>
          <w:tcPr>
            <w:tcW w:w="911" w:type="dxa"/>
            <w:gridSpan w:val="2"/>
            <w:tcBorders>
              <w:top w:val="single" w:color="auto" w:sz="4" w:space="0"/>
              <w:left w:val="nil"/>
              <w:bottom w:val="single" w:color="auto" w:sz="4" w:space="0"/>
              <w:right w:val="single" w:color="auto" w:sz="4" w:space="0"/>
            </w:tcBorders>
            <w:vAlign w:val="center"/>
          </w:tcPr>
          <w:p w14:paraId="7B7B01F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p>
        </w:tc>
      </w:tr>
      <w:tr w14:paraId="0A2E4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67" w:type="dxa"/>
            <w:tcBorders>
              <w:top w:val="single" w:color="auto" w:sz="4" w:space="0"/>
              <w:left w:val="single" w:color="auto" w:sz="4" w:space="0"/>
              <w:bottom w:val="single" w:color="auto" w:sz="4" w:space="0"/>
              <w:right w:val="single" w:color="auto" w:sz="4" w:space="0"/>
            </w:tcBorders>
            <w:vAlign w:val="center"/>
          </w:tcPr>
          <w:p w14:paraId="093333C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教学评价</w:t>
            </w:r>
          </w:p>
        </w:tc>
        <w:tc>
          <w:tcPr>
            <w:tcW w:w="6337" w:type="dxa"/>
            <w:tcBorders>
              <w:top w:val="single" w:color="auto" w:sz="4" w:space="0"/>
              <w:left w:val="nil"/>
              <w:bottom w:val="single" w:color="auto" w:sz="4" w:space="0"/>
              <w:right w:val="single" w:color="auto" w:sz="4" w:space="0"/>
            </w:tcBorders>
            <w:vAlign w:val="center"/>
          </w:tcPr>
          <w:p w14:paraId="57C4600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教学评价得当、贴切，能够体现过程性评价，发挥评价的激励作用</w:t>
            </w:r>
          </w:p>
        </w:tc>
        <w:tc>
          <w:tcPr>
            <w:tcW w:w="911" w:type="dxa"/>
            <w:gridSpan w:val="2"/>
            <w:tcBorders>
              <w:top w:val="single" w:color="auto" w:sz="4" w:space="0"/>
              <w:left w:val="nil"/>
              <w:bottom w:val="single" w:color="auto" w:sz="4" w:space="0"/>
              <w:right w:val="single" w:color="auto" w:sz="4" w:space="0"/>
            </w:tcBorders>
            <w:vAlign w:val="center"/>
          </w:tcPr>
          <w:p w14:paraId="214AC71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w:t>
            </w:r>
          </w:p>
        </w:tc>
      </w:tr>
      <w:tr w14:paraId="4C33C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67" w:type="dxa"/>
            <w:tcBorders>
              <w:top w:val="single" w:color="auto" w:sz="4" w:space="0"/>
              <w:left w:val="single" w:color="auto" w:sz="4" w:space="0"/>
              <w:bottom w:val="single" w:color="auto" w:sz="4" w:space="0"/>
              <w:right w:val="single" w:color="auto" w:sz="4" w:space="0"/>
            </w:tcBorders>
            <w:vAlign w:val="center"/>
          </w:tcPr>
          <w:p w14:paraId="063D2E8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教学创新</w:t>
            </w:r>
          </w:p>
        </w:tc>
        <w:tc>
          <w:tcPr>
            <w:tcW w:w="6337" w:type="dxa"/>
            <w:tcBorders>
              <w:top w:val="single" w:color="auto" w:sz="4" w:space="0"/>
              <w:left w:val="nil"/>
              <w:bottom w:val="single" w:color="auto" w:sz="4" w:space="0"/>
              <w:right w:val="single" w:color="auto" w:sz="4" w:space="0"/>
            </w:tcBorders>
            <w:vAlign w:val="center"/>
          </w:tcPr>
          <w:p w14:paraId="43A4DFFE">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教学内容、教学模式、教学方法、教学过程、教学评价等方面有所创新</w:t>
            </w:r>
          </w:p>
        </w:tc>
        <w:tc>
          <w:tcPr>
            <w:tcW w:w="911" w:type="dxa"/>
            <w:gridSpan w:val="2"/>
            <w:tcBorders>
              <w:top w:val="single" w:color="auto" w:sz="4" w:space="0"/>
              <w:left w:val="nil"/>
              <w:bottom w:val="single" w:color="auto" w:sz="4" w:space="0"/>
              <w:right w:val="single" w:color="auto" w:sz="4" w:space="0"/>
            </w:tcBorders>
            <w:vAlign w:val="center"/>
          </w:tcPr>
          <w:p w14:paraId="52F1E96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w:t>
            </w:r>
          </w:p>
        </w:tc>
      </w:tr>
      <w:tr w14:paraId="6C05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67" w:type="dxa"/>
            <w:tcBorders>
              <w:top w:val="single" w:color="auto" w:sz="4" w:space="0"/>
              <w:left w:val="single" w:color="auto" w:sz="4" w:space="0"/>
              <w:bottom w:val="single" w:color="auto" w:sz="4" w:space="0"/>
              <w:right w:val="single" w:color="auto" w:sz="4" w:space="0"/>
            </w:tcBorders>
            <w:vAlign w:val="center"/>
          </w:tcPr>
          <w:p w14:paraId="6454A8F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信息技术</w:t>
            </w:r>
          </w:p>
        </w:tc>
        <w:tc>
          <w:tcPr>
            <w:tcW w:w="6337" w:type="dxa"/>
            <w:tcBorders>
              <w:top w:val="single" w:color="auto" w:sz="4" w:space="0"/>
              <w:left w:val="nil"/>
              <w:bottom w:val="single" w:color="auto" w:sz="4" w:space="0"/>
              <w:right w:val="single" w:color="auto" w:sz="4" w:space="0"/>
            </w:tcBorders>
            <w:vAlign w:val="center"/>
          </w:tcPr>
          <w:p w14:paraId="0A73A1D6">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恰当有效使用多媒体辅助教学，教学演示规范</w:t>
            </w:r>
          </w:p>
        </w:tc>
        <w:tc>
          <w:tcPr>
            <w:tcW w:w="911" w:type="dxa"/>
            <w:gridSpan w:val="2"/>
            <w:tcBorders>
              <w:top w:val="single" w:color="auto" w:sz="4" w:space="0"/>
              <w:left w:val="nil"/>
              <w:bottom w:val="single" w:color="auto" w:sz="4" w:space="0"/>
              <w:right w:val="single" w:color="auto" w:sz="4" w:space="0"/>
            </w:tcBorders>
            <w:vAlign w:val="center"/>
          </w:tcPr>
          <w:p w14:paraId="711742D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w:t>
            </w:r>
          </w:p>
        </w:tc>
      </w:tr>
      <w:tr w14:paraId="2906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67" w:type="dxa"/>
            <w:tcBorders>
              <w:top w:val="single" w:color="auto" w:sz="4" w:space="0"/>
              <w:left w:val="single" w:color="auto" w:sz="4" w:space="0"/>
              <w:right w:val="single" w:color="auto" w:sz="4" w:space="0"/>
            </w:tcBorders>
            <w:vAlign w:val="center"/>
          </w:tcPr>
          <w:p w14:paraId="138421C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板书设计</w:t>
            </w:r>
          </w:p>
          <w:p w14:paraId="0C6170E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lang w:val="en-US" w:eastAsia="zh-CN"/>
              </w:rPr>
            </w:pPr>
          </w:p>
        </w:tc>
        <w:tc>
          <w:tcPr>
            <w:tcW w:w="6337" w:type="dxa"/>
            <w:tcBorders>
              <w:top w:val="single" w:color="auto" w:sz="4" w:space="0"/>
              <w:left w:val="nil"/>
              <w:right w:val="single" w:color="auto" w:sz="4" w:space="0"/>
            </w:tcBorders>
            <w:vAlign w:val="center"/>
          </w:tcPr>
          <w:p w14:paraId="7DF13616">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能够体现教学过程，突显重点、难点，构思巧妙，富有创意，形象直观，书写流畅，规范正确，整洁美观</w:t>
            </w:r>
          </w:p>
        </w:tc>
        <w:tc>
          <w:tcPr>
            <w:tcW w:w="911" w:type="dxa"/>
            <w:gridSpan w:val="2"/>
            <w:tcBorders>
              <w:top w:val="single" w:color="auto" w:sz="4" w:space="0"/>
              <w:left w:val="nil"/>
              <w:bottom w:val="single" w:color="auto" w:sz="4" w:space="0"/>
              <w:right w:val="single" w:color="auto" w:sz="4" w:space="0"/>
            </w:tcBorders>
            <w:vAlign w:val="center"/>
          </w:tcPr>
          <w:p w14:paraId="443A530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w:t>
            </w:r>
          </w:p>
        </w:tc>
      </w:tr>
      <w:tr w14:paraId="1D74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709" w:type="dxa"/>
            <w:gridSpan w:val="3"/>
            <w:tcBorders>
              <w:top w:val="single" w:color="auto" w:sz="4" w:space="0"/>
              <w:left w:val="single" w:color="auto" w:sz="4" w:space="0"/>
              <w:bottom w:val="single" w:color="auto" w:sz="4" w:space="0"/>
              <w:right w:val="single" w:color="auto" w:sz="4" w:space="0"/>
            </w:tcBorders>
            <w:vAlign w:val="center"/>
          </w:tcPr>
          <w:p w14:paraId="16398E0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合计</w:t>
            </w:r>
          </w:p>
        </w:tc>
        <w:tc>
          <w:tcPr>
            <w:tcW w:w="906" w:type="dxa"/>
            <w:tcBorders>
              <w:top w:val="single" w:color="auto" w:sz="4" w:space="0"/>
              <w:left w:val="single" w:color="auto" w:sz="4" w:space="0"/>
              <w:bottom w:val="single" w:color="auto" w:sz="4" w:space="0"/>
              <w:right w:val="single" w:color="auto" w:sz="4" w:space="0"/>
            </w:tcBorders>
            <w:vAlign w:val="center"/>
          </w:tcPr>
          <w:p w14:paraId="4214768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100</w:t>
            </w:r>
          </w:p>
        </w:tc>
      </w:tr>
    </w:tbl>
    <w:p w14:paraId="6A8B82CE">
      <w:pPr>
        <w:numPr>
          <w:ilvl w:val="0"/>
          <w:numId w:val="0"/>
        </w:numPr>
        <w:jc w:val="left"/>
        <w:rPr>
          <w:rFonts w:hint="eastAsia" w:ascii="仿宋" w:hAnsi="仿宋" w:eastAsia="仿宋" w:cs="仿宋"/>
          <w:sz w:val="32"/>
          <w:szCs w:val="32"/>
          <w:lang w:val="en-US" w:eastAsia="zh-CN"/>
        </w:rPr>
      </w:pPr>
    </w:p>
    <w:p w14:paraId="459C7122">
      <w:pPr>
        <w:numPr>
          <w:ilvl w:val="0"/>
          <w:numId w:val="0"/>
        </w:num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附件5</w:t>
      </w:r>
    </w:p>
    <w:p w14:paraId="77F1A96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2024年许昌市青年教师基本功暨教坛新秀</w:t>
      </w:r>
    </w:p>
    <w:p w14:paraId="4BFFAE4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评选参评人员申报表</w:t>
      </w:r>
    </w:p>
    <w:tbl>
      <w:tblPr>
        <w:tblStyle w:val="5"/>
        <w:tblpPr w:leftFromText="180" w:rightFromText="180" w:vertAnchor="text" w:horzAnchor="page" w:tblpX="1517" w:tblpY="337"/>
        <w:tblOverlap w:val="never"/>
        <w:tblW w:w="89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1403"/>
        <w:gridCol w:w="1057"/>
        <w:gridCol w:w="715"/>
        <w:gridCol w:w="12"/>
        <w:gridCol w:w="505"/>
        <w:gridCol w:w="995"/>
        <w:gridCol w:w="1235"/>
        <w:gridCol w:w="1848"/>
      </w:tblGrid>
      <w:tr w14:paraId="00B8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208" w:type="dxa"/>
            <w:noWrap w:val="0"/>
            <w:vAlign w:val="center"/>
          </w:tcPr>
          <w:p w14:paraId="3B82DB7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姓名</w:t>
            </w:r>
          </w:p>
        </w:tc>
        <w:tc>
          <w:tcPr>
            <w:tcW w:w="1403" w:type="dxa"/>
            <w:noWrap w:val="0"/>
            <w:vAlign w:val="center"/>
          </w:tcPr>
          <w:p w14:paraId="4EB1D85C">
            <w:pPr>
              <w:jc w:val="center"/>
              <w:rPr>
                <w:rFonts w:hint="eastAsia" w:ascii="仿宋_GB2312" w:hAnsi="仿宋_GB2312" w:eastAsia="仿宋_GB2312" w:cs="仿宋_GB2312"/>
                <w:sz w:val="24"/>
                <w:szCs w:val="24"/>
              </w:rPr>
            </w:pPr>
          </w:p>
        </w:tc>
        <w:tc>
          <w:tcPr>
            <w:tcW w:w="1057" w:type="dxa"/>
            <w:noWrap w:val="0"/>
            <w:vAlign w:val="center"/>
          </w:tcPr>
          <w:p w14:paraId="5505FDB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w:t>
            </w:r>
          </w:p>
        </w:tc>
        <w:tc>
          <w:tcPr>
            <w:tcW w:w="3462" w:type="dxa"/>
            <w:gridSpan w:val="5"/>
            <w:noWrap w:val="0"/>
            <w:vAlign w:val="center"/>
          </w:tcPr>
          <w:p w14:paraId="33016E36">
            <w:pPr>
              <w:jc w:val="center"/>
              <w:rPr>
                <w:rFonts w:hint="eastAsia" w:ascii="仿宋_GB2312" w:hAnsi="仿宋_GB2312" w:eastAsia="仿宋_GB2312" w:cs="仿宋_GB2312"/>
                <w:sz w:val="24"/>
                <w:szCs w:val="24"/>
              </w:rPr>
            </w:pPr>
          </w:p>
        </w:tc>
        <w:tc>
          <w:tcPr>
            <w:tcW w:w="1848" w:type="dxa"/>
            <w:vMerge w:val="restart"/>
            <w:noWrap w:val="0"/>
            <w:vAlign w:val="center"/>
          </w:tcPr>
          <w:p w14:paraId="3B275DE9">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7E7E7E"/>
                <w:sz w:val="24"/>
                <w:szCs w:val="24"/>
                <w:lang w:val="en-US" w:eastAsia="zh-CN"/>
              </w:rPr>
              <w:t>一寸照片</w:t>
            </w:r>
          </w:p>
        </w:tc>
      </w:tr>
      <w:tr w14:paraId="55CF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208" w:type="dxa"/>
            <w:noWrap w:val="0"/>
            <w:vAlign w:val="center"/>
          </w:tcPr>
          <w:p w14:paraId="3F52F9D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职称</w:t>
            </w:r>
          </w:p>
        </w:tc>
        <w:tc>
          <w:tcPr>
            <w:tcW w:w="1403" w:type="dxa"/>
            <w:noWrap w:val="0"/>
            <w:vAlign w:val="center"/>
          </w:tcPr>
          <w:p w14:paraId="19E7E998">
            <w:pPr>
              <w:jc w:val="center"/>
              <w:rPr>
                <w:rFonts w:hint="eastAsia" w:ascii="仿宋_GB2312" w:hAnsi="仿宋_GB2312" w:eastAsia="仿宋_GB2312" w:cs="仿宋_GB2312"/>
                <w:sz w:val="24"/>
                <w:szCs w:val="24"/>
              </w:rPr>
            </w:pPr>
          </w:p>
        </w:tc>
        <w:tc>
          <w:tcPr>
            <w:tcW w:w="1057" w:type="dxa"/>
            <w:noWrap w:val="0"/>
            <w:vAlign w:val="center"/>
          </w:tcPr>
          <w:p w14:paraId="4F06446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年龄</w:t>
            </w:r>
          </w:p>
        </w:tc>
        <w:tc>
          <w:tcPr>
            <w:tcW w:w="1232" w:type="dxa"/>
            <w:gridSpan w:val="3"/>
            <w:noWrap w:val="0"/>
            <w:vAlign w:val="center"/>
          </w:tcPr>
          <w:p w14:paraId="075A5468">
            <w:pPr>
              <w:jc w:val="center"/>
              <w:rPr>
                <w:rFonts w:hint="eastAsia" w:ascii="仿宋_GB2312" w:hAnsi="仿宋_GB2312" w:eastAsia="仿宋_GB2312" w:cs="仿宋_GB2312"/>
                <w:sz w:val="24"/>
                <w:szCs w:val="24"/>
              </w:rPr>
            </w:pPr>
          </w:p>
        </w:tc>
        <w:tc>
          <w:tcPr>
            <w:tcW w:w="995" w:type="dxa"/>
            <w:noWrap w:val="0"/>
            <w:vAlign w:val="center"/>
          </w:tcPr>
          <w:p w14:paraId="6CF1401B">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教龄</w:t>
            </w:r>
          </w:p>
        </w:tc>
        <w:tc>
          <w:tcPr>
            <w:tcW w:w="1235" w:type="dxa"/>
            <w:noWrap w:val="0"/>
            <w:vAlign w:val="center"/>
          </w:tcPr>
          <w:p w14:paraId="083F51E1">
            <w:pPr>
              <w:jc w:val="center"/>
              <w:rPr>
                <w:rFonts w:hint="eastAsia" w:ascii="仿宋_GB2312" w:hAnsi="仿宋_GB2312" w:eastAsia="仿宋_GB2312" w:cs="仿宋_GB2312"/>
                <w:sz w:val="24"/>
                <w:szCs w:val="24"/>
              </w:rPr>
            </w:pPr>
          </w:p>
        </w:tc>
        <w:tc>
          <w:tcPr>
            <w:tcW w:w="1848" w:type="dxa"/>
            <w:vMerge w:val="continue"/>
            <w:noWrap w:val="0"/>
            <w:vAlign w:val="center"/>
          </w:tcPr>
          <w:p w14:paraId="5A6FA988">
            <w:pPr>
              <w:jc w:val="center"/>
              <w:rPr>
                <w:rFonts w:hint="eastAsia" w:ascii="仿宋_GB2312" w:hAnsi="仿宋_GB2312" w:eastAsia="仿宋_GB2312" w:cs="仿宋_GB2312"/>
                <w:sz w:val="24"/>
                <w:szCs w:val="24"/>
              </w:rPr>
            </w:pPr>
          </w:p>
        </w:tc>
      </w:tr>
      <w:tr w14:paraId="110AD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208" w:type="dxa"/>
            <w:noWrap w:val="0"/>
            <w:vAlign w:val="center"/>
          </w:tcPr>
          <w:p w14:paraId="04B4DF44">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学历</w:t>
            </w:r>
          </w:p>
        </w:tc>
        <w:tc>
          <w:tcPr>
            <w:tcW w:w="1403" w:type="dxa"/>
            <w:noWrap w:val="0"/>
            <w:vAlign w:val="center"/>
          </w:tcPr>
          <w:p w14:paraId="3BA7CF43">
            <w:pPr>
              <w:jc w:val="center"/>
              <w:rPr>
                <w:rFonts w:hint="eastAsia" w:ascii="仿宋_GB2312" w:hAnsi="仿宋_GB2312" w:eastAsia="仿宋_GB2312" w:cs="仿宋_GB2312"/>
                <w:sz w:val="24"/>
                <w:szCs w:val="24"/>
              </w:rPr>
            </w:pPr>
          </w:p>
        </w:tc>
        <w:tc>
          <w:tcPr>
            <w:tcW w:w="1057" w:type="dxa"/>
            <w:noWrap w:val="0"/>
            <w:vAlign w:val="center"/>
          </w:tcPr>
          <w:p w14:paraId="6D14EB3D">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专业</w:t>
            </w:r>
          </w:p>
        </w:tc>
        <w:tc>
          <w:tcPr>
            <w:tcW w:w="1232" w:type="dxa"/>
            <w:gridSpan w:val="3"/>
            <w:noWrap w:val="0"/>
            <w:vAlign w:val="center"/>
          </w:tcPr>
          <w:p w14:paraId="5CC8A595">
            <w:pPr>
              <w:jc w:val="center"/>
              <w:rPr>
                <w:rFonts w:hint="eastAsia" w:ascii="仿宋_GB2312" w:hAnsi="仿宋_GB2312" w:eastAsia="仿宋_GB2312" w:cs="仿宋_GB2312"/>
                <w:sz w:val="24"/>
                <w:szCs w:val="24"/>
              </w:rPr>
            </w:pPr>
          </w:p>
        </w:tc>
        <w:tc>
          <w:tcPr>
            <w:tcW w:w="995" w:type="dxa"/>
            <w:noWrap w:val="0"/>
            <w:vAlign w:val="center"/>
          </w:tcPr>
          <w:p w14:paraId="017281C6">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毕业</w:t>
            </w:r>
          </w:p>
          <w:p w14:paraId="392D5A23">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院校</w:t>
            </w:r>
          </w:p>
        </w:tc>
        <w:tc>
          <w:tcPr>
            <w:tcW w:w="1235" w:type="dxa"/>
            <w:noWrap w:val="0"/>
            <w:vAlign w:val="center"/>
          </w:tcPr>
          <w:p w14:paraId="45C4F903">
            <w:pPr>
              <w:jc w:val="center"/>
              <w:rPr>
                <w:rFonts w:hint="eastAsia" w:ascii="仿宋_GB2312" w:hAnsi="仿宋_GB2312" w:eastAsia="仿宋_GB2312" w:cs="仿宋_GB2312"/>
                <w:sz w:val="24"/>
                <w:szCs w:val="24"/>
              </w:rPr>
            </w:pPr>
          </w:p>
        </w:tc>
        <w:tc>
          <w:tcPr>
            <w:tcW w:w="1848" w:type="dxa"/>
            <w:vMerge w:val="continue"/>
            <w:noWrap w:val="0"/>
            <w:vAlign w:val="center"/>
          </w:tcPr>
          <w:p w14:paraId="6D5C1AAA">
            <w:pPr>
              <w:jc w:val="center"/>
              <w:rPr>
                <w:rFonts w:hint="eastAsia" w:ascii="仿宋_GB2312" w:hAnsi="仿宋_GB2312" w:eastAsia="仿宋_GB2312" w:cs="仿宋_GB2312"/>
                <w:sz w:val="24"/>
                <w:szCs w:val="24"/>
              </w:rPr>
            </w:pPr>
          </w:p>
        </w:tc>
      </w:tr>
      <w:tr w14:paraId="0CD2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208" w:type="dxa"/>
            <w:noWrap w:val="0"/>
            <w:vAlign w:val="center"/>
          </w:tcPr>
          <w:p w14:paraId="59EE935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电话</w:t>
            </w:r>
          </w:p>
        </w:tc>
        <w:tc>
          <w:tcPr>
            <w:tcW w:w="2460" w:type="dxa"/>
            <w:gridSpan w:val="2"/>
            <w:noWrap w:val="0"/>
            <w:vAlign w:val="center"/>
          </w:tcPr>
          <w:p w14:paraId="1F843D4B">
            <w:pPr>
              <w:jc w:val="center"/>
              <w:rPr>
                <w:rFonts w:hint="eastAsia" w:ascii="仿宋_GB2312" w:hAnsi="仿宋_GB2312" w:eastAsia="仿宋_GB2312" w:cs="仿宋_GB2312"/>
                <w:sz w:val="24"/>
                <w:szCs w:val="24"/>
              </w:rPr>
            </w:pPr>
          </w:p>
        </w:tc>
        <w:tc>
          <w:tcPr>
            <w:tcW w:w="1232" w:type="dxa"/>
            <w:gridSpan w:val="3"/>
            <w:noWrap w:val="0"/>
            <w:vAlign w:val="center"/>
          </w:tcPr>
          <w:p w14:paraId="7CD7E1D8">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学科</w:t>
            </w:r>
          </w:p>
        </w:tc>
        <w:tc>
          <w:tcPr>
            <w:tcW w:w="2230" w:type="dxa"/>
            <w:gridSpan w:val="2"/>
            <w:noWrap w:val="0"/>
            <w:vAlign w:val="center"/>
          </w:tcPr>
          <w:p w14:paraId="013A4E6E">
            <w:pPr>
              <w:jc w:val="center"/>
              <w:rPr>
                <w:rFonts w:hint="eastAsia" w:ascii="仿宋_GB2312" w:hAnsi="仿宋_GB2312" w:eastAsia="仿宋_GB2312" w:cs="仿宋_GB2312"/>
                <w:sz w:val="24"/>
                <w:szCs w:val="24"/>
              </w:rPr>
            </w:pPr>
          </w:p>
        </w:tc>
        <w:tc>
          <w:tcPr>
            <w:tcW w:w="1848" w:type="dxa"/>
            <w:vMerge w:val="continue"/>
            <w:noWrap w:val="0"/>
            <w:vAlign w:val="center"/>
          </w:tcPr>
          <w:p w14:paraId="7FCA2564">
            <w:pPr>
              <w:jc w:val="center"/>
              <w:rPr>
                <w:rFonts w:hint="eastAsia" w:ascii="仿宋_GB2312" w:hAnsi="仿宋_GB2312" w:eastAsia="仿宋_GB2312" w:cs="仿宋_GB2312"/>
                <w:sz w:val="24"/>
                <w:szCs w:val="24"/>
              </w:rPr>
            </w:pPr>
          </w:p>
        </w:tc>
      </w:tr>
      <w:tr w14:paraId="14AE4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4395" w:type="dxa"/>
            <w:gridSpan w:val="5"/>
            <w:noWrap w:val="0"/>
            <w:vAlign w:val="center"/>
          </w:tcPr>
          <w:p w14:paraId="3E4A4A5D">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学校推荐意见</w:t>
            </w:r>
          </w:p>
        </w:tc>
        <w:tc>
          <w:tcPr>
            <w:tcW w:w="4583" w:type="dxa"/>
            <w:gridSpan w:val="4"/>
            <w:noWrap w:val="0"/>
            <w:vAlign w:val="center"/>
          </w:tcPr>
          <w:p w14:paraId="327234D7">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县（市区）推荐意见</w:t>
            </w:r>
          </w:p>
        </w:tc>
      </w:tr>
      <w:tr w14:paraId="1F28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2" w:hRule="atLeast"/>
        </w:trPr>
        <w:tc>
          <w:tcPr>
            <w:tcW w:w="4383" w:type="dxa"/>
            <w:gridSpan w:val="4"/>
            <w:noWrap w:val="0"/>
            <w:vAlign w:val="center"/>
          </w:tcPr>
          <w:p w14:paraId="73C09381">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lang w:val="en-US" w:eastAsia="zh-CN"/>
              </w:rPr>
            </w:pPr>
          </w:p>
          <w:p w14:paraId="13C74A4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p>
          <w:p w14:paraId="3A85EBB5">
            <w:pPr>
              <w:keepNext w:val="0"/>
              <w:keepLines w:val="0"/>
              <w:pageBreakBefore w:val="0"/>
              <w:widowControl w:val="0"/>
              <w:kinsoku/>
              <w:wordWrap/>
              <w:overflowPunct/>
              <w:topLinePunct w:val="0"/>
              <w:autoSpaceDE/>
              <w:autoSpaceDN/>
              <w:bidi w:val="0"/>
              <w:adjustRightInd/>
              <w:snapToGrid/>
              <w:spacing w:line="400" w:lineRule="exact"/>
              <w:ind w:firstLine="2400" w:firstLineChars="1000"/>
              <w:textAlignment w:val="auto"/>
              <w:rPr>
                <w:rFonts w:hint="eastAsia" w:ascii="仿宋_GB2312" w:hAnsi="仿宋_GB2312" w:eastAsia="仿宋_GB2312" w:cs="仿宋_GB2312"/>
                <w:sz w:val="24"/>
                <w:szCs w:val="24"/>
              </w:rPr>
            </w:pPr>
          </w:p>
          <w:p w14:paraId="2C86BF72">
            <w:pPr>
              <w:keepNext w:val="0"/>
              <w:keepLines w:val="0"/>
              <w:pageBreakBefore w:val="0"/>
              <w:widowControl w:val="0"/>
              <w:kinsoku/>
              <w:wordWrap/>
              <w:overflowPunct/>
              <w:topLinePunct w:val="0"/>
              <w:autoSpaceDE/>
              <w:autoSpaceDN/>
              <w:bidi w:val="0"/>
              <w:adjustRightInd/>
              <w:snapToGrid/>
              <w:spacing w:line="400" w:lineRule="exact"/>
              <w:ind w:firstLine="2400" w:firstLineChars="10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单位盖章</w:t>
            </w:r>
          </w:p>
          <w:p w14:paraId="5A48AA0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年     月    日</w:t>
            </w:r>
          </w:p>
        </w:tc>
        <w:tc>
          <w:tcPr>
            <w:tcW w:w="4595" w:type="dxa"/>
            <w:gridSpan w:val="5"/>
            <w:noWrap w:val="0"/>
            <w:vAlign w:val="center"/>
          </w:tcPr>
          <w:p w14:paraId="67337BC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p>
          <w:p w14:paraId="08E03685">
            <w:pPr>
              <w:keepNext w:val="0"/>
              <w:keepLines w:val="0"/>
              <w:pageBreakBefore w:val="0"/>
              <w:widowControl w:val="0"/>
              <w:kinsoku/>
              <w:wordWrap/>
              <w:overflowPunct/>
              <w:topLinePunct w:val="0"/>
              <w:autoSpaceDE/>
              <w:autoSpaceDN/>
              <w:bidi w:val="0"/>
              <w:adjustRightInd/>
              <w:snapToGrid/>
              <w:spacing w:line="400" w:lineRule="exact"/>
              <w:ind w:firstLine="2880" w:firstLineChars="1200"/>
              <w:textAlignment w:val="auto"/>
              <w:rPr>
                <w:rFonts w:hint="eastAsia" w:ascii="仿宋_GB2312" w:hAnsi="仿宋_GB2312" w:eastAsia="仿宋_GB2312" w:cs="仿宋_GB2312"/>
                <w:sz w:val="24"/>
                <w:szCs w:val="24"/>
              </w:rPr>
            </w:pPr>
          </w:p>
          <w:p w14:paraId="64F30432">
            <w:pPr>
              <w:keepNext w:val="0"/>
              <w:keepLines w:val="0"/>
              <w:pageBreakBefore w:val="0"/>
              <w:widowControl w:val="0"/>
              <w:kinsoku/>
              <w:wordWrap/>
              <w:overflowPunct/>
              <w:topLinePunct w:val="0"/>
              <w:autoSpaceDE/>
              <w:autoSpaceDN/>
              <w:bidi w:val="0"/>
              <w:adjustRightInd/>
              <w:snapToGrid/>
              <w:spacing w:line="400" w:lineRule="exact"/>
              <w:ind w:firstLine="2880" w:firstLineChars="1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单位盖章    </w:t>
            </w:r>
          </w:p>
          <w:p w14:paraId="00EB4F1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年     月    日</w:t>
            </w:r>
          </w:p>
        </w:tc>
      </w:tr>
      <w:tr w14:paraId="6F53A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0" w:hRule="atLeast"/>
        </w:trPr>
        <w:tc>
          <w:tcPr>
            <w:tcW w:w="1208" w:type="dxa"/>
            <w:noWrap w:val="0"/>
            <w:vAlign w:val="center"/>
          </w:tcPr>
          <w:p w14:paraId="76B1D0BE">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市级</w:t>
            </w:r>
          </w:p>
          <w:p w14:paraId="148C71D8">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评选</w:t>
            </w:r>
          </w:p>
          <w:p w14:paraId="47D542C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意见</w:t>
            </w:r>
          </w:p>
        </w:tc>
        <w:tc>
          <w:tcPr>
            <w:tcW w:w="7770" w:type="dxa"/>
            <w:gridSpan w:val="8"/>
            <w:noWrap w:val="0"/>
            <w:vAlign w:val="top"/>
          </w:tcPr>
          <w:p w14:paraId="38BD0B1D">
            <w:pPr>
              <w:widowControl/>
              <w:jc w:val="left"/>
              <w:rPr>
                <w:rFonts w:hint="eastAsia" w:ascii="仿宋_GB2312" w:hAnsi="仿宋_GB2312" w:eastAsia="仿宋_GB2312" w:cs="仿宋_GB2312"/>
                <w:sz w:val="24"/>
                <w:szCs w:val="24"/>
              </w:rPr>
            </w:pPr>
          </w:p>
          <w:p w14:paraId="02A4D16D">
            <w:pPr>
              <w:rPr>
                <w:rFonts w:hint="eastAsia" w:ascii="仿宋_GB2312" w:hAnsi="仿宋_GB2312" w:eastAsia="仿宋_GB2312" w:cs="仿宋_GB2312"/>
                <w:sz w:val="24"/>
                <w:szCs w:val="24"/>
              </w:rPr>
            </w:pPr>
          </w:p>
          <w:p w14:paraId="1A0F55D1">
            <w:pPr>
              <w:rPr>
                <w:rFonts w:hint="eastAsia" w:ascii="仿宋_GB2312" w:hAnsi="仿宋_GB2312" w:eastAsia="仿宋_GB2312" w:cs="仿宋_GB2312"/>
                <w:sz w:val="24"/>
                <w:szCs w:val="24"/>
              </w:rPr>
            </w:pPr>
          </w:p>
          <w:p w14:paraId="70BEDA5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评审组长签名： </w:t>
            </w:r>
            <w:r>
              <w:rPr>
                <w:rFonts w:hint="eastAsia" w:ascii="仿宋_GB2312" w:hAnsi="仿宋_GB2312" w:eastAsia="仿宋_GB2312" w:cs="仿宋_GB2312"/>
                <w:color w:val="FF0000"/>
                <w:sz w:val="24"/>
                <w:szCs w:val="24"/>
              </w:rPr>
              <w:t xml:space="preserve"> </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 xml:space="preserve">  市教研室盖章</w:t>
            </w:r>
          </w:p>
          <w:p w14:paraId="2D3291C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 xml:space="preserve">   年     月     日</w:t>
            </w:r>
          </w:p>
        </w:tc>
      </w:tr>
      <w:tr w14:paraId="4C8DF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1208" w:type="dxa"/>
            <w:noWrap w:val="0"/>
            <w:vAlign w:val="center"/>
          </w:tcPr>
          <w:p w14:paraId="43D6666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备注</w:t>
            </w:r>
          </w:p>
        </w:tc>
        <w:tc>
          <w:tcPr>
            <w:tcW w:w="7770" w:type="dxa"/>
            <w:gridSpan w:val="8"/>
            <w:noWrap w:val="0"/>
            <w:vAlign w:val="top"/>
          </w:tcPr>
          <w:p w14:paraId="5D02C176">
            <w:pPr>
              <w:rPr>
                <w:rFonts w:hint="eastAsia" w:ascii="仿宋_GB2312" w:hAnsi="仿宋_GB2312" w:eastAsia="仿宋_GB2312" w:cs="仿宋_GB2312"/>
                <w:sz w:val="24"/>
                <w:szCs w:val="24"/>
              </w:rPr>
            </w:pPr>
          </w:p>
        </w:tc>
      </w:tr>
    </w:tbl>
    <w:p w14:paraId="4089FD1C">
      <w:pPr>
        <w:numPr>
          <w:ilvl w:val="0"/>
          <w:numId w:val="0"/>
        </w:numPr>
        <w:jc w:val="left"/>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附件6</w:t>
      </w:r>
    </w:p>
    <w:p w14:paraId="10B7046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2024年许昌市青年教师基本功暨教坛新秀</w:t>
      </w:r>
    </w:p>
    <w:p w14:paraId="64B3B42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评选参评人员汇总表</w:t>
      </w:r>
    </w:p>
    <w:p w14:paraId="51622B74">
      <w:pPr>
        <w:numPr>
          <w:ilvl w:val="0"/>
          <w:numId w:val="0"/>
        </w:numPr>
        <w:ind w:firstLine="643" w:firstLineChars="200"/>
        <w:jc w:val="center"/>
        <w:rPr>
          <w:rFonts w:hint="default" w:ascii="仿宋" w:hAnsi="仿宋" w:eastAsia="仿宋" w:cs="仿宋"/>
          <w:b/>
          <w:bCs/>
          <w:sz w:val="32"/>
          <w:szCs w:val="32"/>
          <w:lang w:val="en-US" w:eastAsia="zh-CN"/>
        </w:rPr>
      </w:pPr>
    </w:p>
    <w:p w14:paraId="7B5ECA8E">
      <w:pPr>
        <w:numPr>
          <w:ilvl w:val="0"/>
          <w:numId w:val="0"/>
        </w:numPr>
        <w:jc w:val="left"/>
        <w:rPr>
          <w:rFonts w:hint="eastAsia" w:ascii="楷体" w:hAnsi="楷体" w:eastAsia="楷体" w:cs="楷体"/>
          <w:sz w:val="28"/>
          <w:szCs w:val="28"/>
          <w:u w:val="none"/>
          <w:lang w:val="en-US" w:eastAsia="zh-CN"/>
        </w:rPr>
      </w:pPr>
      <w:r>
        <w:rPr>
          <w:rFonts w:hint="eastAsia" w:ascii="楷体" w:hAnsi="楷体" w:eastAsia="楷体" w:cs="楷体"/>
          <w:sz w:val="28"/>
          <w:szCs w:val="28"/>
          <w:lang w:val="en-US" w:eastAsia="zh-CN"/>
        </w:rPr>
        <w:t>报送单位</w:t>
      </w:r>
      <w:r>
        <w:rPr>
          <w:rFonts w:hint="eastAsia" w:ascii="楷体" w:hAnsi="楷体" w:eastAsia="楷体" w:cs="楷体"/>
          <w:sz w:val="28"/>
          <w:szCs w:val="28"/>
          <w:u w:val="none"/>
          <w:lang w:val="en-US" w:eastAsia="zh-CN"/>
        </w:rPr>
        <w:t>：</w:t>
      </w:r>
      <w:r>
        <w:rPr>
          <w:rFonts w:hint="eastAsia" w:ascii="楷体" w:hAnsi="楷体" w:eastAsia="楷体" w:cs="楷体"/>
          <w:sz w:val="28"/>
          <w:szCs w:val="28"/>
          <w:u w:val="single"/>
          <w:lang w:val="en-US" w:eastAsia="zh-CN"/>
        </w:rPr>
        <w:t xml:space="preserve">                  </w:t>
      </w:r>
      <w:r>
        <w:rPr>
          <w:rFonts w:hint="eastAsia" w:ascii="楷体" w:hAnsi="楷体" w:eastAsia="楷体" w:cs="楷体"/>
          <w:sz w:val="28"/>
          <w:szCs w:val="28"/>
          <w:u w:val="none"/>
          <w:lang w:val="en-US" w:eastAsia="zh-CN"/>
        </w:rPr>
        <w:t xml:space="preserve">           报送单位盖章</w:t>
      </w:r>
    </w:p>
    <w:tbl>
      <w:tblPr>
        <w:tblStyle w:val="6"/>
        <w:tblW w:w="8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620"/>
      </w:tblGrid>
      <w:tr w14:paraId="20A71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74CDEC84">
            <w:pPr>
              <w:numPr>
                <w:ilvl w:val="0"/>
                <w:numId w:val="0"/>
              </w:numPr>
              <w:jc w:val="center"/>
              <w:rPr>
                <w:rFonts w:hint="eastAsia" w:ascii="黑体" w:hAnsi="黑体" w:eastAsia="黑体" w:cs="黑体"/>
                <w:sz w:val="28"/>
                <w:szCs w:val="28"/>
                <w:u w:val="none"/>
                <w:vertAlign w:val="baseline"/>
                <w:lang w:val="en-US" w:eastAsia="zh-CN"/>
              </w:rPr>
            </w:pPr>
            <w:r>
              <w:rPr>
                <w:rFonts w:hint="eastAsia" w:ascii="黑体" w:hAnsi="黑体" w:eastAsia="黑体" w:cs="黑体"/>
                <w:sz w:val="28"/>
                <w:szCs w:val="28"/>
                <w:u w:val="none"/>
                <w:vertAlign w:val="baseline"/>
                <w:lang w:val="en-US" w:eastAsia="zh-CN"/>
              </w:rPr>
              <w:t>序号</w:t>
            </w:r>
          </w:p>
        </w:tc>
        <w:tc>
          <w:tcPr>
            <w:tcW w:w="1420" w:type="dxa"/>
          </w:tcPr>
          <w:p w14:paraId="22D92531">
            <w:pPr>
              <w:numPr>
                <w:ilvl w:val="0"/>
                <w:numId w:val="0"/>
              </w:numPr>
              <w:jc w:val="center"/>
              <w:rPr>
                <w:rFonts w:hint="eastAsia" w:ascii="黑体" w:hAnsi="黑体" w:eastAsia="黑体" w:cs="黑体"/>
                <w:sz w:val="28"/>
                <w:szCs w:val="28"/>
                <w:u w:val="none"/>
                <w:vertAlign w:val="baseline"/>
                <w:lang w:val="en-US" w:eastAsia="zh-CN"/>
              </w:rPr>
            </w:pPr>
            <w:r>
              <w:rPr>
                <w:rFonts w:hint="eastAsia" w:ascii="黑体" w:hAnsi="黑体" w:eastAsia="黑体" w:cs="黑体"/>
                <w:sz w:val="28"/>
                <w:szCs w:val="28"/>
                <w:u w:val="none"/>
                <w:vertAlign w:val="baseline"/>
                <w:lang w:val="en-US" w:eastAsia="zh-CN"/>
              </w:rPr>
              <w:t>参评教师</w:t>
            </w:r>
          </w:p>
        </w:tc>
        <w:tc>
          <w:tcPr>
            <w:tcW w:w="1420" w:type="dxa"/>
          </w:tcPr>
          <w:p w14:paraId="6B644021">
            <w:pPr>
              <w:numPr>
                <w:ilvl w:val="0"/>
                <w:numId w:val="0"/>
              </w:numPr>
              <w:jc w:val="center"/>
              <w:rPr>
                <w:rFonts w:hint="eastAsia" w:ascii="黑体" w:hAnsi="黑体" w:eastAsia="黑体" w:cs="黑体"/>
                <w:sz w:val="28"/>
                <w:szCs w:val="28"/>
                <w:u w:val="none"/>
                <w:vertAlign w:val="baseline"/>
                <w:lang w:val="en-US" w:eastAsia="zh-CN"/>
              </w:rPr>
            </w:pPr>
            <w:r>
              <w:rPr>
                <w:rFonts w:hint="eastAsia" w:ascii="黑体" w:hAnsi="黑体" w:eastAsia="黑体" w:cs="黑体"/>
                <w:sz w:val="28"/>
                <w:szCs w:val="28"/>
                <w:u w:val="none"/>
                <w:vertAlign w:val="baseline"/>
                <w:lang w:val="en-US" w:eastAsia="zh-CN"/>
              </w:rPr>
              <w:t>单位</w:t>
            </w:r>
          </w:p>
        </w:tc>
        <w:tc>
          <w:tcPr>
            <w:tcW w:w="1420" w:type="dxa"/>
          </w:tcPr>
          <w:p w14:paraId="3AA1426B">
            <w:pPr>
              <w:numPr>
                <w:ilvl w:val="0"/>
                <w:numId w:val="0"/>
              </w:numPr>
              <w:jc w:val="center"/>
              <w:rPr>
                <w:rFonts w:hint="eastAsia" w:ascii="黑体" w:hAnsi="黑体" w:eastAsia="黑体" w:cs="黑体"/>
                <w:sz w:val="28"/>
                <w:szCs w:val="28"/>
                <w:u w:val="none"/>
                <w:vertAlign w:val="baseline"/>
                <w:lang w:val="en-US" w:eastAsia="zh-CN"/>
              </w:rPr>
            </w:pPr>
            <w:r>
              <w:rPr>
                <w:rFonts w:hint="eastAsia" w:ascii="黑体" w:hAnsi="黑体" w:eastAsia="黑体" w:cs="黑体"/>
                <w:sz w:val="28"/>
                <w:szCs w:val="28"/>
                <w:u w:val="none"/>
                <w:vertAlign w:val="baseline"/>
                <w:lang w:val="en-US" w:eastAsia="zh-CN"/>
              </w:rPr>
              <w:t>辅导教师</w:t>
            </w:r>
          </w:p>
        </w:tc>
        <w:tc>
          <w:tcPr>
            <w:tcW w:w="1421" w:type="dxa"/>
          </w:tcPr>
          <w:p w14:paraId="35220231">
            <w:pPr>
              <w:numPr>
                <w:ilvl w:val="0"/>
                <w:numId w:val="0"/>
              </w:numPr>
              <w:jc w:val="center"/>
              <w:rPr>
                <w:rFonts w:hint="eastAsia" w:ascii="黑体" w:hAnsi="黑体" w:eastAsia="黑体" w:cs="黑体"/>
                <w:sz w:val="28"/>
                <w:szCs w:val="28"/>
                <w:u w:val="none"/>
                <w:vertAlign w:val="baseline"/>
                <w:lang w:val="en-US" w:eastAsia="zh-CN"/>
              </w:rPr>
            </w:pPr>
            <w:r>
              <w:rPr>
                <w:rFonts w:hint="eastAsia" w:ascii="黑体" w:hAnsi="黑体" w:eastAsia="黑体" w:cs="黑体"/>
                <w:sz w:val="28"/>
                <w:szCs w:val="28"/>
                <w:u w:val="none"/>
                <w:vertAlign w:val="baseline"/>
                <w:lang w:val="en-US" w:eastAsia="zh-CN"/>
              </w:rPr>
              <w:t>学科</w:t>
            </w:r>
          </w:p>
        </w:tc>
        <w:tc>
          <w:tcPr>
            <w:tcW w:w="1620" w:type="dxa"/>
          </w:tcPr>
          <w:p w14:paraId="12810021">
            <w:pPr>
              <w:numPr>
                <w:ilvl w:val="0"/>
                <w:numId w:val="0"/>
              </w:numPr>
              <w:jc w:val="center"/>
              <w:rPr>
                <w:rFonts w:hint="eastAsia" w:ascii="黑体" w:hAnsi="黑体" w:eastAsia="黑体" w:cs="黑体"/>
                <w:sz w:val="28"/>
                <w:szCs w:val="28"/>
                <w:u w:val="none"/>
                <w:vertAlign w:val="baseline"/>
                <w:lang w:val="en-US" w:eastAsia="zh-CN"/>
              </w:rPr>
            </w:pPr>
            <w:r>
              <w:rPr>
                <w:rFonts w:hint="eastAsia" w:ascii="黑体" w:hAnsi="黑体" w:eastAsia="黑体" w:cs="黑体"/>
                <w:sz w:val="28"/>
                <w:szCs w:val="28"/>
                <w:u w:val="none"/>
                <w:vertAlign w:val="baseline"/>
                <w:lang w:val="en-US" w:eastAsia="zh-CN"/>
              </w:rPr>
              <w:t>拟获奖等级</w:t>
            </w:r>
          </w:p>
        </w:tc>
      </w:tr>
      <w:tr w14:paraId="3AC20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4460BF34">
            <w:pPr>
              <w:numPr>
                <w:ilvl w:val="0"/>
                <w:numId w:val="0"/>
              </w:numPr>
              <w:jc w:val="left"/>
              <w:rPr>
                <w:rFonts w:hint="default" w:ascii="仿宋" w:hAnsi="仿宋" w:eastAsia="仿宋" w:cs="仿宋"/>
                <w:sz w:val="32"/>
                <w:szCs w:val="32"/>
                <w:u w:val="none"/>
                <w:vertAlign w:val="baseline"/>
                <w:lang w:val="en-US" w:eastAsia="zh-CN"/>
              </w:rPr>
            </w:pPr>
          </w:p>
        </w:tc>
        <w:tc>
          <w:tcPr>
            <w:tcW w:w="1420" w:type="dxa"/>
          </w:tcPr>
          <w:p w14:paraId="12308293">
            <w:pPr>
              <w:numPr>
                <w:ilvl w:val="0"/>
                <w:numId w:val="0"/>
              </w:numPr>
              <w:jc w:val="left"/>
              <w:rPr>
                <w:rFonts w:hint="default" w:ascii="仿宋" w:hAnsi="仿宋" w:eastAsia="仿宋" w:cs="仿宋"/>
                <w:sz w:val="32"/>
                <w:szCs w:val="32"/>
                <w:u w:val="none"/>
                <w:vertAlign w:val="baseline"/>
                <w:lang w:val="en-US" w:eastAsia="zh-CN"/>
              </w:rPr>
            </w:pPr>
          </w:p>
        </w:tc>
        <w:tc>
          <w:tcPr>
            <w:tcW w:w="1420" w:type="dxa"/>
          </w:tcPr>
          <w:p w14:paraId="225DA714">
            <w:pPr>
              <w:numPr>
                <w:ilvl w:val="0"/>
                <w:numId w:val="0"/>
              </w:numPr>
              <w:jc w:val="left"/>
              <w:rPr>
                <w:rFonts w:hint="default" w:ascii="仿宋" w:hAnsi="仿宋" w:eastAsia="仿宋" w:cs="仿宋"/>
                <w:sz w:val="32"/>
                <w:szCs w:val="32"/>
                <w:u w:val="none"/>
                <w:vertAlign w:val="baseline"/>
                <w:lang w:val="en-US" w:eastAsia="zh-CN"/>
              </w:rPr>
            </w:pPr>
          </w:p>
        </w:tc>
        <w:tc>
          <w:tcPr>
            <w:tcW w:w="1420" w:type="dxa"/>
          </w:tcPr>
          <w:p w14:paraId="5892DB8A">
            <w:pPr>
              <w:numPr>
                <w:ilvl w:val="0"/>
                <w:numId w:val="0"/>
              </w:numPr>
              <w:jc w:val="left"/>
              <w:rPr>
                <w:rFonts w:hint="default" w:ascii="仿宋" w:hAnsi="仿宋" w:eastAsia="仿宋" w:cs="仿宋"/>
                <w:sz w:val="32"/>
                <w:szCs w:val="32"/>
                <w:u w:val="none"/>
                <w:vertAlign w:val="baseline"/>
                <w:lang w:val="en-US" w:eastAsia="zh-CN"/>
              </w:rPr>
            </w:pPr>
          </w:p>
        </w:tc>
        <w:tc>
          <w:tcPr>
            <w:tcW w:w="1421" w:type="dxa"/>
          </w:tcPr>
          <w:p w14:paraId="7CC55E65">
            <w:pPr>
              <w:numPr>
                <w:ilvl w:val="0"/>
                <w:numId w:val="0"/>
              </w:numPr>
              <w:jc w:val="left"/>
              <w:rPr>
                <w:rFonts w:hint="default" w:ascii="仿宋" w:hAnsi="仿宋" w:eastAsia="仿宋" w:cs="仿宋"/>
                <w:sz w:val="32"/>
                <w:szCs w:val="32"/>
                <w:u w:val="none"/>
                <w:vertAlign w:val="baseline"/>
                <w:lang w:val="en-US" w:eastAsia="zh-CN"/>
              </w:rPr>
            </w:pPr>
          </w:p>
        </w:tc>
        <w:tc>
          <w:tcPr>
            <w:tcW w:w="1620" w:type="dxa"/>
          </w:tcPr>
          <w:p w14:paraId="74685E8C">
            <w:pPr>
              <w:numPr>
                <w:ilvl w:val="0"/>
                <w:numId w:val="0"/>
              </w:numPr>
              <w:jc w:val="left"/>
              <w:rPr>
                <w:rFonts w:hint="default" w:ascii="仿宋" w:hAnsi="仿宋" w:eastAsia="仿宋" w:cs="仿宋"/>
                <w:sz w:val="32"/>
                <w:szCs w:val="32"/>
                <w:u w:val="none"/>
                <w:vertAlign w:val="baseline"/>
                <w:lang w:val="en-US" w:eastAsia="zh-CN"/>
              </w:rPr>
            </w:pPr>
          </w:p>
        </w:tc>
      </w:tr>
      <w:tr w14:paraId="14B35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386650C5">
            <w:pPr>
              <w:numPr>
                <w:ilvl w:val="0"/>
                <w:numId w:val="0"/>
              </w:numPr>
              <w:jc w:val="left"/>
              <w:rPr>
                <w:rFonts w:hint="default" w:ascii="仿宋" w:hAnsi="仿宋" w:eastAsia="仿宋" w:cs="仿宋"/>
                <w:sz w:val="32"/>
                <w:szCs w:val="32"/>
                <w:u w:val="none"/>
                <w:vertAlign w:val="baseline"/>
                <w:lang w:val="en-US" w:eastAsia="zh-CN"/>
              </w:rPr>
            </w:pPr>
          </w:p>
        </w:tc>
        <w:tc>
          <w:tcPr>
            <w:tcW w:w="1420" w:type="dxa"/>
          </w:tcPr>
          <w:p w14:paraId="21325695">
            <w:pPr>
              <w:numPr>
                <w:ilvl w:val="0"/>
                <w:numId w:val="0"/>
              </w:numPr>
              <w:jc w:val="left"/>
              <w:rPr>
                <w:rFonts w:hint="default" w:ascii="仿宋" w:hAnsi="仿宋" w:eastAsia="仿宋" w:cs="仿宋"/>
                <w:sz w:val="32"/>
                <w:szCs w:val="32"/>
                <w:u w:val="none"/>
                <w:vertAlign w:val="baseline"/>
                <w:lang w:val="en-US" w:eastAsia="zh-CN"/>
              </w:rPr>
            </w:pPr>
          </w:p>
        </w:tc>
        <w:tc>
          <w:tcPr>
            <w:tcW w:w="1420" w:type="dxa"/>
          </w:tcPr>
          <w:p w14:paraId="2EAEDE18">
            <w:pPr>
              <w:numPr>
                <w:ilvl w:val="0"/>
                <w:numId w:val="0"/>
              </w:numPr>
              <w:jc w:val="left"/>
              <w:rPr>
                <w:rFonts w:hint="default" w:ascii="仿宋" w:hAnsi="仿宋" w:eastAsia="仿宋" w:cs="仿宋"/>
                <w:sz w:val="32"/>
                <w:szCs w:val="32"/>
                <w:u w:val="none"/>
                <w:vertAlign w:val="baseline"/>
                <w:lang w:val="en-US" w:eastAsia="zh-CN"/>
              </w:rPr>
            </w:pPr>
          </w:p>
        </w:tc>
        <w:tc>
          <w:tcPr>
            <w:tcW w:w="1420" w:type="dxa"/>
          </w:tcPr>
          <w:p w14:paraId="0EA7F873">
            <w:pPr>
              <w:numPr>
                <w:ilvl w:val="0"/>
                <w:numId w:val="0"/>
              </w:numPr>
              <w:jc w:val="left"/>
              <w:rPr>
                <w:rFonts w:hint="default" w:ascii="仿宋" w:hAnsi="仿宋" w:eastAsia="仿宋" w:cs="仿宋"/>
                <w:sz w:val="32"/>
                <w:szCs w:val="32"/>
                <w:u w:val="none"/>
                <w:vertAlign w:val="baseline"/>
                <w:lang w:val="en-US" w:eastAsia="zh-CN"/>
              </w:rPr>
            </w:pPr>
          </w:p>
        </w:tc>
        <w:tc>
          <w:tcPr>
            <w:tcW w:w="1421" w:type="dxa"/>
          </w:tcPr>
          <w:p w14:paraId="52DF0A06">
            <w:pPr>
              <w:numPr>
                <w:ilvl w:val="0"/>
                <w:numId w:val="0"/>
              </w:numPr>
              <w:jc w:val="left"/>
              <w:rPr>
                <w:rFonts w:hint="default" w:ascii="仿宋" w:hAnsi="仿宋" w:eastAsia="仿宋" w:cs="仿宋"/>
                <w:sz w:val="32"/>
                <w:szCs w:val="32"/>
                <w:u w:val="none"/>
                <w:vertAlign w:val="baseline"/>
                <w:lang w:val="en-US" w:eastAsia="zh-CN"/>
              </w:rPr>
            </w:pPr>
          </w:p>
        </w:tc>
        <w:tc>
          <w:tcPr>
            <w:tcW w:w="1620" w:type="dxa"/>
          </w:tcPr>
          <w:p w14:paraId="41807B88">
            <w:pPr>
              <w:numPr>
                <w:ilvl w:val="0"/>
                <w:numId w:val="0"/>
              </w:numPr>
              <w:jc w:val="left"/>
              <w:rPr>
                <w:rFonts w:hint="default" w:ascii="仿宋" w:hAnsi="仿宋" w:eastAsia="仿宋" w:cs="仿宋"/>
                <w:sz w:val="32"/>
                <w:szCs w:val="32"/>
                <w:u w:val="none"/>
                <w:vertAlign w:val="baseline"/>
                <w:lang w:val="en-US" w:eastAsia="zh-CN"/>
              </w:rPr>
            </w:pPr>
          </w:p>
        </w:tc>
      </w:tr>
      <w:tr w14:paraId="2A7DF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0A0A5DC5">
            <w:pPr>
              <w:numPr>
                <w:ilvl w:val="0"/>
                <w:numId w:val="0"/>
              </w:numPr>
              <w:jc w:val="left"/>
              <w:rPr>
                <w:rFonts w:hint="default" w:ascii="仿宋" w:hAnsi="仿宋" w:eastAsia="仿宋" w:cs="仿宋"/>
                <w:sz w:val="32"/>
                <w:szCs w:val="32"/>
                <w:u w:val="none"/>
                <w:vertAlign w:val="baseline"/>
                <w:lang w:val="en-US" w:eastAsia="zh-CN"/>
              </w:rPr>
            </w:pPr>
          </w:p>
        </w:tc>
        <w:tc>
          <w:tcPr>
            <w:tcW w:w="1420" w:type="dxa"/>
          </w:tcPr>
          <w:p w14:paraId="135F2847">
            <w:pPr>
              <w:numPr>
                <w:ilvl w:val="0"/>
                <w:numId w:val="0"/>
              </w:numPr>
              <w:jc w:val="left"/>
              <w:rPr>
                <w:rFonts w:hint="default" w:ascii="仿宋" w:hAnsi="仿宋" w:eastAsia="仿宋" w:cs="仿宋"/>
                <w:sz w:val="32"/>
                <w:szCs w:val="32"/>
                <w:u w:val="none"/>
                <w:vertAlign w:val="baseline"/>
                <w:lang w:val="en-US" w:eastAsia="zh-CN"/>
              </w:rPr>
            </w:pPr>
          </w:p>
        </w:tc>
        <w:tc>
          <w:tcPr>
            <w:tcW w:w="1420" w:type="dxa"/>
          </w:tcPr>
          <w:p w14:paraId="7ABDBC45">
            <w:pPr>
              <w:numPr>
                <w:ilvl w:val="0"/>
                <w:numId w:val="0"/>
              </w:numPr>
              <w:jc w:val="left"/>
              <w:rPr>
                <w:rFonts w:hint="default" w:ascii="仿宋" w:hAnsi="仿宋" w:eastAsia="仿宋" w:cs="仿宋"/>
                <w:sz w:val="32"/>
                <w:szCs w:val="32"/>
                <w:u w:val="none"/>
                <w:vertAlign w:val="baseline"/>
                <w:lang w:val="en-US" w:eastAsia="zh-CN"/>
              </w:rPr>
            </w:pPr>
          </w:p>
        </w:tc>
        <w:tc>
          <w:tcPr>
            <w:tcW w:w="1420" w:type="dxa"/>
          </w:tcPr>
          <w:p w14:paraId="1ACD4911">
            <w:pPr>
              <w:numPr>
                <w:ilvl w:val="0"/>
                <w:numId w:val="0"/>
              </w:numPr>
              <w:jc w:val="left"/>
              <w:rPr>
                <w:rFonts w:hint="default" w:ascii="仿宋" w:hAnsi="仿宋" w:eastAsia="仿宋" w:cs="仿宋"/>
                <w:sz w:val="32"/>
                <w:szCs w:val="32"/>
                <w:u w:val="none"/>
                <w:vertAlign w:val="baseline"/>
                <w:lang w:val="en-US" w:eastAsia="zh-CN"/>
              </w:rPr>
            </w:pPr>
          </w:p>
        </w:tc>
        <w:tc>
          <w:tcPr>
            <w:tcW w:w="1421" w:type="dxa"/>
          </w:tcPr>
          <w:p w14:paraId="4DA7EFC2">
            <w:pPr>
              <w:numPr>
                <w:ilvl w:val="0"/>
                <w:numId w:val="0"/>
              </w:numPr>
              <w:jc w:val="left"/>
              <w:rPr>
                <w:rFonts w:hint="default" w:ascii="仿宋" w:hAnsi="仿宋" w:eastAsia="仿宋" w:cs="仿宋"/>
                <w:sz w:val="32"/>
                <w:szCs w:val="32"/>
                <w:u w:val="none"/>
                <w:vertAlign w:val="baseline"/>
                <w:lang w:val="en-US" w:eastAsia="zh-CN"/>
              </w:rPr>
            </w:pPr>
          </w:p>
        </w:tc>
        <w:tc>
          <w:tcPr>
            <w:tcW w:w="1620" w:type="dxa"/>
          </w:tcPr>
          <w:p w14:paraId="5C47B397">
            <w:pPr>
              <w:numPr>
                <w:ilvl w:val="0"/>
                <w:numId w:val="0"/>
              </w:numPr>
              <w:jc w:val="left"/>
              <w:rPr>
                <w:rFonts w:hint="default" w:ascii="仿宋" w:hAnsi="仿宋" w:eastAsia="仿宋" w:cs="仿宋"/>
                <w:sz w:val="32"/>
                <w:szCs w:val="32"/>
                <w:u w:val="none"/>
                <w:vertAlign w:val="baseline"/>
                <w:lang w:val="en-US" w:eastAsia="zh-CN"/>
              </w:rPr>
            </w:pPr>
          </w:p>
        </w:tc>
      </w:tr>
      <w:tr w14:paraId="7EA2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1D83B2BF">
            <w:pPr>
              <w:numPr>
                <w:ilvl w:val="0"/>
                <w:numId w:val="0"/>
              </w:numPr>
              <w:jc w:val="left"/>
              <w:rPr>
                <w:rFonts w:hint="default" w:ascii="仿宋" w:hAnsi="仿宋" w:eastAsia="仿宋" w:cs="仿宋"/>
                <w:sz w:val="32"/>
                <w:szCs w:val="32"/>
                <w:u w:val="none"/>
                <w:vertAlign w:val="baseline"/>
                <w:lang w:val="en-US" w:eastAsia="zh-CN"/>
              </w:rPr>
            </w:pPr>
          </w:p>
        </w:tc>
        <w:tc>
          <w:tcPr>
            <w:tcW w:w="1420" w:type="dxa"/>
          </w:tcPr>
          <w:p w14:paraId="150D752D">
            <w:pPr>
              <w:numPr>
                <w:ilvl w:val="0"/>
                <w:numId w:val="0"/>
              </w:numPr>
              <w:jc w:val="left"/>
              <w:rPr>
                <w:rFonts w:hint="default" w:ascii="仿宋" w:hAnsi="仿宋" w:eastAsia="仿宋" w:cs="仿宋"/>
                <w:sz w:val="32"/>
                <w:szCs w:val="32"/>
                <w:u w:val="none"/>
                <w:vertAlign w:val="baseline"/>
                <w:lang w:val="en-US" w:eastAsia="zh-CN"/>
              </w:rPr>
            </w:pPr>
          </w:p>
        </w:tc>
        <w:tc>
          <w:tcPr>
            <w:tcW w:w="1420" w:type="dxa"/>
          </w:tcPr>
          <w:p w14:paraId="45D6A4B9">
            <w:pPr>
              <w:numPr>
                <w:ilvl w:val="0"/>
                <w:numId w:val="0"/>
              </w:numPr>
              <w:jc w:val="left"/>
              <w:rPr>
                <w:rFonts w:hint="default" w:ascii="仿宋" w:hAnsi="仿宋" w:eastAsia="仿宋" w:cs="仿宋"/>
                <w:sz w:val="32"/>
                <w:szCs w:val="32"/>
                <w:u w:val="none"/>
                <w:vertAlign w:val="baseline"/>
                <w:lang w:val="en-US" w:eastAsia="zh-CN"/>
              </w:rPr>
            </w:pPr>
          </w:p>
        </w:tc>
        <w:tc>
          <w:tcPr>
            <w:tcW w:w="1420" w:type="dxa"/>
          </w:tcPr>
          <w:p w14:paraId="17C982C2">
            <w:pPr>
              <w:numPr>
                <w:ilvl w:val="0"/>
                <w:numId w:val="0"/>
              </w:numPr>
              <w:jc w:val="left"/>
              <w:rPr>
                <w:rFonts w:hint="default" w:ascii="仿宋" w:hAnsi="仿宋" w:eastAsia="仿宋" w:cs="仿宋"/>
                <w:sz w:val="32"/>
                <w:szCs w:val="32"/>
                <w:u w:val="none"/>
                <w:vertAlign w:val="baseline"/>
                <w:lang w:val="en-US" w:eastAsia="zh-CN"/>
              </w:rPr>
            </w:pPr>
          </w:p>
        </w:tc>
        <w:tc>
          <w:tcPr>
            <w:tcW w:w="1421" w:type="dxa"/>
          </w:tcPr>
          <w:p w14:paraId="647240B6">
            <w:pPr>
              <w:numPr>
                <w:ilvl w:val="0"/>
                <w:numId w:val="0"/>
              </w:numPr>
              <w:jc w:val="left"/>
              <w:rPr>
                <w:rFonts w:hint="default" w:ascii="仿宋" w:hAnsi="仿宋" w:eastAsia="仿宋" w:cs="仿宋"/>
                <w:sz w:val="32"/>
                <w:szCs w:val="32"/>
                <w:u w:val="none"/>
                <w:vertAlign w:val="baseline"/>
                <w:lang w:val="en-US" w:eastAsia="zh-CN"/>
              </w:rPr>
            </w:pPr>
          </w:p>
        </w:tc>
        <w:tc>
          <w:tcPr>
            <w:tcW w:w="1620" w:type="dxa"/>
          </w:tcPr>
          <w:p w14:paraId="3860D60D">
            <w:pPr>
              <w:numPr>
                <w:ilvl w:val="0"/>
                <w:numId w:val="0"/>
              </w:numPr>
              <w:jc w:val="left"/>
              <w:rPr>
                <w:rFonts w:hint="default" w:ascii="仿宋" w:hAnsi="仿宋" w:eastAsia="仿宋" w:cs="仿宋"/>
                <w:sz w:val="32"/>
                <w:szCs w:val="32"/>
                <w:u w:val="none"/>
                <w:vertAlign w:val="baseline"/>
                <w:lang w:val="en-US" w:eastAsia="zh-CN"/>
              </w:rPr>
            </w:pPr>
          </w:p>
        </w:tc>
      </w:tr>
      <w:tr w14:paraId="0F3B1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08334D48">
            <w:pPr>
              <w:numPr>
                <w:ilvl w:val="0"/>
                <w:numId w:val="0"/>
              </w:numPr>
              <w:jc w:val="left"/>
              <w:rPr>
                <w:rFonts w:hint="default" w:ascii="仿宋" w:hAnsi="仿宋" w:eastAsia="仿宋" w:cs="仿宋"/>
                <w:sz w:val="32"/>
                <w:szCs w:val="32"/>
                <w:u w:val="none"/>
                <w:vertAlign w:val="baseline"/>
                <w:lang w:val="en-US" w:eastAsia="zh-CN"/>
              </w:rPr>
            </w:pPr>
          </w:p>
        </w:tc>
        <w:tc>
          <w:tcPr>
            <w:tcW w:w="1420" w:type="dxa"/>
          </w:tcPr>
          <w:p w14:paraId="63F50936">
            <w:pPr>
              <w:numPr>
                <w:ilvl w:val="0"/>
                <w:numId w:val="0"/>
              </w:numPr>
              <w:jc w:val="left"/>
              <w:rPr>
                <w:rFonts w:hint="default" w:ascii="仿宋" w:hAnsi="仿宋" w:eastAsia="仿宋" w:cs="仿宋"/>
                <w:sz w:val="32"/>
                <w:szCs w:val="32"/>
                <w:u w:val="none"/>
                <w:vertAlign w:val="baseline"/>
                <w:lang w:val="en-US" w:eastAsia="zh-CN"/>
              </w:rPr>
            </w:pPr>
          </w:p>
        </w:tc>
        <w:tc>
          <w:tcPr>
            <w:tcW w:w="1420" w:type="dxa"/>
          </w:tcPr>
          <w:p w14:paraId="1D19850F">
            <w:pPr>
              <w:numPr>
                <w:ilvl w:val="0"/>
                <w:numId w:val="0"/>
              </w:numPr>
              <w:jc w:val="left"/>
              <w:rPr>
                <w:rFonts w:hint="default" w:ascii="仿宋" w:hAnsi="仿宋" w:eastAsia="仿宋" w:cs="仿宋"/>
                <w:sz w:val="32"/>
                <w:szCs w:val="32"/>
                <w:u w:val="none"/>
                <w:vertAlign w:val="baseline"/>
                <w:lang w:val="en-US" w:eastAsia="zh-CN"/>
              </w:rPr>
            </w:pPr>
          </w:p>
        </w:tc>
        <w:tc>
          <w:tcPr>
            <w:tcW w:w="1420" w:type="dxa"/>
          </w:tcPr>
          <w:p w14:paraId="096678BF">
            <w:pPr>
              <w:numPr>
                <w:ilvl w:val="0"/>
                <w:numId w:val="0"/>
              </w:numPr>
              <w:jc w:val="left"/>
              <w:rPr>
                <w:rFonts w:hint="default" w:ascii="仿宋" w:hAnsi="仿宋" w:eastAsia="仿宋" w:cs="仿宋"/>
                <w:sz w:val="32"/>
                <w:szCs w:val="32"/>
                <w:u w:val="none"/>
                <w:vertAlign w:val="baseline"/>
                <w:lang w:val="en-US" w:eastAsia="zh-CN"/>
              </w:rPr>
            </w:pPr>
          </w:p>
        </w:tc>
        <w:tc>
          <w:tcPr>
            <w:tcW w:w="1421" w:type="dxa"/>
          </w:tcPr>
          <w:p w14:paraId="0DA98672">
            <w:pPr>
              <w:numPr>
                <w:ilvl w:val="0"/>
                <w:numId w:val="0"/>
              </w:numPr>
              <w:jc w:val="left"/>
              <w:rPr>
                <w:rFonts w:hint="default" w:ascii="仿宋" w:hAnsi="仿宋" w:eastAsia="仿宋" w:cs="仿宋"/>
                <w:sz w:val="32"/>
                <w:szCs w:val="32"/>
                <w:u w:val="none"/>
                <w:vertAlign w:val="baseline"/>
                <w:lang w:val="en-US" w:eastAsia="zh-CN"/>
              </w:rPr>
            </w:pPr>
          </w:p>
        </w:tc>
        <w:tc>
          <w:tcPr>
            <w:tcW w:w="1620" w:type="dxa"/>
          </w:tcPr>
          <w:p w14:paraId="08BCA8FD">
            <w:pPr>
              <w:numPr>
                <w:ilvl w:val="0"/>
                <w:numId w:val="0"/>
              </w:numPr>
              <w:jc w:val="left"/>
              <w:rPr>
                <w:rFonts w:hint="default" w:ascii="仿宋" w:hAnsi="仿宋" w:eastAsia="仿宋" w:cs="仿宋"/>
                <w:sz w:val="32"/>
                <w:szCs w:val="32"/>
                <w:u w:val="none"/>
                <w:vertAlign w:val="baseline"/>
                <w:lang w:val="en-US" w:eastAsia="zh-CN"/>
              </w:rPr>
            </w:pPr>
          </w:p>
        </w:tc>
      </w:tr>
    </w:tbl>
    <w:p w14:paraId="7569B53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jc w:val="left"/>
        <w:textAlignment w:val="auto"/>
        <w:rPr>
          <w:rFonts w:hint="eastAsia" w:ascii="仿宋" w:hAnsi="仿宋" w:eastAsia="仿宋" w:cs="仿宋"/>
          <w:kern w:val="2"/>
          <w:sz w:val="32"/>
          <w:szCs w:val="32"/>
          <w:lang w:val="en-US" w:eastAsia="zh-CN" w:bidi="ar-SA"/>
        </w:rPr>
      </w:pPr>
    </w:p>
    <w:p w14:paraId="387AEAD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kern w:val="2"/>
          <w:sz w:val="28"/>
          <w:szCs w:val="28"/>
          <w:lang w:val="en-US" w:eastAsia="zh-CN" w:bidi="ar-SA"/>
        </w:rPr>
        <w:t>1.</w:t>
      </w:r>
      <w:r>
        <w:rPr>
          <w:rFonts w:hint="eastAsia" w:ascii="仿宋_GB2312" w:hAnsi="仿宋_GB2312" w:eastAsia="仿宋_GB2312" w:cs="仿宋_GB2312"/>
          <w:sz w:val="28"/>
          <w:szCs w:val="28"/>
          <w:u w:val="none"/>
          <w:lang w:val="en-US" w:eastAsia="zh-CN"/>
        </w:rPr>
        <w:t>此表电子版请用Excel格式，按照名额分配表学科排列顺序、学科初评成绩顺序发送至指定邮箱</w:t>
      </w:r>
      <w:r>
        <w:rPr>
          <w:rFonts w:hint="default" w:ascii="Times New Roman" w:hAnsi="Times New Roman" w:eastAsia="仿宋_GB2312" w:cs="Times New Roman"/>
          <w:color w:val="auto"/>
          <w:sz w:val="28"/>
          <w:szCs w:val="28"/>
          <w:u w:val="none"/>
          <w:lang w:val="en-US" w:eastAsia="zh-CN"/>
        </w:rPr>
        <w:fldChar w:fldCharType="begin"/>
      </w:r>
      <w:r>
        <w:rPr>
          <w:rFonts w:hint="default" w:ascii="Times New Roman" w:hAnsi="Times New Roman" w:eastAsia="仿宋_GB2312" w:cs="Times New Roman"/>
          <w:color w:val="auto"/>
          <w:sz w:val="28"/>
          <w:szCs w:val="28"/>
          <w:u w:val="none"/>
          <w:lang w:val="en-US" w:eastAsia="zh-CN"/>
        </w:rPr>
        <w:instrText xml:space="preserve"> HYPERLINK "mailto:xcjyszw@163.com" </w:instrText>
      </w:r>
      <w:r>
        <w:rPr>
          <w:rFonts w:hint="default" w:ascii="Times New Roman" w:hAnsi="Times New Roman" w:eastAsia="仿宋_GB2312" w:cs="Times New Roman"/>
          <w:color w:val="auto"/>
          <w:sz w:val="28"/>
          <w:szCs w:val="28"/>
          <w:u w:val="none"/>
          <w:lang w:val="en-US" w:eastAsia="zh-CN"/>
        </w:rPr>
        <w:fldChar w:fldCharType="separate"/>
      </w:r>
      <w:r>
        <w:rPr>
          <w:rStyle w:val="8"/>
          <w:rFonts w:hint="default" w:ascii="Times New Roman" w:hAnsi="Times New Roman" w:eastAsia="仿宋_GB2312" w:cs="Times New Roman"/>
          <w:color w:val="auto"/>
          <w:sz w:val="28"/>
          <w:szCs w:val="28"/>
          <w:u w:val="none"/>
          <w:lang w:val="en-US" w:eastAsia="zh-CN"/>
        </w:rPr>
        <w:t>xcjyszw@163.com</w:t>
      </w:r>
      <w:r>
        <w:rPr>
          <w:rFonts w:hint="default" w:ascii="Times New Roman" w:hAnsi="Times New Roman" w:eastAsia="仿宋_GB2312" w:cs="Times New Roman"/>
          <w:color w:val="auto"/>
          <w:sz w:val="28"/>
          <w:szCs w:val="28"/>
          <w:u w:val="none"/>
          <w:lang w:val="en-US" w:eastAsia="zh-CN"/>
        </w:rPr>
        <w:fldChar w:fldCharType="end"/>
      </w:r>
      <w:r>
        <w:rPr>
          <w:rFonts w:hint="default" w:ascii="Times New Roman" w:hAnsi="Times New Roman" w:eastAsia="仿宋_GB2312" w:cs="Times New Roman"/>
          <w:color w:val="auto"/>
          <w:sz w:val="28"/>
          <w:szCs w:val="28"/>
          <w:u w:val="none"/>
          <w:lang w:val="en-US" w:eastAsia="zh-CN"/>
        </w:rPr>
        <w:t xml:space="preserve"> </w:t>
      </w:r>
      <w:r>
        <w:rPr>
          <w:rFonts w:hint="eastAsia" w:ascii="仿宋_GB2312" w:hAnsi="仿宋_GB2312" w:eastAsia="仿宋_GB2312" w:cs="仿宋_GB2312"/>
          <w:sz w:val="28"/>
          <w:szCs w:val="28"/>
          <w:lang w:val="en-US" w:eastAsia="zh-CN"/>
        </w:rPr>
        <w:t>。</w:t>
      </w:r>
    </w:p>
    <w:p w14:paraId="2CA15E7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kern w:val="2"/>
          <w:sz w:val="28"/>
          <w:szCs w:val="28"/>
          <w:lang w:val="en-US" w:eastAsia="zh-CN" w:bidi="ar-SA"/>
        </w:rPr>
        <w:t>2.</w:t>
      </w:r>
      <w:r>
        <w:rPr>
          <w:rFonts w:hint="eastAsia" w:ascii="仿宋_GB2312" w:hAnsi="仿宋_GB2312" w:eastAsia="仿宋_GB2312" w:cs="仿宋_GB2312"/>
          <w:sz w:val="28"/>
          <w:szCs w:val="28"/>
          <w:lang w:val="en-US" w:eastAsia="zh-CN"/>
        </w:rPr>
        <w:t>单位一栏内，每位教师需要注明县（市、区）+具体学校，学校名字必须与学校公章一致。</w:t>
      </w:r>
    </w:p>
    <w:p w14:paraId="123A57B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_GB2312" w:hAnsi="仿宋_GB2312" w:eastAsia="仿宋_GB2312" w:cs="仿宋_GB2312"/>
          <w:sz w:val="28"/>
          <w:szCs w:val="28"/>
          <w:lang w:val="en-US" w:eastAsia="zh-CN"/>
        </w:rPr>
      </w:pPr>
    </w:p>
    <w:p w14:paraId="2296048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_GB2312" w:hAnsi="仿宋_GB2312" w:eastAsia="仿宋_GB2312" w:cs="仿宋_GB2312"/>
          <w:sz w:val="28"/>
          <w:szCs w:val="28"/>
          <w:lang w:val="en-US" w:eastAsia="zh-CN"/>
        </w:rPr>
      </w:pPr>
    </w:p>
    <w:p w14:paraId="5280878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p>
    <w:p w14:paraId="3975CCF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bookmarkStart w:id="0" w:name="_GoBack"/>
      <w:bookmarkEnd w:id="0"/>
    </w:p>
    <w:sectPr>
      <w:footerReference r:id="rId3" w:type="default"/>
      <w:pgSz w:w="11906" w:h="16838"/>
      <w:pgMar w:top="2098" w:right="1474" w:bottom="1984" w:left="1587" w:header="851" w:footer="992" w:gutter="0"/>
      <w:pgNumType w:fmt="numberInDash"/>
      <w:cols w:space="0" w:num="1"/>
      <w:rtlGutter w:val="0"/>
      <w:docGrid w:type="lines" w:linePitch="57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604DF32-36D8-4B27-B844-73EBDFA161D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9D1E5112-9E1F-4662-BE37-57A5F5322F3C}"/>
  </w:font>
  <w:font w:name="楷体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00000001" w:usb1="08000000" w:usb2="00000000" w:usb3="00000000" w:csb0="00040000" w:csb1="00000000"/>
    <w:embedRegular r:id="rId3" w:fontKey="{FCE1508A-88E0-427F-B846-E43817EC773E}"/>
  </w:font>
  <w:font w:name="楷体">
    <w:panose1 w:val="02010609060101010101"/>
    <w:charset w:val="86"/>
    <w:family w:val="auto"/>
    <w:pitch w:val="default"/>
    <w:sig w:usb0="800002BF" w:usb1="38CF7CFA" w:usb2="00000016" w:usb3="00000000" w:csb0="00040001" w:csb1="00000000"/>
    <w:embedRegular r:id="rId4" w:fontKey="{B8E75C98-70F3-4B1D-B58A-507FC27FEB24}"/>
  </w:font>
  <w:font w:name="仿宋">
    <w:panose1 w:val="02010609060101010101"/>
    <w:charset w:val="86"/>
    <w:family w:val="auto"/>
    <w:pitch w:val="default"/>
    <w:sig w:usb0="800002BF" w:usb1="38CF7CFA" w:usb2="00000016" w:usb3="00000000" w:csb0="00040001" w:csb1="00000000"/>
    <w:embedRegular r:id="rId5" w:fontKey="{6DA1F7F3-A3FA-4A1E-9A7F-BBDE6475E42C}"/>
  </w:font>
  <w:font w:name="方正大标宋简体">
    <w:panose1 w:val="03000509000000000000"/>
    <w:charset w:val="86"/>
    <w:family w:val="auto"/>
    <w:pitch w:val="default"/>
    <w:sig w:usb0="00000001" w:usb1="080E0000" w:usb2="00000000" w:usb3="00000000" w:csb0="00040000" w:csb1="00000000"/>
    <w:embedRegular r:id="rId6" w:fontKey="{78EAD1E5-636E-4CB1-ADEB-10995B54FF0E}"/>
  </w:font>
  <w:font w:name="华文楷体">
    <w:panose1 w:val="02010600040101010101"/>
    <w:charset w:val="86"/>
    <w:family w:val="auto"/>
    <w:pitch w:val="default"/>
    <w:sig w:usb0="00000287" w:usb1="080F0000" w:usb2="00000000" w:usb3="00000000" w:csb0="0004009F" w:csb1="DFD70000"/>
    <w:embedRegular r:id="rId7" w:fontKey="{52BCA3F3-5E67-4EAB-8158-B5A5D5D385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DA102">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290"/>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Y5YTMzNzFlNThkOTZkYjRhMjQzNGEwNDc2MmIxMDcifQ=="/>
    <w:docVar w:name="KSO_WPS_MARK_KEY" w:val="70024ebd-d51d-463f-858e-a050baba883d"/>
  </w:docVars>
  <w:rsids>
    <w:rsidRoot w:val="00000000"/>
    <w:rsid w:val="002E01C1"/>
    <w:rsid w:val="004621EF"/>
    <w:rsid w:val="01987F1A"/>
    <w:rsid w:val="01DF5805"/>
    <w:rsid w:val="06BF3FA4"/>
    <w:rsid w:val="06E40A91"/>
    <w:rsid w:val="08730E67"/>
    <w:rsid w:val="0A0D7099"/>
    <w:rsid w:val="0ABE0A9C"/>
    <w:rsid w:val="0BD46DAA"/>
    <w:rsid w:val="0C50423D"/>
    <w:rsid w:val="0CDA3224"/>
    <w:rsid w:val="0D2F588D"/>
    <w:rsid w:val="0EB002C1"/>
    <w:rsid w:val="0FB42B59"/>
    <w:rsid w:val="0FE745E1"/>
    <w:rsid w:val="1071384D"/>
    <w:rsid w:val="11A42FDF"/>
    <w:rsid w:val="11F02628"/>
    <w:rsid w:val="1548467A"/>
    <w:rsid w:val="1708264A"/>
    <w:rsid w:val="18AE6FDD"/>
    <w:rsid w:val="1B1839F7"/>
    <w:rsid w:val="1D370384"/>
    <w:rsid w:val="1E9670FF"/>
    <w:rsid w:val="1F5275D0"/>
    <w:rsid w:val="22DA21F5"/>
    <w:rsid w:val="25764EEB"/>
    <w:rsid w:val="27A24E6D"/>
    <w:rsid w:val="27E3389B"/>
    <w:rsid w:val="282C3A1C"/>
    <w:rsid w:val="28D820EE"/>
    <w:rsid w:val="28FD3667"/>
    <w:rsid w:val="290A2063"/>
    <w:rsid w:val="29E4176D"/>
    <w:rsid w:val="2A274E52"/>
    <w:rsid w:val="2A3D0B19"/>
    <w:rsid w:val="2B307FB5"/>
    <w:rsid w:val="30DD7FA1"/>
    <w:rsid w:val="315E003F"/>
    <w:rsid w:val="324A12F0"/>
    <w:rsid w:val="348B396E"/>
    <w:rsid w:val="34F51A38"/>
    <w:rsid w:val="34FD2A80"/>
    <w:rsid w:val="35067AF7"/>
    <w:rsid w:val="355B4EE8"/>
    <w:rsid w:val="36DB09D4"/>
    <w:rsid w:val="38800FC1"/>
    <w:rsid w:val="391A0D07"/>
    <w:rsid w:val="3A577095"/>
    <w:rsid w:val="3A712B24"/>
    <w:rsid w:val="3E1E5461"/>
    <w:rsid w:val="3F6E5909"/>
    <w:rsid w:val="3F84431C"/>
    <w:rsid w:val="41953AF8"/>
    <w:rsid w:val="42073DF3"/>
    <w:rsid w:val="44995935"/>
    <w:rsid w:val="44B02520"/>
    <w:rsid w:val="46773569"/>
    <w:rsid w:val="48CD26E3"/>
    <w:rsid w:val="49BB4089"/>
    <w:rsid w:val="4D553DB6"/>
    <w:rsid w:val="4E381440"/>
    <w:rsid w:val="4E597458"/>
    <w:rsid w:val="512262C7"/>
    <w:rsid w:val="51E2255E"/>
    <w:rsid w:val="528944AB"/>
    <w:rsid w:val="55924389"/>
    <w:rsid w:val="572F2317"/>
    <w:rsid w:val="576F5E9E"/>
    <w:rsid w:val="591F4074"/>
    <w:rsid w:val="59630525"/>
    <w:rsid w:val="5A0268D2"/>
    <w:rsid w:val="5AA13369"/>
    <w:rsid w:val="5AC73FC9"/>
    <w:rsid w:val="5B2C0086"/>
    <w:rsid w:val="5BEA4CF5"/>
    <w:rsid w:val="5BEF731F"/>
    <w:rsid w:val="5D335A8A"/>
    <w:rsid w:val="5F7F241A"/>
    <w:rsid w:val="5FB74F8D"/>
    <w:rsid w:val="60104CD3"/>
    <w:rsid w:val="61DF3FED"/>
    <w:rsid w:val="636C6D53"/>
    <w:rsid w:val="659A200C"/>
    <w:rsid w:val="681D2598"/>
    <w:rsid w:val="6881761C"/>
    <w:rsid w:val="691C5F90"/>
    <w:rsid w:val="6F062BB9"/>
    <w:rsid w:val="6FCC242C"/>
    <w:rsid w:val="6FCD6BAA"/>
    <w:rsid w:val="71DF34B3"/>
    <w:rsid w:val="72482E58"/>
    <w:rsid w:val="730919C3"/>
    <w:rsid w:val="734819F2"/>
    <w:rsid w:val="74EA63D1"/>
    <w:rsid w:val="760E5ADE"/>
    <w:rsid w:val="76D50F5C"/>
    <w:rsid w:val="7C1E59E5"/>
    <w:rsid w:val="7CCF0A8E"/>
    <w:rsid w:val="7EC763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86"/>
      <w:szCs w:val="86"/>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000FF"/>
      <w:u w:val="single"/>
    </w:rPr>
  </w:style>
  <w:style w:type="character" w:customStyle="1" w:styleId="9">
    <w:name w:val="font21"/>
    <w:basedOn w:val="7"/>
    <w:qFormat/>
    <w:uiPriority w:val="0"/>
    <w:rPr>
      <w:rFonts w:hint="eastAsia" w:ascii="宋体" w:hAnsi="宋体" w:eastAsia="宋体" w:cs="宋体"/>
      <w:color w:val="000000"/>
      <w:sz w:val="28"/>
      <w:szCs w:val="28"/>
      <w:u w:val="none"/>
    </w:rPr>
  </w:style>
  <w:style w:type="character" w:customStyle="1" w:styleId="10">
    <w:name w:val="font41"/>
    <w:basedOn w:val="7"/>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4019</Words>
  <Characters>4328</Characters>
  <Lines>0</Lines>
  <Paragraphs>0</Paragraphs>
  <TotalTime>0</TotalTime>
  <ScaleCrop>false</ScaleCrop>
  <LinksUpToDate>false</LinksUpToDate>
  <CharactersWithSpaces>4384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2024-10-22T00:48:00Z</dcterms:created>
  <dc:creator>Administrator</dc:creator>
  <cp:lastModifiedBy>追梦之人</cp:lastModifiedBy>
  <cp:lastPrinted>2024-11-08T03:53:00Z</cp:lastPrinted>
  <dcterms:modified xsi:type="dcterms:W3CDTF">2025-01-06T03:56:29Z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490F279ACB194A99AC5752721F5A4529_13</vt:lpwstr>
  </property>
  <property fmtid="{D5CDD505-2E9C-101B-9397-08002B2CF9AE}" pid="4" name="KSOTemplateDocerSaveRecord">
    <vt:lpwstr>eyJoZGlkIjoiMThjY2FlZGYzNWUyNWZlNWVhOGNhZmM3NTA0ZWQ2NzgiLCJ1c2VySWQiOiIyOTQ5ODkxNjQifQ==</vt:lpwstr>
  </property>
</Properties>
</file>