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val="en-US" w:eastAsia="zh-CN"/>
        </w:rPr>
        <w:t>许昌市退役军人事务</w:t>
      </w:r>
      <w:r>
        <w:rPr>
          <w:rFonts w:hint="eastAsia" w:ascii="黑体" w:hAnsi="黑体" w:eastAsia="黑体" w:cs="黑体"/>
          <w:color w:val="auto"/>
          <w:sz w:val="52"/>
          <w:szCs w:val="52"/>
          <w:highlight w:val="none"/>
        </w:rPr>
        <w:t>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val="en-US" w:eastAsia="zh-CN"/>
        </w:rPr>
        <w:t>许昌市退役军人事务局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color w:val="auto"/>
          <w:sz w:val="48"/>
          <w:szCs w:val="48"/>
          <w:highlight w:val="none"/>
          <w:lang w:eastAsia="zh-CN"/>
        </w:rPr>
        <w:t>许昌市退役军人事务局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因部门职责涉密，不予公开。</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退役军人事务局内设机构6个，包括：办公室、规划财务科、军队转业干部移交安置和就业创业科、复原退伍军人移交安置和军休服务管理科、优抚和褒扬科、双拥活动办公室。二级单位包括：许昌市退役军人事务局（本级）、许昌市退役军人服务中心、许昌市烈士陵园管理处、</w:t>
      </w:r>
      <w:r>
        <w:rPr>
          <w:rFonts w:hint="eastAsia" w:ascii="仿宋_GB2312" w:hAnsi="仿宋_GB2312" w:eastAsia="仿宋_GB2312" w:cs="仿宋_GB2312"/>
          <w:sz w:val="32"/>
          <w:szCs w:val="32"/>
          <w:lang w:val="en-US" w:eastAsia="zh-CN"/>
        </w:rPr>
        <w:t>许昌市军队离退休干部第一休养所、许昌市军队离退休干部第二休养所</w:t>
      </w:r>
      <w:r>
        <w:rPr>
          <w:rFonts w:hint="eastAsia" w:ascii="仿宋_GB2312" w:hAnsi="仿宋_GB2312" w:eastAsia="仿宋_GB2312" w:cs="仿宋_GB2312"/>
          <w:color w:val="auto"/>
          <w:kern w:val="0"/>
          <w:sz w:val="32"/>
          <w:szCs w:val="32"/>
          <w:highlight w:val="none"/>
          <w:lang w:val="en-US" w:eastAsia="zh-CN"/>
        </w:rPr>
        <w:t>等共5个。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从决算单位构成看，许昌市退役军人事务局部门决算包括：本级决算（1个）、所属单位决算（4个）。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w:t>
      </w:r>
      <w:r>
        <w:rPr>
          <w:rFonts w:hint="default" w:ascii="仿宋_GB2312" w:hAnsi="仿宋_GB2312" w:eastAsia="仿宋_GB2312" w:cs="仿宋_GB2312"/>
          <w:color w:val="auto"/>
          <w:kern w:val="0"/>
          <w:sz w:val="32"/>
          <w:szCs w:val="32"/>
          <w:highlight w:val="none"/>
          <w:lang w:val="en" w:eastAsia="zh-CN"/>
        </w:rPr>
        <w:t>1</w:t>
      </w:r>
      <w:r>
        <w:rPr>
          <w:rFonts w:hint="eastAsia" w:ascii="仿宋_GB2312" w:hAnsi="仿宋_GB2312" w:eastAsia="仿宋_GB2312" w:cs="仿宋_GB2312"/>
          <w:color w:val="auto"/>
          <w:kern w:val="0"/>
          <w:sz w:val="32"/>
          <w:szCs w:val="32"/>
          <w:highlight w:val="none"/>
          <w:lang w:val="en-US" w:eastAsia="zh-CN"/>
        </w:rPr>
        <w:t>年度部门决算编制范围的单位共5个，其中二级预算单位4个，具体是：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1.许昌市退役军人事务局本级</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2.许昌市退役军人服务中心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3.许昌市烈士陵园管理处</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4.许昌市军队离退休干部第一休养所</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5.许昌市军队离退休干部第二休养所</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shd w:val="clear" w:color="auto" w:fill="auto"/>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825" w:type="dxa"/>
            <w:tcBorders>
              <w:top w:val="nil"/>
              <w:left w:val="nil"/>
              <w:bottom w:val="nil"/>
              <w:right w:val="nil"/>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764" w:type="dxa"/>
            <w:tcBorders>
              <w:top w:val="nil"/>
              <w:left w:val="nil"/>
              <w:bottom w:val="nil"/>
              <w:right w:val="nil"/>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4671" w:type="dxa"/>
            <w:tcBorders>
              <w:top w:val="nil"/>
              <w:left w:val="nil"/>
              <w:bottom w:val="nil"/>
              <w:right w:val="nil"/>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750" w:type="dxa"/>
            <w:tcBorders>
              <w:top w:val="nil"/>
              <w:left w:val="nil"/>
              <w:bottom w:val="nil"/>
              <w:right w:val="nil"/>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699" w:type="dxa"/>
            <w:tcBorders>
              <w:top w:val="nil"/>
              <w:left w:val="nil"/>
              <w:bottom w:val="nil"/>
              <w:right w:val="nil"/>
            </w:tcBorders>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部门：许昌市退役军人事务局</w:t>
            </w:r>
          </w:p>
        </w:tc>
        <w:tc>
          <w:tcPr>
            <w:tcW w:w="825" w:type="dxa"/>
            <w:tcBorders>
              <w:top w:val="nil"/>
              <w:left w:val="nil"/>
              <w:bottom w:val="nil"/>
              <w:right w:val="nil"/>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764" w:type="dxa"/>
            <w:tcBorders>
              <w:top w:val="nil"/>
              <w:left w:val="nil"/>
              <w:bottom w:val="nil"/>
              <w:right w:val="nil"/>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4671" w:type="dxa"/>
            <w:tcBorders>
              <w:top w:val="nil"/>
              <w:left w:val="nil"/>
              <w:bottom w:val="nil"/>
              <w:right w:val="nil"/>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750" w:type="dxa"/>
            <w:tcBorders>
              <w:top w:val="nil"/>
              <w:left w:val="nil"/>
              <w:bottom w:val="nil"/>
              <w:right w:val="nil"/>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699" w:type="dxa"/>
            <w:tcBorders>
              <w:top w:val="nil"/>
              <w:left w:val="nil"/>
              <w:bottom w:val="nil"/>
              <w:right w:val="nil"/>
            </w:tcBorders>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nil"/>
              <w:left w:val="nil"/>
              <w:bottom w:val="nil"/>
              <w:right w:val="nil"/>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764" w:type="dxa"/>
            <w:tcBorders>
              <w:top w:val="nil"/>
              <w:left w:val="nil"/>
              <w:bottom w:val="nil"/>
              <w:right w:val="nil"/>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4671" w:type="dxa"/>
            <w:tcBorders>
              <w:top w:val="nil"/>
              <w:left w:val="nil"/>
              <w:bottom w:val="nil"/>
              <w:right w:val="nil"/>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750" w:type="dxa"/>
            <w:tcBorders>
              <w:top w:val="nil"/>
              <w:left w:val="nil"/>
              <w:bottom w:val="nil"/>
              <w:right w:val="nil"/>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699" w:type="dxa"/>
            <w:tcBorders>
              <w:top w:val="nil"/>
              <w:left w:val="nil"/>
              <w:bottom w:val="nil"/>
              <w:right w:val="nil"/>
            </w:tcBorders>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kern w:val="0"/>
                <w:sz w:val="20"/>
                <w:szCs w:val="20"/>
                <w:highlight w:val="none"/>
                <w:lang w:bidi="ar"/>
              </w:rPr>
            </w:pPr>
          </w:p>
        </w:tc>
      </w:tr>
      <w:tr>
        <w:tblPrEx>
          <w:tblCellMar>
            <w:top w:w="0" w:type="dxa"/>
            <w:left w:w="0" w:type="dxa"/>
            <w:bottom w:w="0" w:type="dxa"/>
            <w:right w:w="0" w:type="dxa"/>
          </w:tblCellMar>
        </w:tblPrEx>
        <w:trPr>
          <w:trHeight w:val="364" w:hRule="atLeast"/>
        </w:trPr>
        <w:tc>
          <w:tcPr>
            <w:tcW w:w="6868" w:type="dxa"/>
            <w:gridSpan w:val="3"/>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支出</w:t>
            </w:r>
          </w:p>
        </w:tc>
      </w:tr>
      <w:tr>
        <w:tblPrEx>
          <w:tblCellMar>
            <w:top w:w="0" w:type="dxa"/>
            <w:left w:w="0" w:type="dxa"/>
            <w:bottom w:w="0" w:type="dxa"/>
            <w:right w:w="0" w:type="dxa"/>
          </w:tblCellMar>
        </w:tblPrEx>
        <w:trPr>
          <w:trHeight w:val="36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36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4,991.72</w:t>
            </w: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二、政府性基金</w:t>
            </w:r>
            <w:r>
              <w:rPr>
                <w:rFonts w:ascii="宋体" w:hAnsi="宋体" w:cs="宋体"/>
                <w:color w:val="auto"/>
                <w:kern w:val="0"/>
                <w:sz w:val="20"/>
                <w:szCs w:val="20"/>
                <w:highlight w:val="none"/>
                <w:lang w:bidi="ar"/>
              </w:rPr>
              <w:t>预算财政拨款</w:t>
            </w:r>
            <w:r>
              <w:rPr>
                <w:rFonts w:hint="eastAsia" w:ascii="宋体" w:hAnsi="宋体" w:cs="宋体"/>
                <w:color w:val="auto"/>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三、国有资本</w:t>
            </w:r>
            <w:r>
              <w:rPr>
                <w:rFonts w:ascii="宋体" w:hAnsi="宋体" w:cs="宋体"/>
                <w:color w:val="auto"/>
                <w:kern w:val="0"/>
                <w:sz w:val="20"/>
                <w:szCs w:val="20"/>
                <w:highlight w:val="none"/>
                <w:lang w:bidi="ar"/>
              </w:rPr>
              <w:t>经营预算财政拨款</w:t>
            </w:r>
            <w:r>
              <w:rPr>
                <w:rFonts w:hint="eastAsia" w:ascii="宋体" w:hAnsi="宋体" w:cs="宋体"/>
                <w:color w:val="auto"/>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35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37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85</w:t>
            </w: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6,526.58</w:t>
            </w:r>
          </w:p>
        </w:tc>
      </w:tr>
      <w:tr>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40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21.18</w:t>
            </w: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十、节能环保支出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41</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十一、城乡社区支出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42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十二、农林水支出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43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十三、交通运输支出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44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45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十五、商业服务业等支出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46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16</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十六、金融支出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47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17</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十七、援助其他地区支出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48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18</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49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19</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十九、住房保障支出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50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20</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二十、粮油物资储备支出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51</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21</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52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22</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53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23</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二十三、其他支出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54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default" w:ascii="宋体" w:hAnsi="宋体" w:cs="宋体"/>
                <w:color w:val="auto"/>
                <w:kern w:val="0"/>
                <w:sz w:val="20"/>
                <w:szCs w:val="20"/>
                <w:highlight w:val="none"/>
                <w:lang w:val="en-US" w:bidi="ar"/>
              </w:rPr>
            </w:pPr>
            <w:r>
              <w:rPr>
                <w:rFonts w:hint="eastAsia" w:ascii="宋体" w:hAnsi="宋体" w:eastAsia="宋体" w:cs="宋体"/>
                <w:i w:val="0"/>
                <w:iCs w:val="0"/>
                <w:color w:val="auto"/>
                <w:kern w:val="0"/>
                <w:sz w:val="20"/>
                <w:szCs w:val="20"/>
                <w:highlight w:val="none"/>
                <w:u w:val="none"/>
                <w:lang w:val="en-US" w:eastAsia="zh-CN" w:bidi="ar"/>
              </w:rPr>
              <w:t>24</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二十四、债务还本支出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55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highlight w:val="none"/>
                <w:u w:val="none"/>
                <w:lang w:val="en-US" w:eastAsia="zh-CN" w:bidi="ar"/>
              </w:rPr>
              <w:t>25</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二十五、债务付息支出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highlight w:val="none"/>
                <w:u w:val="none"/>
                <w:lang w:val="en-US" w:eastAsia="zh-CN" w:bidi="ar"/>
              </w:rPr>
              <w:t>26</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highlight w:val="none"/>
                <w:u w:val="none"/>
                <w:lang w:val="en-US" w:eastAsia="zh-CN" w:bidi="ar"/>
              </w:rPr>
              <w:t>27</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5,076.72</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b/>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6,550.60</w:t>
            </w: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使用非</w:t>
            </w:r>
            <w:r>
              <w:rPr>
                <w:rFonts w:ascii="宋体" w:hAnsi="宋体" w:cs="宋体"/>
                <w:color w:val="auto"/>
                <w:kern w:val="0"/>
                <w:sz w:val="20"/>
                <w:szCs w:val="20"/>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28</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rPr>
          <w:trHeight w:val="624"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w:t>
            </w:r>
            <w:r>
              <w:rPr>
                <w:rFonts w:hint="eastAsia" w:ascii="宋体" w:hAnsi="宋体" w:cs="宋体"/>
                <w:color w:val="auto"/>
                <w:kern w:val="0"/>
                <w:sz w:val="20"/>
                <w:szCs w:val="20"/>
                <w:highlight w:val="none"/>
                <w:lang w:eastAsia="zh-CN" w:bidi="ar"/>
              </w:rPr>
              <w:t>年初</w:t>
            </w:r>
            <w:r>
              <w:rPr>
                <w:rFonts w:hint="eastAsia" w:ascii="宋体" w:hAnsi="宋体" w:cs="宋体"/>
                <w:color w:val="auto"/>
                <w:kern w:val="0"/>
                <w:sz w:val="20"/>
                <w:szCs w:val="20"/>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highlight w:val="none"/>
                <w:u w:val="none"/>
                <w:lang w:val="en-US" w:eastAsia="zh-CN" w:bidi="ar"/>
              </w:rPr>
              <w:t>29</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1,473.89</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nil"/>
              <w:right w:val="nil"/>
            </w:tcBorders>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30</w:t>
            </w:r>
          </w:p>
        </w:tc>
        <w:tc>
          <w:tcPr>
            <w:tcW w:w="1764"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671" w:type="dxa"/>
            <w:tcBorders>
              <w:top w:val="single" w:color="000000" w:sz="4" w:space="0"/>
              <w:left w:val="single" w:color="000000" w:sz="4" w:space="0"/>
              <w:bottom w:val="nil"/>
              <w:right w:val="nil"/>
            </w:tcBorders>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24" w:hRule="atLeast"/>
        </w:trPr>
        <w:tc>
          <w:tcPr>
            <w:tcW w:w="4279" w:type="dxa"/>
            <w:tcBorders>
              <w:top w:val="single" w:color="000000" w:sz="4" w:space="0"/>
              <w:left w:val="single" w:color="000000" w:sz="8" w:space="0"/>
              <w:bottom w:val="single" w:color="000000" w:sz="8" w:space="0"/>
              <w:right w:val="nil"/>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0"/>
                <w:szCs w:val="20"/>
                <w:highlight w:val="none"/>
                <w:u w:val="none"/>
                <w:lang w:val="en-US" w:eastAsia="zh-CN" w:bidi="ar"/>
              </w:rPr>
              <w:t>31</w:t>
            </w:r>
          </w:p>
        </w:tc>
        <w:tc>
          <w:tcPr>
            <w:tcW w:w="176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6,550.60</w:t>
            </w:r>
          </w:p>
        </w:tc>
        <w:tc>
          <w:tcPr>
            <w:tcW w:w="4671" w:type="dxa"/>
            <w:tcBorders>
              <w:top w:val="single" w:color="000000" w:sz="4" w:space="0"/>
              <w:left w:val="single" w:color="000000" w:sz="4" w:space="0"/>
              <w:bottom w:val="single" w:color="000000" w:sz="8" w:space="0"/>
              <w:right w:val="nil"/>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b/>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6,550.60</w:t>
            </w:r>
          </w:p>
        </w:tc>
      </w:tr>
      <w:tr>
        <w:tblPrEx>
          <w:tblCellMar>
            <w:top w:w="0" w:type="dxa"/>
            <w:left w:w="0" w:type="dxa"/>
            <w:bottom w:w="0" w:type="dxa"/>
            <w:right w:w="0" w:type="dxa"/>
          </w:tblCellMar>
        </w:tblPrEx>
        <w:trPr>
          <w:trHeight w:val="439" w:hRule="atLeast"/>
        </w:trPr>
        <w:tc>
          <w:tcPr>
            <w:tcW w:w="13988" w:type="dxa"/>
            <w:gridSpan w:val="6"/>
            <w:tcBorders>
              <w:top w:val="single" w:color="000000" w:sz="8" w:space="0"/>
              <w:left w:val="nil"/>
              <w:bottom w:val="single" w:color="000000" w:sz="8" w:space="0"/>
              <w:right w:val="nil"/>
            </w:tcBorders>
            <w:noWrap w:val="0"/>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注：本表反映部门本年度的总收支和年末结转结余情况。本表金额转换为万元时，因四舍五入可能存在尾差。</w:t>
            </w:r>
          </w:p>
        </w:tc>
      </w:tr>
    </w:tbl>
    <w:p>
      <w:pPr>
        <w:shd w:val="clear" w:color="auto" w:fill="auto"/>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27"/>
        <w:gridCol w:w="59"/>
        <w:gridCol w:w="2196"/>
        <w:gridCol w:w="1509"/>
        <w:gridCol w:w="1509"/>
        <w:gridCol w:w="1509"/>
        <w:gridCol w:w="1509"/>
        <w:gridCol w:w="1509"/>
        <w:gridCol w:w="1509"/>
        <w:gridCol w:w="1509"/>
      </w:tblGrid>
      <w:tr>
        <w:trPr>
          <w:trHeight w:val="435" w:hRule="atLeast"/>
        </w:trPr>
        <w:tc>
          <w:tcPr>
            <w:tcW w:w="13845" w:type="dxa"/>
            <w:gridSpan w:val="10"/>
            <w:tcBorders>
              <w:top w:val="nil"/>
              <w:left w:val="nil"/>
              <w:bottom w:val="nil"/>
              <w:right w:val="nil"/>
            </w:tcBorders>
            <w:noWrap/>
            <w:tcMar>
              <w:top w:w="15" w:type="dxa"/>
              <w:left w:w="15" w:type="dxa"/>
              <w:right w:w="15" w:type="dxa"/>
            </w:tcMar>
            <w:vAlign w:val="center"/>
          </w:tcPr>
          <w:p>
            <w:pPr>
              <w:widowControl/>
              <w:shd w:val="clear" w:color="auto" w:fill="auto"/>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2196"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nil"/>
              <w:left w:val="nil"/>
              <w:bottom w:val="nil"/>
              <w:right w:val="nil"/>
            </w:tcBorders>
            <w:shd w:val="clear" w:color="auto" w:fill="FFFFFF"/>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公开02表</w:t>
            </w:r>
          </w:p>
        </w:tc>
      </w:tr>
      <w:tr>
        <w:trPr>
          <w:trHeight w:val="300" w:hRule="atLeast"/>
        </w:trPr>
        <w:tc>
          <w:tcPr>
            <w:tcW w:w="4791" w:type="dxa"/>
            <w:gridSpan w:val="4"/>
            <w:tcBorders>
              <w:top w:val="nil"/>
              <w:left w:val="nil"/>
              <w:bottom w:val="nil"/>
              <w:right w:val="nil"/>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部门：许昌市退役军人事务局</w:t>
            </w:r>
          </w:p>
        </w:tc>
        <w:tc>
          <w:tcPr>
            <w:tcW w:w="1509"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09"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nil"/>
              <w:left w:val="nil"/>
              <w:bottom w:val="nil"/>
              <w:right w:val="nil"/>
            </w:tcBorders>
            <w:shd w:val="clear" w:color="auto" w:fill="FFFFFF"/>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3282"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509"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本年收入合计</w:t>
            </w:r>
          </w:p>
        </w:tc>
        <w:tc>
          <w:tcPr>
            <w:tcW w:w="1509" w:type="dxa"/>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财政拨款收入</w:t>
            </w:r>
          </w:p>
        </w:tc>
        <w:tc>
          <w:tcPr>
            <w:tcW w:w="1509"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上级补助收入</w:t>
            </w:r>
          </w:p>
        </w:tc>
        <w:tc>
          <w:tcPr>
            <w:tcW w:w="1509"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事业收入</w:t>
            </w:r>
          </w:p>
        </w:tc>
        <w:tc>
          <w:tcPr>
            <w:tcW w:w="1509"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经营收入</w:t>
            </w:r>
          </w:p>
        </w:tc>
        <w:tc>
          <w:tcPr>
            <w:tcW w:w="1509"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附属单位上缴收入</w:t>
            </w:r>
          </w:p>
        </w:tc>
        <w:tc>
          <w:tcPr>
            <w:tcW w:w="15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50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0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328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5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r>
      <w:tr>
        <w:tblPrEx>
          <w:tblCellMar>
            <w:top w:w="0" w:type="dxa"/>
            <w:left w:w="0" w:type="dxa"/>
            <w:bottom w:w="0" w:type="dxa"/>
            <w:right w:w="0" w:type="dxa"/>
          </w:tblCellMar>
        </w:tblPrEx>
        <w:trPr>
          <w:trHeight w:val="450" w:hRule="atLeast"/>
        </w:trPr>
        <w:tc>
          <w:tcPr>
            <w:tcW w:w="3282"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b w:val="0"/>
                <w:bCs/>
                <w:color w:val="auto"/>
                <w:sz w:val="20"/>
                <w:szCs w:val="20"/>
                <w:highlight w:val="none"/>
              </w:rPr>
            </w:pPr>
            <w:r>
              <w:rPr>
                <w:rFonts w:hint="eastAsia" w:ascii="宋体" w:hAnsi="宋体" w:eastAsia="宋体" w:cs="宋体"/>
                <w:b w:val="0"/>
                <w:bCs/>
                <w:i w:val="0"/>
                <w:color w:val="auto"/>
                <w:kern w:val="0"/>
                <w:sz w:val="20"/>
                <w:szCs w:val="20"/>
                <w:highlight w:val="none"/>
                <w:u w:val="none"/>
                <w:lang w:val="en-US" w:eastAsia="zh-CN" w:bidi="ar"/>
              </w:rPr>
              <w:t>5,076.72</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b w:val="0"/>
                <w:bCs/>
                <w:color w:val="auto"/>
                <w:sz w:val="20"/>
                <w:szCs w:val="20"/>
                <w:highlight w:val="none"/>
              </w:rPr>
            </w:pPr>
            <w:r>
              <w:rPr>
                <w:rFonts w:hint="eastAsia" w:ascii="宋体" w:hAnsi="宋体" w:eastAsia="宋体" w:cs="宋体"/>
                <w:b w:val="0"/>
                <w:bCs/>
                <w:i w:val="0"/>
                <w:color w:val="auto"/>
                <w:kern w:val="0"/>
                <w:sz w:val="20"/>
                <w:szCs w:val="20"/>
                <w:highlight w:val="none"/>
                <w:u w:val="none"/>
                <w:lang w:val="en-US" w:eastAsia="zh-CN" w:bidi="ar"/>
              </w:rPr>
              <w:t>4,991.72</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b w:val="0"/>
                <w:bCs/>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b w:val="0"/>
                <w:bCs/>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b w:val="0"/>
                <w:bCs/>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b w:val="0"/>
                <w:bCs/>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b w:val="0"/>
                <w:bCs/>
                <w:color w:val="auto"/>
                <w:sz w:val="20"/>
                <w:szCs w:val="20"/>
                <w:highlight w:val="none"/>
              </w:rPr>
            </w:pPr>
            <w:r>
              <w:rPr>
                <w:rFonts w:hint="eastAsia" w:ascii="宋体" w:hAnsi="宋体" w:eastAsia="宋体" w:cs="宋体"/>
                <w:b w:val="0"/>
                <w:bCs/>
                <w:i w:val="0"/>
                <w:color w:val="auto"/>
                <w:kern w:val="0"/>
                <w:sz w:val="20"/>
                <w:szCs w:val="20"/>
                <w:highlight w:val="none"/>
                <w:u w:val="none"/>
                <w:lang w:val="en-US" w:eastAsia="zh-CN" w:bidi="ar"/>
              </w:rPr>
              <w:t>85</w:t>
            </w:r>
          </w:p>
        </w:tc>
      </w:tr>
      <w:tr>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201</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一般公共服务支出</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2.83</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2.83</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20129</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群众团体事务</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华文中宋" w:hAnsi="华文中宋" w:eastAsia="华文中宋" w:cs="华文中宋"/>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2.83</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2.83</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2012906</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工会事务</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2.83</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2.83</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社会保障和就业支出</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5,056.01</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4,971.01</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85</w:t>
            </w:r>
          </w:p>
        </w:tc>
      </w:tr>
      <w:tr>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20805</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行政事业单位养老支出</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144.35</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144.35</w:t>
            </w: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2080501</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行政单位离退休</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9.91</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9.91</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2080502</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事业单位离退休</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114.32</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114.32</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2080505</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机关事业单位基本养老保险缴费支出</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20.12</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20.12</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20808</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抚恤</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162.67</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162.67</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2080801</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死亡抚恤</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116.43</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116.43</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2080804</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优抚事业单位支出</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46.24</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46.24</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退役安置</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3,431.90</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3,346.90</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85</w:t>
            </w: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2080901</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退役士兵安置</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59.07</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59.07</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2080902</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军队移交政府的离退休人员安置</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1,226.26</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1,141.26</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85</w:t>
            </w: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2080903</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军队移交政府离退休干部管理机构</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188.39</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188.39</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2080905</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军队转业干部安置</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1,648.69</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1,648.69</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2080999</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其他退役安置支出</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309.48</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309.48</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20820</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临时救助</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4.92</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4.92</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2082001</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临时救助支出</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4.92</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4.92</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退役军人管理事务</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1,312.17</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1,312.17</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2082801</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行政运行</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429.70</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429.70</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2082802</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一般行政管理事务</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228.57</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228.57</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2082850</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事业运行</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653.89</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653.89</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卫生健康支出</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17.88</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17.88</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21011</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行政事业单位医疗</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17.88</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17.88</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2101101</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行政单位医疗</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7.28</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7.28</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2101102</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事业单位医疗</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3.40</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3.40</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2101103</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公务员医疗补助</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7.20</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7.20</w:t>
            </w: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rPr>
          <w:trHeight w:val="615" w:hRule="atLeast"/>
        </w:trPr>
        <w:tc>
          <w:tcPr>
            <w:tcW w:w="13845" w:type="dxa"/>
            <w:gridSpan w:val="10"/>
            <w:tcBorders>
              <w:top w:val="single" w:color="000000" w:sz="8" w:space="0"/>
              <w:left w:val="nil"/>
              <w:bottom w:val="nil"/>
              <w:right w:val="nil"/>
            </w:tcBorders>
            <w:noWrap w:val="0"/>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注：本表反映部门本年度取得的各项收入情况。本表金额转换为万元时，因四舍五入可能存在尾差。</w:t>
            </w:r>
          </w:p>
        </w:tc>
      </w:tr>
    </w:tbl>
    <w:p>
      <w:pPr>
        <w:shd w:val="clear" w:color="auto" w:fill="auto"/>
        <w:rPr>
          <w:rFonts w:hint="eastAsia" w:ascii="仿宋_GB2312" w:hAnsi="仿宋_GB2312" w:eastAsia="仿宋_GB2312" w:cs="仿宋_GB2312"/>
          <w:color w:val="auto"/>
          <w:sz w:val="32"/>
          <w:szCs w:val="32"/>
          <w:highlight w:val="none"/>
        </w:rPr>
      </w:pPr>
    </w:p>
    <w:p>
      <w:pPr>
        <w:shd w:val="clear" w:color="auto" w:fill="auto"/>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904"/>
        <w:gridCol w:w="240"/>
        <w:gridCol w:w="3405"/>
        <w:gridCol w:w="1573"/>
        <w:gridCol w:w="1573"/>
        <w:gridCol w:w="1573"/>
        <w:gridCol w:w="1573"/>
        <w:gridCol w:w="1573"/>
        <w:gridCol w:w="1574"/>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shd w:val="clear" w:color="auto" w:fill="auto"/>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支出决算表</w:t>
            </w:r>
          </w:p>
        </w:tc>
      </w:tr>
      <w:tr>
        <w:tblPrEx>
          <w:tblCellMar>
            <w:top w:w="0" w:type="dxa"/>
            <w:left w:w="0" w:type="dxa"/>
            <w:bottom w:w="0" w:type="dxa"/>
            <w:right w:w="0" w:type="dxa"/>
          </w:tblCellMar>
        </w:tblPrEx>
        <w:trPr>
          <w:trHeight w:val="285" w:hRule="atLeast"/>
        </w:trPr>
        <w:tc>
          <w:tcPr>
            <w:tcW w:w="904"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240"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3405"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nil"/>
              <w:left w:val="nil"/>
              <w:bottom w:val="nil"/>
              <w:right w:val="nil"/>
            </w:tcBorders>
            <w:shd w:val="clear" w:color="auto" w:fill="FFFFFF"/>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公开03表</w:t>
            </w:r>
          </w:p>
        </w:tc>
      </w:tr>
      <w:tr>
        <w:tblPrEx>
          <w:tblCellMar>
            <w:top w:w="0" w:type="dxa"/>
            <w:left w:w="0" w:type="dxa"/>
            <w:bottom w:w="0" w:type="dxa"/>
            <w:right w:w="0" w:type="dxa"/>
          </w:tblCellMar>
        </w:tblPrEx>
        <w:trPr>
          <w:trHeight w:val="300" w:hRule="atLeast"/>
        </w:trPr>
        <w:tc>
          <w:tcPr>
            <w:tcW w:w="6122" w:type="dxa"/>
            <w:gridSpan w:val="4"/>
            <w:tcBorders>
              <w:top w:val="nil"/>
              <w:left w:val="nil"/>
              <w:bottom w:val="nil"/>
              <w:right w:val="nil"/>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r>
              <w:rPr>
                <w:rFonts w:hint="eastAsia" w:ascii="宋体" w:hAnsi="宋体" w:eastAsia="宋体" w:cs="宋体"/>
                <w:color w:val="auto"/>
                <w:kern w:val="0"/>
                <w:sz w:val="20"/>
                <w:szCs w:val="20"/>
                <w:highlight w:val="none"/>
                <w:lang w:bidi="ar"/>
              </w:rPr>
              <w:t>部门：许昌市退役军人事务局</w:t>
            </w:r>
          </w:p>
        </w:tc>
        <w:tc>
          <w:tcPr>
            <w:tcW w:w="1573"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73"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nil"/>
              <w:left w:val="nil"/>
              <w:bottom w:val="nil"/>
              <w:right w:val="nil"/>
            </w:tcBorders>
            <w:shd w:val="clear" w:color="auto" w:fill="FFFFFF"/>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4549"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573"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本年支出合计</w:t>
            </w:r>
          </w:p>
        </w:tc>
        <w:tc>
          <w:tcPr>
            <w:tcW w:w="1573"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573"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573"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上缴上级支出</w:t>
            </w:r>
          </w:p>
        </w:tc>
        <w:tc>
          <w:tcPr>
            <w:tcW w:w="1573"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经营支出</w:t>
            </w:r>
          </w:p>
        </w:tc>
        <w:tc>
          <w:tcPr>
            <w:tcW w:w="1574"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对附属单位补助支出</w:t>
            </w:r>
          </w:p>
        </w:tc>
      </w:tr>
      <w:tr>
        <w:tblPrEx>
          <w:tblCellMar>
            <w:top w:w="0" w:type="dxa"/>
            <w:left w:w="0" w:type="dxa"/>
            <w:bottom w:w="0" w:type="dxa"/>
            <w:right w:w="0" w:type="dxa"/>
          </w:tblCellMar>
        </w:tblPrEx>
        <w:trPr>
          <w:trHeight w:val="450" w:hRule="atLeast"/>
        </w:trPr>
        <w:tc>
          <w:tcPr>
            <w:tcW w:w="1144"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57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7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7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7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7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74"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rPr>
          <w:trHeight w:val="450" w:hRule="atLeast"/>
        </w:trPr>
        <w:tc>
          <w:tcPr>
            <w:tcW w:w="1144"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7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7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7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7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7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574"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4549"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574"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4549"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b w:val="0"/>
                <w:bCs/>
                <w:color w:val="auto"/>
                <w:sz w:val="20"/>
                <w:szCs w:val="20"/>
                <w:highlight w:val="none"/>
              </w:rPr>
            </w:pPr>
            <w:r>
              <w:rPr>
                <w:rFonts w:hint="eastAsia" w:ascii="宋体" w:hAnsi="宋体" w:eastAsia="宋体" w:cs="宋体"/>
                <w:b w:val="0"/>
                <w:bCs/>
                <w:i w:val="0"/>
                <w:color w:val="auto"/>
                <w:kern w:val="0"/>
                <w:sz w:val="20"/>
                <w:szCs w:val="20"/>
                <w:highlight w:val="none"/>
                <w:u w:val="none"/>
                <w:lang w:val="en-US" w:eastAsia="zh-CN" w:bidi="ar"/>
              </w:rPr>
              <w:t>6,550.60</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b w:val="0"/>
                <w:bCs/>
                <w:color w:val="auto"/>
                <w:sz w:val="20"/>
                <w:szCs w:val="20"/>
                <w:highlight w:val="none"/>
              </w:rPr>
            </w:pPr>
            <w:r>
              <w:rPr>
                <w:rFonts w:hint="eastAsia" w:ascii="宋体" w:hAnsi="宋体" w:eastAsia="宋体" w:cs="宋体"/>
                <w:b w:val="0"/>
                <w:bCs/>
                <w:i w:val="0"/>
                <w:color w:val="auto"/>
                <w:kern w:val="0"/>
                <w:sz w:val="20"/>
                <w:szCs w:val="20"/>
                <w:highlight w:val="none"/>
                <w:u w:val="none"/>
                <w:lang w:val="en-US" w:eastAsia="zh-CN" w:bidi="ar"/>
              </w:rPr>
              <w:t>1,670.50</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b w:val="0"/>
                <w:bCs/>
                <w:color w:val="auto"/>
                <w:sz w:val="20"/>
                <w:szCs w:val="20"/>
                <w:highlight w:val="none"/>
              </w:rPr>
            </w:pPr>
            <w:r>
              <w:rPr>
                <w:rFonts w:hint="eastAsia" w:ascii="宋体" w:hAnsi="宋体" w:eastAsia="宋体" w:cs="宋体"/>
                <w:b w:val="0"/>
                <w:bCs/>
                <w:i w:val="0"/>
                <w:color w:val="auto"/>
                <w:kern w:val="0"/>
                <w:sz w:val="20"/>
                <w:szCs w:val="20"/>
                <w:highlight w:val="none"/>
                <w:u w:val="none"/>
                <w:lang w:val="en-US" w:eastAsia="zh-CN" w:bidi="ar"/>
              </w:rPr>
              <w:t>4,880.10</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一般公共服务支出</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20129</w:t>
            </w:r>
          </w:p>
        </w:tc>
        <w:tc>
          <w:tcPr>
            <w:tcW w:w="34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群众团体事务</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2012906</w:t>
            </w:r>
          </w:p>
        </w:tc>
        <w:tc>
          <w:tcPr>
            <w:tcW w:w="34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工会事务</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w:t>
            </w:r>
          </w:p>
        </w:tc>
        <w:tc>
          <w:tcPr>
            <w:tcW w:w="34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社会保障和就业支出</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6,526.58</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1,646.47</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4,880.10</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20805</w:t>
            </w:r>
          </w:p>
        </w:tc>
        <w:tc>
          <w:tcPr>
            <w:tcW w:w="34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行政事业单位养老支出</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155.69</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155.69</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2080501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行政单位离退休</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9.91</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9.91</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2080502</w:t>
            </w:r>
          </w:p>
        </w:tc>
        <w:tc>
          <w:tcPr>
            <w:tcW w:w="34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事业单位离退休</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121.40</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121.40</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2080505</w:t>
            </w:r>
          </w:p>
        </w:tc>
        <w:tc>
          <w:tcPr>
            <w:tcW w:w="34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机关事业单位基本养老保险缴费支出</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24.38</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24.38</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20808</w:t>
            </w:r>
          </w:p>
        </w:tc>
        <w:tc>
          <w:tcPr>
            <w:tcW w:w="34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抚恤</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172.04</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168.24</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3.80</w:t>
            </w: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2080801</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死亡抚恤</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122</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122</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2080804</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优抚事业单位支出</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46.24</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46.24</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2080899</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其他优抚支出</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3.80</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3.80</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退役安置</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4,542.68</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127.10</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4,415.58</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2080901</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退役士兵安置</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125.49</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125.49</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2080902</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军队移交政府的离退休人员安置</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1,696.33</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1,696.33</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2080903</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军队移交政府离退休干部管理机构</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363.10</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127.10</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236</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2080904</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退役士兵管理教育</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60.67</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60.67</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2080905</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军队转业干部安置</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1,685</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1,685</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2080999</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其他退役安置支出</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612.09</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612.09</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20820</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临时救助</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11.98</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11.98</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2082001</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临时救助支出</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11.98</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11.98</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20828</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退役军人管理事务</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1,644.19</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1,195.45</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448.75</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2082801</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行政运行</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457.52</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457.52</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2082802</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一般行政管理事务</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258.57</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258.57</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2082804</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拥军优属</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171.42</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171.42</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2082850</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事业运行</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737.93</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737.93</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2082899</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其他退役军人事务管理支出</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18.75</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18.75</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卫生健康支出</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21.18</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21.18</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21011</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行政事业单位医疗</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21.18</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21.18</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2101101</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行政单位医疗</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7.28</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7.28</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2101102</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事业单位医疗</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5.58</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5.58</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44"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2101103</w:t>
            </w:r>
          </w:p>
        </w:tc>
        <w:tc>
          <w:tcPr>
            <w:tcW w:w="340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公务员医疗补助</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8.32</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8.32</w:t>
            </w: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574"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30"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注：本表反映部门本年度各项支出情况。本表金额转换为万元时，因四舍五入可能存在尾差。</w:t>
            </w:r>
          </w:p>
        </w:tc>
      </w:tr>
    </w:tbl>
    <w:p>
      <w:pPr>
        <w:shd w:val="clear" w:color="auto" w:fill="auto"/>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59" w:type="dxa"/>
        <w:tblInd w:w="0" w:type="dxa"/>
        <w:tblLayout w:type="fixed"/>
        <w:tblCellMar>
          <w:top w:w="0" w:type="dxa"/>
          <w:left w:w="0" w:type="dxa"/>
          <w:bottom w:w="0" w:type="dxa"/>
          <w:right w:w="0" w:type="dxa"/>
        </w:tblCellMar>
      </w:tblPr>
      <w:tblGrid>
        <w:gridCol w:w="3417"/>
        <w:gridCol w:w="623"/>
        <w:gridCol w:w="1245"/>
        <w:gridCol w:w="180"/>
        <w:gridCol w:w="2760"/>
        <w:gridCol w:w="891"/>
        <w:gridCol w:w="924"/>
        <w:gridCol w:w="1459"/>
        <w:gridCol w:w="1260"/>
        <w:gridCol w:w="1300"/>
      </w:tblGrid>
      <w:tr>
        <w:tblPrEx>
          <w:tblCellMar>
            <w:top w:w="0" w:type="dxa"/>
            <w:left w:w="0" w:type="dxa"/>
            <w:bottom w:w="0" w:type="dxa"/>
            <w:right w:w="0" w:type="dxa"/>
          </w:tblCellMar>
        </w:tblPrEx>
        <w:trPr>
          <w:trHeight w:val="360" w:hRule="atLeast"/>
        </w:trPr>
        <w:tc>
          <w:tcPr>
            <w:tcW w:w="12759" w:type="dxa"/>
            <w:gridSpan w:val="9"/>
            <w:tcBorders>
              <w:top w:val="nil"/>
              <w:left w:val="nil"/>
              <w:bottom w:val="nil"/>
              <w:right w:val="nil"/>
            </w:tcBorders>
            <w:noWrap/>
            <w:tcMar>
              <w:top w:w="15" w:type="dxa"/>
              <w:left w:w="15" w:type="dxa"/>
              <w:right w:w="15" w:type="dxa"/>
            </w:tcMar>
            <w:vAlign w:val="center"/>
          </w:tcPr>
          <w:p>
            <w:pPr>
              <w:widowControl/>
              <w:shd w:val="clear" w:color="auto" w:fill="auto"/>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财政拨款收入支出决算总表</w:t>
            </w:r>
          </w:p>
        </w:tc>
        <w:tc>
          <w:tcPr>
            <w:tcW w:w="1300" w:type="dxa"/>
            <w:tcBorders>
              <w:top w:val="nil"/>
              <w:left w:val="nil"/>
              <w:bottom w:val="nil"/>
              <w:right w:val="nil"/>
            </w:tcBorders>
            <w:noWrap w:val="0"/>
            <w:vAlign w:val="top"/>
          </w:tcPr>
          <w:p>
            <w:pPr>
              <w:widowControl/>
              <w:shd w:val="clear" w:color="auto" w:fill="auto"/>
              <w:jc w:val="center"/>
              <w:textAlignment w:val="center"/>
              <w:rPr>
                <w:rFonts w:hint="eastAsia" w:ascii="华文中宋" w:hAnsi="华文中宋" w:eastAsia="华文中宋" w:cs="华文中宋"/>
                <w:color w:val="auto"/>
                <w:kern w:val="0"/>
                <w:sz w:val="32"/>
                <w:szCs w:val="32"/>
                <w:highlight w:val="none"/>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623"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425" w:type="dxa"/>
            <w:gridSpan w:val="2"/>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2760"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891"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924"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459"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wordWrap w:val="0"/>
              <w:jc w:val="right"/>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w:t>
            </w:r>
            <w:r>
              <w:rPr>
                <w:rFonts w:ascii="宋体" w:hAnsi="宋体" w:cs="宋体"/>
                <w:color w:val="auto"/>
                <w:sz w:val="20"/>
                <w:szCs w:val="20"/>
                <w:highlight w:val="none"/>
              </w:rPr>
              <w:t xml:space="preserve">       </w:t>
            </w:r>
          </w:p>
        </w:tc>
        <w:tc>
          <w:tcPr>
            <w:tcW w:w="1260" w:type="dxa"/>
            <w:tcBorders>
              <w:top w:val="nil"/>
              <w:left w:val="nil"/>
              <w:bottom w:val="nil"/>
              <w:right w:val="nil"/>
            </w:tcBorders>
            <w:shd w:val="clear" w:color="auto" w:fill="FFFFFF"/>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kern w:val="0"/>
                <w:sz w:val="20"/>
                <w:szCs w:val="20"/>
                <w:highlight w:val="none"/>
                <w:lang w:bidi="ar"/>
              </w:rPr>
            </w:pPr>
          </w:p>
        </w:tc>
        <w:tc>
          <w:tcPr>
            <w:tcW w:w="1300" w:type="dxa"/>
            <w:tcBorders>
              <w:top w:val="nil"/>
              <w:left w:val="nil"/>
              <w:bottom w:val="nil"/>
              <w:right w:val="nil"/>
            </w:tcBorders>
            <w:shd w:val="clear" w:color="auto" w:fill="FFFFFF"/>
            <w:noWrap w:val="0"/>
            <w:vAlign w:val="center"/>
          </w:tcPr>
          <w:p>
            <w:pPr>
              <w:widowControl/>
              <w:shd w:val="clear" w:color="auto" w:fill="auto"/>
              <w:jc w:val="righ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公开04表</w:t>
            </w:r>
          </w:p>
        </w:tc>
      </w:tr>
      <w:tr>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部门：许昌市退役军人事务局</w:t>
            </w:r>
          </w:p>
        </w:tc>
        <w:tc>
          <w:tcPr>
            <w:tcW w:w="623"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425" w:type="dxa"/>
            <w:gridSpan w:val="2"/>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2760"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891"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924"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459" w:type="dxa"/>
            <w:tcBorders>
              <w:top w:val="nil"/>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260" w:type="dxa"/>
            <w:tcBorders>
              <w:top w:val="nil"/>
              <w:left w:val="nil"/>
              <w:bottom w:val="nil"/>
              <w:right w:val="nil"/>
            </w:tcBorders>
            <w:shd w:val="clear" w:color="auto" w:fill="FFFFFF"/>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kern w:val="0"/>
                <w:sz w:val="20"/>
                <w:szCs w:val="20"/>
                <w:highlight w:val="none"/>
                <w:lang w:bidi="ar"/>
              </w:rPr>
            </w:pPr>
          </w:p>
        </w:tc>
        <w:tc>
          <w:tcPr>
            <w:tcW w:w="1300" w:type="dxa"/>
            <w:tcBorders>
              <w:top w:val="nil"/>
              <w:left w:val="nil"/>
              <w:bottom w:val="nil"/>
              <w:right w:val="nil"/>
            </w:tcBorders>
            <w:shd w:val="clear" w:color="auto" w:fill="FFFFFF"/>
            <w:noWrap w:val="0"/>
            <w:vAlign w:val="center"/>
          </w:tcPr>
          <w:p>
            <w:pPr>
              <w:widowControl/>
              <w:shd w:val="clear" w:color="auto" w:fill="auto"/>
              <w:jc w:val="righ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val="en-US"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02" w:hRule="atLeast"/>
        </w:trPr>
        <w:tc>
          <w:tcPr>
            <w:tcW w:w="5285"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收入</w:t>
            </w:r>
          </w:p>
        </w:tc>
        <w:tc>
          <w:tcPr>
            <w:tcW w:w="8774"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支出</w:t>
            </w:r>
          </w:p>
        </w:tc>
      </w:tr>
      <w:tr>
        <w:tblPrEx>
          <w:tblCellMar>
            <w:top w:w="0" w:type="dxa"/>
            <w:left w:w="0" w:type="dxa"/>
            <w:bottom w:w="0" w:type="dxa"/>
            <w:right w:w="0" w:type="dxa"/>
          </w:tblCellMar>
        </w:tblPrEx>
        <w:trPr>
          <w:trHeight w:val="755"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行次</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金额</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行次</w:t>
            </w: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一般公共预算财政拨款</w:t>
            </w:r>
          </w:p>
        </w:tc>
        <w:tc>
          <w:tcPr>
            <w:tcW w:w="126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政府性基金预算财政拨款</w:t>
            </w:r>
          </w:p>
        </w:tc>
        <w:tc>
          <w:tcPr>
            <w:tcW w:w="1300" w:type="dxa"/>
            <w:tcBorders>
              <w:top w:val="single" w:color="000000" w:sz="4" w:space="0"/>
              <w:left w:val="single" w:color="000000" w:sz="4" w:space="0"/>
              <w:bottom w:val="single" w:color="000000" w:sz="4" w:space="0"/>
              <w:right w:val="single" w:color="000000" w:sz="8" w:space="0"/>
            </w:tcBorders>
            <w:noWrap w:val="0"/>
            <w:vAlign w:val="center"/>
          </w:tcPr>
          <w:p>
            <w:pPr>
              <w:widowControl/>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sz w:val="20"/>
                <w:szCs w:val="20"/>
                <w:highlight w:val="none"/>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    次</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    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26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300"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shd w:val="clear" w:color="auto" w:fill="auto"/>
              <w:jc w:val="center"/>
              <w:textAlignment w:val="center"/>
              <w:rPr>
                <w:rFonts w:hint="eastAsia" w:ascii="宋体" w:hAnsi="宋体" w:cs="宋体"/>
                <w:color w:val="auto"/>
                <w:kern w:val="0"/>
                <w:sz w:val="20"/>
                <w:szCs w:val="20"/>
                <w:highlight w:val="none"/>
                <w:lang w:bidi="ar"/>
              </w:rPr>
            </w:pPr>
            <w:r>
              <w:rPr>
                <w:rFonts w:ascii="宋体" w:hAnsi="宋体" w:cs="宋体"/>
                <w:color w:val="auto"/>
                <w:kern w:val="0"/>
                <w:sz w:val="20"/>
                <w:szCs w:val="20"/>
                <w:highlight w:val="none"/>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一、一般公共预算财政拨款</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4,991.72</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一、一般公共服务支出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33</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二、政府性基金预算财政拨款</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二、外交支出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34</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三、国有资本经营预算财政拨款</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三、国防支出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35</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四、公共安全支出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36</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五、教育支出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37</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六、科学技术支出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38</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default" w:ascii="宋体" w:hAnsi="宋体" w:cs="宋体"/>
                <w:color w:val="auto"/>
                <w:kern w:val="0"/>
                <w:sz w:val="20"/>
                <w:szCs w:val="20"/>
                <w:highlight w:val="none"/>
                <w:lang w:val="en" w:bidi="ar"/>
              </w:rPr>
            </w:pPr>
            <w:r>
              <w:rPr>
                <w:rFonts w:hint="eastAsia" w:ascii="宋体" w:hAnsi="宋体" w:eastAsia="宋体" w:cs="宋体"/>
                <w:i w:val="0"/>
                <w:color w:val="auto"/>
                <w:kern w:val="0"/>
                <w:sz w:val="20"/>
                <w:szCs w:val="20"/>
                <w:highlight w:val="none"/>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七、文化旅游体育与传媒支出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39</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八、社会保障和就业支出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40</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6,441.58</w:t>
            </w: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6,441.58</w:t>
            </w: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九、卫生健康支出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41</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21.18</w:t>
            </w: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21.18</w:t>
            </w: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十、节能环保支出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42</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十一、城乡社区支出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43</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9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十二、农林水支出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44</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十三、交通运输支出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45</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十四、资源勘探工业信息等支出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46</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十五、商业服务业等支出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47</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十六、金融支出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48</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十七、援助其他地区支出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49</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十八、自然资源海洋气象等支出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50</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19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十九、住房保障支出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51</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二十、粮油物资储备支出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52</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21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二十一、国有资本经营预算支出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53</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22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二十二、灾害防治及应急管理支出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54</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23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二十三、其他支出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55</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24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二十四、债务还本支出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56</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二十五、债务付息支出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57</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二十六、抗疫特别国债安排的支出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58</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1300" w:type="dxa"/>
            <w:tcBorders>
              <w:top w:val="single" w:color="000000" w:sz="4" w:space="0"/>
              <w:left w:val="single" w:color="000000" w:sz="4" w:space="0"/>
              <w:bottom w:val="single" w:color="000000" w:sz="4" w:space="0"/>
              <w:right w:val="single" w:color="000000" w:sz="8" w:space="0"/>
            </w:tcBorders>
            <w:noWrap w:val="0"/>
            <w:vAlign w:val="top"/>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shd w:val="clear" w:color="auto" w:fill="auto"/>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本年收入合计</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u w:val="none"/>
                <w:lang w:val="en-US" w:eastAsia="zh-CN" w:bidi="ar"/>
              </w:rPr>
              <w:t>4,991.72</w:t>
            </w:r>
          </w:p>
        </w:tc>
        <w:tc>
          <w:tcPr>
            <w:tcW w:w="294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shd w:val="clear" w:color="auto" w:fill="auto"/>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本年支出合计</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59</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6,465.61</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6,465.61</w:t>
            </w:r>
          </w:p>
        </w:tc>
        <w:tc>
          <w:tcPr>
            <w:tcW w:w="126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shd w:val="clear" w:color="auto" w:fill="auto"/>
              <w:rPr>
                <w:rFonts w:hint="eastAsia" w:ascii="宋体" w:hAnsi="宋体" w:cs="宋体"/>
                <w:b/>
                <w:color w:val="auto"/>
                <w:sz w:val="20"/>
                <w:szCs w:val="20"/>
                <w:highlight w:val="none"/>
              </w:rPr>
            </w:pPr>
          </w:p>
        </w:tc>
        <w:tc>
          <w:tcPr>
            <w:tcW w:w="1300" w:type="dxa"/>
            <w:tcBorders>
              <w:top w:val="single" w:color="000000" w:sz="4" w:space="0"/>
              <w:left w:val="nil"/>
              <w:bottom w:val="single" w:color="000000" w:sz="4" w:space="0"/>
              <w:right w:val="single" w:color="000000" w:sz="8" w:space="0"/>
            </w:tcBorders>
            <w:noWrap w:val="0"/>
            <w:vAlign w:val="top"/>
          </w:tcPr>
          <w:p>
            <w:pPr>
              <w:shd w:val="clear" w:color="auto" w:fill="auto"/>
              <w:rPr>
                <w:rFonts w:hint="eastAsia" w:ascii="宋体" w:hAnsi="宋体" w:cs="宋体"/>
                <w:b/>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年初</w:t>
            </w:r>
            <w:r>
              <w:rPr>
                <w:rFonts w:hint="eastAsia" w:ascii="宋体" w:hAnsi="宋体" w:cs="宋体"/>
                <w:color w:val="auto"/>
                <w:kern w:val="0"/>
                <w:sz w:val="20"/>
                <w:szCs w:val="20"/>
                <w:highlight w:val="none"/>
                <w:lang w:bidi="ar"/>
              </w:rPr>
              <w:t>财政拨款结转和结余</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u w:val="none"/>
                <w:lang w:val="en-US" w:eastAsia="zh-CN" w:bidi="ar"/>
              </w:rPr>
              <w:t>1,473.89</w:t>
            </w:r>
          </w:p>
        </w:tc>
        <w:tc>
          <w:tcPr>
            <w:tcW w:w="294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年末财政拨款结转和结余</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60</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300" w:type="dxa"/>
            <w:tcBorders>
              <w:top w:val="single" w:color="000000" w:sz="4" w:space="0"/>
              <w:left w:val="nil"/>
              <w:bottom w:val="single" w:color="000000" w:sz="4" w:space="0"/>
              <w:right w:val="single" w:color="000000" w:sz="8" w:space="0"/>
            </w:tcBorders>
            <w:noWrap w:val="0"/>
            <w:vAlign w:val="top"/>
          </w:tcPr>
          <w:p>
            <w:pPr>
              <w:shd w:val="clear" w:color="auto" w:fill="auto"/>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一般公共预算财政拨款</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u w:val="none"/>
                <w:lang w:val="en-US" w:eastAsia="zh-CN" w:bidi="ar"/>
              </w:rPr>
              <w:t>1,473.89</w:t>
            </w:r>
          </w:p>
        </w:tc>
        <w:tc>
          <w:tcPr>
            <w:tcW w:w="294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61</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300" w:type="dxa"/>
            <w:tcBorders>
              <w:top w:val="single" w:color="000000" w:sz="4" w:space="0"/>
              <w:left w:val="nil"/>
              <w:bottom w:val="single" w:color="000000" w:sz="4" w:space="0"/>
              <w:right w:val="single" w:color="000000" w:sz="8" w:space="0"/>
            </w:tcBorders>
            <w:noWrap w:val="0"/>
            <w:vAlign w:val="top"/>
          </w:tcPr>
          <w:p>
            <w:pPr>
              <w:shd w:val="clear" w:color="auto" w:fill="auto"/>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政府性基金预算财政拨款</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w:t>
            </w:r>
          </w:p>
        </w:tc>
        <w:tc>
          <w:tcPr>
            <w:tcW w:w="124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62</w:t>
            </w:r>
          </w:p>
        </w:tc>
        <w:tc>
          <w:tcPr>
            <w:tcW w:w="924" w:type="dxa"/>
            <w:tcBorders>
              <w:top w:val="single" w:color="000000" w:sz="4" w:space="0"/>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nil"/>
              <w:bottom w:val="nil"/>
              <w:right w:val="single" w:color="000000" w:sz="8" w:space="0"/>
            </w:tcBorders>
            <w:noWrap/>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300" w:type="dxa"/>
            <w:tcBorders>
              <w:top w:val="single" w:color="000000" w:sz="4" w:space="0"/>
              <w:left w:val="nil"/>
              <w:bottom w:val="nil"/>
              <w:right w:val="single" w:color="000000" w:sz="8" w:space="0"/>
            </w:tcBorders>
            <w:noWrap w:val="0"/>
            <w:vAlign w:val="top"/>
          </w:tcPr>
          <w:p>
            <w:pPr>
              <w:shd w:val="clear" w:color="auto" w:fill="auto"/>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       国有资本经营预算财政拨款</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w:t>
            </w:r>
          </w:p>
        </w:tc>
        <w:tc>
          <w:tcPr>
            <w:tcW w:w="124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hd w:val="clear" w:color="auto" w:fill="auto"/>
              <w:jc w:val="right"/>
              <w:rPr>
                <w:rFonts w:hint="eastAsia" w:ascii="宋体" w:hAnsi="宋体" w:eastAsia="宋体" w:cs="宋体"/>
                <w:color w:val="auto"/>
                <w:kern w:val="0"/>
                <w:sz w:val="20"/>
                <w:szCs w:val="20"/>
                <w:highlight w:val="none"/>
                <w:lang w:val="en-US" w:eastAsia="zh-CN" w:bidi="ar"/>
              </w:rPr>
            </w:pPr>
          </w:p>
        </w:tc>
        <w:tc>
          <w:tcPr>
            <w:tcW w:w="2940" w:type="dxa"/>
            <w:gridSpan w:val="2"/>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63</w:t>
            </w:r>
          </w:p>
        </w:tc>
        <w:tc>
          <w:tcPr>
            <w:tcW w:w="924" w:type="dxa"/>
            <w:tcBorders>
              <w:top w:val="single" w:color="000000" w:sz="4" w:space="0"/>
              <w:left w:val="nil"/>
              <w:bottom w:val="nil"/>
              <w:right w:val="nil"/>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1260" w:type="dxa"/>
            <w:tcBorders>
              <w:top w:val="single" w:color="000000" w:sz="4" w:space="0"/>
              <w:left w:val="nil"/>
              <w:bottom w:val="nil"/>
              <w:right w:val="single" w:color="000000" w:sz="8" w:space="0"/>
            </w:tcBorders>
            <w:noWrap/>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300" w:type="dxa"/>
            <w:tcBorders>
              <w:top w:val="single" w:color="000000" w:sz="4" w:space="0"/>
              <w:left w:val="nil"/>
              <w:bottom w:val="nil"/>
              <w:right w:val="single" w:color="000000" w:sz="8" w:space="0"/>
            </w:tcBorders>
            <w:noWrap w:val="0"/>
            <w:vAlign w:val="top"/>
          </w:tcPr>
          <w:p>
            <w:pPr>
              <w:shd w:val="clear" w:color="auto" w:fill="auto"/>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总计</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32</w:t>
            </w:r>
          </w:p>
        </w:tc>
        <w:tc>
          <w:tcPr>
            <w:tcW w:w="1245"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u w:val="none"/>
                <w:lang w:val="en-US" w:eastAsia="zh-CN" w:bidi="ar"/>
              </w:rPr>
              <w:t>6,465.61</w:t>
            </w:r>
          </w:p>
        </w:tc>
        <w:tc>
          <w:tcPr>
            <w:tcW w:w="2940" w:type="dxa"/>
            <w:gridSpan w:val="2"/>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shd w:val="clear" w:color="auto" w:fill="auto"/>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总计</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64</w:t>
            </w:r>
          </w:p>
        </w:tc>
        <w:tc>
          <w:tcPr>
            <w:tcW w:w="924" w:type="dxa"/>
            <w:tcBorders>
              <w:top w:val="single" w:color="000000"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6,465.61</w:t>
            </w:r>
          </w:p>
        </w:tc>
        <w:tc>
          <w:tcPr>
            <w:tcW w:w="145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6,465.61</w:t>
            </w:r>
          </w:p>
        </w:tc>
        <w:tc>
          <w:tcPr>
            <w:tcW w:w="1260"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shd w:val="clear" w:color="auto" w:fill="auto"/>
              <w:rPr>
                <w:rFonts w:hint="eastAsia" w:ascii="宋体" w:hAnsi="宋体" w:cs="宋体"/>
                <w:b/>
                <w:color w:val="auto"/>
                <w:sz w:val="20"/>
                <w:szCs w:val="20"/>
                <w:highlight w:val="none"/>
              </w:rPr>
            </w:pPr>
          </w:p>
        </w:tc>
        <w:tc>
          <w:tcPr>
            <w:tcW w:w="1300" w:type="dxa"/>
            <w:tcBorders>
              <w:top w:val="single" w:color="000000" w:sz="4" w:space="0"/>
              <w:left w:val="nil"/>
              <w:bottom w:val="single" w:color="000000" w:sz="8" w:space="0"/>
              <w:right w:val="single" w:color="000000" w:sz="8" w:space="0"/>
            </w:tcBorders>
            <w:noWrap w:val="0"/>
            <w:vAlign w:val="top"/>
          </w:tcPr>
          <w:p>
            <w:pPr>
              <w:shd w:val="clear" w:color="auto" w:fill="auto"/>
              <w:rPr>
                <w:rFonts w:hint="eastAsia" w:ascii="宋体" w:hAnsi="宋体" w:cs="宋体"/>
                <w:b/>
                <w:color w:val="auto"/>
                <w:sz w:val="20"/>
                <w:szCs w:val="20"/>
                <w:highlight w:val="none"/>
              </w:rPr>
            </w:pPr>
          </w:p>
        </w:tc>
      </w:tr>
      <w:tr>
        <w:tblPrEx>
          <w:tblCellMar>
            <w:top w:w="0" w:type="dxa"/>
            <w:left w:w="0" w:type="dxa"/>
            <w:bottom w:w="0" w:type="dxa"/>
            <w:right w:w="0" w:type="dxa"/>
          </w:tblCellMar>
        </w:tblPrEx>
        <w:trPr>
          <w:trHeight w:val="585" w:hRule="atLeast"/>
        </w:trPr>
        <w:tc>
          <w:tcPr>
            <w:tcW w:w="12759" w:type="dxa"/>
            <w:gridSpan w:val="9"/>
            <w:tcBorders>
              <w:top w:val="single" w:color="000000" w:sz="8" w:space="0"/>
              <w:left w:val="nil"/>
              <w:bottom w:val="nil"/>
              <w:right w:val="nil"/>
            </w:tcBorders>
            <w:noWrap w:val="0"/>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注：本表反映部门本年度一般公共预算财政拨款、政府性基金预算财政拨款和国有资本经营预算财政拨款的总收支和年末结转结余情况。本表金额转换为万元时，因四舍五入可能存在尾差。</w:t>
            </w:r>
          </w:p>
        </w:tc>
        <w:tc>
          <w:tcPr>
            <w:tcW w:w="1300" w:type="dxa"/>
            <w:tcBorders>
              <w:top w:val="single" w:color="000000" w:sz="8" w:space="0"/>
              <w:left w:val="nil"/>
              <w:bottom w:val="nil"/>
              <w:right w:val="nil"/>
            </w:tcBorders>
            <w:noWrap w:val="0"/>
            <w:vAlign w:val="top"/>
          </w:tcPr>
          <w:p>
            <w:pPr>
              <w:widowControl/>
              <w:shd w:val="clear" w:color="auto" w:fill="auto"/>
              <w:jc w:val="left"/>
              <w:textAlignment w:val="center"/>
              <w:rPr>
                <w:rFonts w:hint="eastAsia" w:ascii="宋体" w:hAnsi="宋体" w:cs="宋体"/>
                <w:color w:val="auto"/>
                <w:kern w:val="0"/>
                <w:sz w:val="20"/>
                <w:szCs w:val="20"/>
                <w:highlight w:val="none"/>
                <w:lang w:bidi="ar"/>
              </w:rPr>
            </w:pPr>
          </w:p>
        </w:tc>
      </w:tr>
    </w:tbl>
    <w:p>
      <w:pPr>
        <w:shd w:val="clear" w:color="auto" w:fill="auto"/>
        <w:rPr>
          <w:rFonts w:hint="eastAsia" w:ascii="仿宋_GB2312" w:hAnsi="仿宋_GB2312" w:eastAsia="仿宋_GB2312" w:cs="仿宋_GB2312"/>
          <w:color w:val="auto"/>
          <w:sz w:val="32"/>
          <w:szCs w:val="32"/>
          <w:highlight w:val="none"/>
        </w:rPr>
        <w:sectPr>
          <w:pgSz w:w="16838" w:h="11906" w:orient="landscape"/>
          <w:pgMar w:top="1474" w:right="1440" w:bottom="1587"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3541"/>
        <w:gridCol w:w="3011"/>
        <w:gridCol w:w="3011"/>
        <w:gridCol w:w="301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shd w:val="clear" w:color="auto" w:fill="auto"/>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3541"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3011"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3011"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3011" w:type="dxa"/>
            <w:tcBorders>
              <w:top w:val="nil"/>
              <w:left w:val="nil"/>
              <w:bottom w:val="nil"/>
              <w:right w:val="nil"/>
            </w:tcBorders>
            <w:shd w:val="clear" w:color="auto" w:fill="FFFFFF"/>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w:t>
            </w:r>
            <w:r>
              <w:rPr>
                <w:rStyle w:val="16"/>
                <w:rFonts w:hint="default"/>
                <w:color w:val="auto"/>
                <w:highlight w:val="none"/>
                <w:lang w:bidi="ar"/>
              </w:rPr>
              <w:t>5表</w:t>
            </w:r>
          </w:p>
        </w:tc>
      </w:tr>
      <w:tr>
        <w:tblPrEx>
          <w:tblCellMar>
            <w:top w:w="0" w:type="dxa"/>
            <w:left w:w="0" w:type="dxa"/>
            <w:bottom w:w="0" w:type="dxa"/>
            <w:right w:w="0" w:type="dxa"/>
          </w:tblCellMar>
        </w:tblPrEx>
        <w:trPr>
          <w:trHeight w:val="300" w:hRule="atLeast"/>
        </w:trPr>
        <w:tc>
          <w:tcPr>
            <w:tcW w:w="4955" w:type="dxa"/>
            <w:gridSpan w:val="3"/>
            <w:tcBorders>
              <w:top w:val="nil"/>
              <w:left w:val="nil"/>
              <w:bottom w:val="nil"/>
              <w:right w:val="nil"/>
            </w:tcBorders>
            <w:shd w:val="clear" w:color="auto" w:fill="FFFFFF"/>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部门：许昌市退役军人事务局</w:t>
            </w:r>
          </w:p>
        </w:tc>
        <w:tc>
          <w:tcPr>
            <w:tcW w:w="3011"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3011"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3011" w:type="dxa"/>
            <w:tcBorders>
              <w:top w:val="nil"/>
              <w:left w:val="nil"/>
              <w:bottom w:val="nil"/>
              <w:right w:val="nil"/>
            </w:tcBorders>
            <w:shd w:val="clear" w:color="auto" w:fill="FFFFFF"/>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05" w:hRule="atLeast"/>
        </w:trPr>
        <w:tc>
          <w:tcPr>
            <w:tcW w:w="4955"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项 </w:t>
            </w:r>
            <w:r>
              <w:rPr>
                <w:rStyle w:val="13"/>
                <w:rFonts w:hint="default"/>
                <w:color w:val="auto"/>
                <w:sz w:val="20"/>
                <w:szCs w:val="20"/>
                <w:highlight w:val="none"/>
                <w:lang w:bidi="ar"/>
              </w:rPr>
              <w:t xml:space="preserve">   </w:t>
            </w:r>
            <w:r>
              <w:rPr>
                <w:rStyle w:val="15"/>
                <w:rFonts w:hint="default"/>
                <w:color w:val="auto"/>
                <w:sz w:val="20"/>
                <w:szCs w:val="20"/>
                <w:highlight w:val="none"/>
                <w:lang w:bidi="ar"/>
              </w:rPr>
              <w:t>目</w:t>
            </w:r>
          </w:p>
        </w:tc>
        <w:tc>
          <w:tcPr>
            <w:tcW w:w="9033"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35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3011"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3011"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301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35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3011"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3011"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301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312"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35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3011"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3011"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301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495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tblPrEx>
          <w:tblCellMar>
            <w:top w:w="0" w:type="dxa"/>
            <w:left w:w="0" w:type="dxa"/>
            <w:bottom w:w="0" w:type="dxa"/>
            <w:right w:w="0" w:type="dxa"/>
          </w:tblCellMar>
        </w:tblPrEx>
        <w:trPr>
          <w:trHeight w:val="450" w:hRule="atLeast"/>
        </w:trPr>
        <w:tc>
          <w:tcPr>
            <w:tcW w:w="495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b w:val="0"/>
                <w:bCs/>
                <w:color w:val="auto"/>
                <w:sz w:val="20"/>
                <w:szCs w:val="20"/>
                <w:highlight w:val="none"/>
              </w:rPr>
            </w:pPr>
            <w:r>
              <w:rPr>
                <w:rFonts w:hint="eastAsia" w:ascii="宋体" w:hAnsi="宋体" w:eastAsia="宋体" w:cs="宋体"/>
                <w:b w:val="0"/>
                <w:bCs/>
                <w:i w:val="0"/>
                <w:color w:val="auto"/>
                <w:kern w:val="0"/>
                <w:sz w:val="20"/>
                <w:szCs w:val="20"/>
                <w:highlight w:val="none"/>
                <w:u w:val="none"/>
                <w:lang w:val="en-US" w:eastAsia="zh-CN" w:bidi="ar"/>
              </w:rPr>
              <w:t>6,465.61</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b w:val="0"/>
                <w:bCs/>
                <w:color w:val="auto"/>
                <w:sz w:val="20"/>
                <w:szCs w:val="20"/>
                <w:highlight w:val="none"/>
              </w:rPr>
            </w:pPr>
            <w:r>
              <w:rPr>
                <w:rFonts w:hint="eastAsia" w:ascii="宋体" w:hAnsi="宋体" w:eastAsia="宋体" w:cs="宋体"/>
                <w:b w:val="0"/>
                <w:bCs/>
                <w:i w:val="0"/>
                <w:color w:val="auto"/>
                <w:kern w:val="0"/>
                <w:sz w:val="20"/>
                <w:szCs w:val="20"/>
                <w:highlight w:val="none"/>
                <w:u w:val="none"/>
                <w:lang w:val="en-US" w:eastAsia="zh-CN" w:bidi="ar"/>
              </w:rPr>
              <w:t>1,670.50</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b w:val="0"/>
                <w:bCs/>
                <w:color w:val="auto"/>
                <w:sz w:val="20"/>
                <w:szCs w:val="20"/>
                <w:highlight w:val="none"/>
              </w:rPr>
            </w:pPr>
            <w:r>
              <w:rPr>
                <w:rFonts w:hint="eastAsia" w:ascii="宋体" w:hAnsi="宋体" w:eastAsia="宋体" w:cs="宋体"/>
                <w:b w:val="0"/>
                <w:bCs/>
                <w:i w:val="0"/>
                <w:color w:val="auto"/>
                <w:kern w:val="0"/>
                <w:sz w:val="20"/>
                <w:szCs w:val="20"/>
                <w:highlight w:val="none"/>
                <w:u w:val="none"/>
                <w:lang w:val="en-US" w:eastAsia="zh-CN" w:bidi="ar"/>
              </w:rPr>
              <w:t>4,795.11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201</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一般公共服务支出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20129</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群众团体事务</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2012906</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工会事务</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2.85</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社会保障和就业支出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6,441.58</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1,646.47</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4,795.11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20805</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行政事业单位养老支出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155.69</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155.69</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2080501</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行政单位离退休</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9.91</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9.91</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2080502</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事业单位离退休</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121.40</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121.40</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2080505</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机关事业单位基本养老保险缴费支出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24.38</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24.38</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20808</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抚恤</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172.04</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168.24</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3.80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2080801</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死亡抚恤</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122</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122</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2080804</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优抚事业单位支出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46.24</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46.24</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2080899</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其他优抚支出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3.80</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3.80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退役安置</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4,457.68</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127.10</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4,330.58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2080901</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退役士兵安置</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125.49</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125.49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2080902</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军队移交政府的离退休人员安置</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1,611.33</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1,611.33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2080903</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军队移交政府离退休干部管理机构</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363.10</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127.10</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236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2080904</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退役士兵管理教育</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60.67</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60.67</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2080905</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军队转业干部安置</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1,685</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1,685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2080999</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其他退役安置支出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612.09</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612.09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20820</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临时救助</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11.98</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11.98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2082001</w:t>
            </w:r>
          </w:p>
        </w:tc>
        <w:tc>
          <w:tcPr>
            <w:tcW w:w="354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临时救助支出</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11.98</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c>
          <w:tcPr>
            <w:tcW w:w="30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11.98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w:t>
            </w:r>
          </w:p>
        </w:tc>
        <w:tc>
          <w:tcPr>
            <w:tcW w:w="354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退役军人管理事务</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1,644.19</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1,195.45</w:t>
            </w:r>
          </w:p>
        </w:tc>
        <w:tc>
          <w:tcPr>
            <w:tcW w:w="30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448.75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2082801</w:t>
            </w:r>
          </w:p>
        </w:tc>
        <w:tc>
          <w:tcPr>
            <w:tcW w:w="354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行政运行</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457.52</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457.52</w:t>
            </w:r>
          </w:p>
        </w:tc>
        <w:tc>
          <w:tcPr>
            <w:tcW w:w="30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2082802</w:t>
            </w:r>
          </w:p>
        </w:tc>
        <w:tc>
          <w:tcPr>
            <w:tcW w:w="354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一般行政管理事务</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258.57</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30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258.57</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2082804</w:t>
            </w:r>
          </w:p>
        </w:tc>
        <w:tc>
          <w:tcPr>
            <w:tcW w:w="354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拥军优属</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171.42</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30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171.42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2082850</w:t>
            </w:r>
          </w:p>
        </w:tc>
        <w:tc>
          <w:tcPr>
            <w:tcW w:w="354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事业运行</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737.93</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737.93</w:t>
            </w:r>
          </w:p>
        </w:tc>
        <w:tc>
          <w:tcPr>
            <w:tcW w:w="30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2082899</w:t>
            </w:r>
          </w:p>
        </w:tc>
        <w:tc>
          <w:tcPr>
            <w:tcW w:w="354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其他退役军人事务管理支出</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18.75</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30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18.75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w:t>
            </w:r>
          </w:p>
        </w:tc>
        <w:tc>
          <w:tcPr>
            <w:tcW w:w="354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卫生健康支出</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21.18</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21.18</w:t>
            </w:r>
          </w:p>
        </w:tc>
        <w:tc>
          <w:tcPr>
            <w:tcW w:w="30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21011</w:t>
            </w:r>
          </w:p>
        </w:tc>
        <w:tc>
          <w:tcPr>
            <w:tcW w:w="354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行政事业单位医疗</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21.18</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21.18</w:t>
            </w:r>
          </w:p>
        </w:tc>
        <w:tc>
          <w:tcPr>
            <w:tcW w:w="30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2101101</w:t>
            </w:r>
          </w:p>
        </w:tc>
        <w:tc>
          <w:tcPr>
            <w:tcW w:w="354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行政单位医疗</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7.28</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7.28</w:t>
            </w:r>
          </w:p>
        </w:tc>
        <w:tc>
          <w:tcPr>
            <w:tcW w:w="30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2101102</w:t>
            </w:r>
          </w:p>
        </w:tc>
        <w:tc>
          <w:tcPr>
            <w:tcW w:w="354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事业单位医疗</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5.58</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5.58</w:t>
            </w:r>
          </w:p>
        </w:tc>
        <w:tc>
          <w:tcPr>
            <w:tcW w:w="30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2101103</w:t>
            </w:r>
          </w:p>
        </w:tc>
        <w:tc>
          <w:tcPr>
            <w:tcW w:w="354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公务员医疗补助</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8.32</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8.32</w:t>
            </w:r>
          </w:p>
        </w:tc>
        <w:tc>
          <w:tcPr>
            <w:tcW w:w="30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注：本表反映部门本年度一般公共预算财政拨款支出情况。本表金额转换为万元时，因四舍五入可能存在尾差。</w:t>
            </w:r>
          </w:p>
        </w:tc>
      </w:tr>
    </w:tbl>
    <w:p>
      <w:pPr>
        <w:shd w:val="clear" w:color="auto" w:fill="auto"/>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114"/>
        <w:gridCol w:w="1399"/>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shd w:val="clear" w:color="auto" w:fill="auto"/>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3114"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399" w:type="dxa"/>
            <w:tcBorders>
              <w:top w:val="nil"/>
              <w:left w:val="nil"/>
              <w:bottom w:val="nil"/>
              <w:right w:val="nil"/>
            </w:tcBorders>
            <w:shd w:val="clear" w:color="auto" w:fill="FFFFFF"/>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公开06表</w:t>
            </w:r>
          </w:p>
        </w:tc>
      </w:tr>
      <w:tr>
        <w:tblPrEx>
          <w:tblCellMar>
            <w:top w:w="0" w:type="dxa"/>
            <w:left w:w="0" w:type="dxa"/>
            <w:bottom w:w="0" w:type="dxa"/>
            <w:right w:w="0" w:type="dxa"/>
          </w:tblCellMar>
        </w:tblPrEx>
        <w:trPr>
          <w:trHeight w:val="307" w:hRule="atLeast"/>
        </w:trPr>
        <w:tc>
          <w:tcPr>
            <w:tcW w:w="3793" w:type="dxa"/>
            <w:gridSpan w:val="2"/>
            <w:tcBorders>
              <w:top w:val="nil"/>
              <w:left w:val="nil"/>
              <w:bottom w:val="nil"/>
              <w:right w:val="nil"/>
            </w:tcBorders>
            <w:noWrap/>
            <w:tcMar>
              <w:top w:w="15" w:type="dxa"/>
              <w:left w:w="15" w:type="dxa"/>
              <w:right w:w="15" w:type="dxa"/>
            </w:tcMar>
            <w:vAlign w:val="center"/>
          </w:tcPr>
          <w:p>
            <w:pPr>
              <w:shd w:val="clear" w:color="auto" w:fill="auto"/>
              <w:rPr>
                <w:rFonts w:ascii="Arial" w:hAnsi="Arial" w:cs="Arial"/>
                <w:color w:val="auto"/>
                <w:sz w:val="20"/>
                <w:szCs w:val="20"/>
                <w:highlight w:val="none"/>
              </w:rPr>
            </w:pPr>
            <w:r>
              <w:rPr>
                <w:rFonts w:hint="eastAsia" w:ascii="宋体" w:hAnsi="宋体" w:cs="宋体"/>
                <w:color w:val="auto"/>
                <w:kern w:val="0"/>
                <w:sz w:val="20"/>
                <w:szCs w:val="20"/>
                <w:highlight w:val="none"/>
                <w:lang w:bidi="ar"/>
              </w:rPr>
              <w:t>部门</w:t>
            </w:r>
            <w:r>
              <w:rPr>
                <w:rFonts w:ascii="Arial" w:hAnsi="Arial" w:cs="Arial"/>
                <w:color w:val="auto"/>
                <w:kern w:val="0"/>
                <w:sz w:val="20"/>
                <w:szCs w:val="20"/>
                <w:highlight w:val="none"/>
                <w:lang w:bidi="ar"/>
              </w:rPr>
              <w:t>：</w:t>
            </w:r>
            <w:r>
              <w:rPr>
                <w:rFonts w:hint="eastAsia" w:ascii="宋体" w:hAnsi="宋体" w:cs="宋体"/>
                <w:color w:val="auto"/>
                <w:kern w:val="0"/>
                <w:sz w:val="20"/>
                <w:szCs w:val="20"/>
                <w:highlight w:val="none"/>
                <w:lang w:bidi="ar"/>
              </w:rPr>
              <w:t>许昌市退役军人事务局</w:t>
            </w:r>
          </w:p>
        </w:tc>
        <w:tc>
          <w:tcPr>
            <w:tcW w:w="938" w:type="dxa"/>
            <w:tcBorders>
              <w:top w:val="nil"/>
              <w:left w:val="nil"/>
              <w:bottom w:val="nil"/>
              <w:right w:val="nil"/>
            </w:tcBorders>
            <w:noWrap/>
            <w:tcMar>
              <w:top w:w="15" w:type="dxa"/>
              <w:left w:w="15" w:type="dxa"/>
              <w:right w:w="15" w:type="dxa"/>
            </w:tcMar>
            <w:vAlign w:val="center"/>
          </w:tcPr>
          <w:p>
            <w:pPr>
              <w:shd w:val="clear" w:color="auto" w:fill="auto"/>
              <w:rPr>
                <w:rFonts w:ascii="Arial" w:hAnsi="Arial" w:cs="Arial"/>
                <w:color w:val="auto"/>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shd w:val="clear" w:color="auto" w:fill="auto"/>
              <w:rPr>
                <w:rFonts w:ascii="Arial" w:hAnsi="Arial" w:cs="Arial"/>
                <w:color w:val="auto"/>
                <w:sz w:val="20"/>
                <w:szCs w:val="20"/>
                <w:highlight w:val="none"/>
              </w:rPr>
            </w:pPr>
          </w:p>
        </w:tc>
        <w:tc>
          <w:tcPr>
            <w:tcW w:w="2066" w:type="dxa"/>
            <w:tcBorders>
              <w:top w:val="nil"/>
              <w:left w:val="nil"/>
              <w:bottom w:val="nil"/>
              <w:right w:val="nil"/>
            </w:tcBorders>
            <w:noWrap/>
            <w:tcMar>
              <w:top w:w="15" w:type="dxa"/>
              <w:left w:w="15" w:type="dxa"/>
              <w:right w:w="15" w:type="dxa"/>
            </w:tcMar>
            <w:vAlign w:val="center"/>
          </w:tcPr>
          <w:p>
            <w:pPr>
              <w:shd w:val="clear" w:color="auto" w:fill="auto"/>
              <w:rPr>
                <w:rFonts w:ascii="Arial" w:hAnsi="Arial" w:cs="Arial"/>
                <w:color w:val="auto"/>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shd w:val="clear" w:color="auto" w:fill="auto"/>
              <w:rPr>
                <w:rFonts w:ascii="Arial" w:hAnsi="Arial" w:cs="Arial"/>
                <w:color w:val="auto"/>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shd w:val="clear" w:color="auto" w:fill="auto"/>
              <w:rPr>
                <w:rFonts w:ascii="Arial" w:hAnsi="Arial" w:cs="Arial"/>
                <w:color w:val="auto"/>
                <w:sz w:val="20"/>
                <w:szCs w:val="20"/>
                <w:highlight w:val="none"/>
              </w:rPr>
            </w:pPr>
          </w:p>
        </w:tc>
        <w:tc>
          <w:tcPr>
            <w:tcW w:w="3114" w:type="dxa"/>
            <w:tcBorders>
              <w:top w:val="nil"/>
              <w:left w:val="nil"/>
              <w:bottom w:val="nil"/>
              <w:right w:val="nil"/>
            </w:tcBorders>
            <w:noWrap/>
            <w:tcMar>
              <w:top w:w="15" w:type="dxa"/>
              <w:left w:w="15" w:type="dxa"/>
              <w:right w:w="15" w:type="dxa"/>
            </w:tcMar>
            <w:vAlign w:val="center"/>
          </w:tcPr>
          <w:p>
            <w:pPr>
              <w:shd w:val="clear" w:color="auto" w:fill="auto"/>
              <w:rPr>
                <w:rFonts w:ascii="Arial" w:hAnsi="Arial" w:cs="Arial"/>
                <w:color w:val="auto"/>
                <w:sz w:val="20"/>
                <w:szCs w:val="20"/>
                <w:highlight w:val="none"/>
              </w:rPr>
            </w:pPr>
          </w:p>
        </w:tc>
        <w:tc>
          <w:tcPr>
            <w:tcW w:w="1399" w:type="dxa"/>
            <w:tcBorders>
              <w:top w:val="nil"/>
              <w:left w:val="nil"/>
              <w:bottom w:val="nil"/>
              <w:right w:val="nil"/>
            </w:tcBorders>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311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399"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1,029.25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350.05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307</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债务利息及费用支出</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326.20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15.47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30701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国内债务付息</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320.62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1.81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30702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国外债务付息</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154.93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2.85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资本性支出</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8.01</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房屋建筑物购建</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29.54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31002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办公设备购置</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6.56</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66.43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17.55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专用设备购置</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0.63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3.56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31005</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基础设施建设</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31.11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7.68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31006</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大型修缮</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25.58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41.73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31007</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信息网络及软件购置更新</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0.84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9.33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31008</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物资储备</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61.61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31009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土地补偿</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0.12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54.59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31010</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安置补助</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11.66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45.68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31011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地上附着物和青苗补偿</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283.19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3.14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31012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拆迁补偿</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63.99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0.03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31013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公务用车购置</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95.66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公务接待费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1.27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31019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其他交通工具购置</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31021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文物和陈列品购置</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31022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无形资产购置</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1.21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31099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其他资本性支出</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1.45</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0.33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87.49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399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其他支出</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0.40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39906</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赠与</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39907</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国家赔偿费用支出</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7.65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39908</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对民间非营利组织和群众性自治组织补贴</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4.40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39999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其他支出</w:t>
            </w: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4"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b w:val="0"/>
                <w:bCs w:val="0"/>
                <w:color w:val="auto"/>
                <w:sz w:val="20"/>
                <w:szCs w:val="20"/>
                <w:highlight w:val="none"/>
              </w:rPr>
            </w:pPr>
            <w:r>
              <w:rPr>
                <w:rFonts w:hint="eastAsia" w:ascii="宋体" w:hAnsi="宋体" w:eastAsia="宋体" w:cs="宋体"/>
                <w:b w:val="0"/>
                <w:bCs w:val="0"/>
                <w:i w:val="0"/>
                <w:color w:val="auto"/>
                <w:kern w:val="0"/>
                <w:sz w:val="20"/>
                <w:szCs w:val="20"/>
                <w:highlight w:val="none"/>
                <w:u w:val="none"/>
                <w:lang w:val="en-US" w:eastAsia="zh-CN" w:bidi="ar"/>
              </w:rPr>
              <w:t>30311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b w:val="0"/>
                <w:bCs w:val="0"/>
                <w:color w:val="auto"/>
                <w:sz w:val="20"/>
                <w:szCs w:val="20"/>
                <w:highlight w:val="none"/>
              </w:rPr>
            </w:pPr>
            <w:r>
              <w:rPr>
                <w:rFonts w:hint="eastAsia" w:ascii="宋体" w:hAnsi="宋体" w:eastAsia="宋体" w:cs="宋体"/>
                <w:b w:val="0"/>
                <w:bCs w:val="0"/>
                <w:i w:val="0"/>
                <w:color w:val="auto"/>
                <w:kern w:val="0"/>
                <w:sz w:val="20"/>
                <w:szCs w:val="20"/>
                <w:highlight w:val="none"/>
                <w:u w:val="none"/>
                <w:lang w:val="en-US" w:eastAsia="zh-CN" w:bidi="ar"/>
              </w:rPr>
              <w:t xml:space="preserve">  代缴社会保险费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17.06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0.01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left"/>
              <w:rPr>
                <w:rFonts w:hint="eastAsia" w:ascii="宋体" w:hAnsi="宋体" w:cs="宋体"/>
                <w:color w:val="auto"/>
                <w:sz w:val="20"/>
                <w:szCs w:val="20"/>
                <w:highlight w:val="none"/>
              </w:rPr>
            </w:pP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right"/>
              <w:rPr>
                <w:rFonts w:hint="eastAsia" w:ascii="宋体" w:hAnsi="宋体" w:eastAsia="宋体" w:cs="宋体"/>
                <w:i w:val="0"/>
                <w:color w:val="auto"/>
                <w:kern w:val="0"/>
                <w:sz w:val="20"/>
                <w:szCs w:val="20"/>
                <w:highlight w:val="none"/>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hd w:val="clear" w:color="auto" w:fill="auto"/>
              <w:jc w:val="righ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20.22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left"/>
              <w:rPr>
                <w:rFonts w:hint="eastAsia" w:ascii="宋体" w:hAnsi="宋体" w:cs="宋体"/>
                <w:color w:val="auto"/>
                <w:kern w:val="0"/>
                <w:sz w:val="20"/>
                <w:szCs w:val="20"/>
                <w:highlight w:val="none"/>
                <w:lang w:bidi="ar"/>
              </w:rPr>
            </w:pP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color="auto" w:fill="auto"/>
              <w:jc w:val="left"/>
              <w:rPr>
                <w:rFonts w:hint="eastAsia" w:ascii="宋体" w:hAnsi="宋体" w:cs="宋体"/>
                <w:color w:val="auto"/>
                <w:kern w:val="0"/>
                <w:sz w:val="20"/>
                <w:szCs w:val="20"/>
                <w:highlight w:val="none"/>
                <w:lang w:bidi="ar"/>
              </w:rPr>
            </w:pPr>
          </w:p>
        </w:tc>
        <w:tc>
          <w:tcPr>
            <w:tcW w:w="13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shd w:val="clear" w:color="auto" w:fill="auto"/>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1312.44</w:t>
            </w:r>
          </w:p>
        </w:tc>
        <w:tc>
          <w:tcPr>
            <w:tcW w:w="7858"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公用经费合计</w:t>
            </w:r>
          </w:p>
        </w:tc>
        <w:tc>
          <w:tcPr>
            <w:tcW w:w="139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shd w:val="clear" w:color="auto" w:fill="auto"/>
              <w:jc w:val="right"/>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358.06</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注：本表反映部门本年度一般公共预算财政拨款基本支出明细情况。本表金额转换为万元时，因四舍五入可能存在尾差。</w:t>
            </w:r>
          </w:p>
        </w:tc>
      </w:tr>
    </w:tbl>
    <w:p>
      <w:pPr>
        <w:shd w:val="clear" w:color="auto" w:fill="auto"/>
        <w:rPr>
          <w:rFonts w:hint="eastAsia" w:ascii="仿宋_GB2312" w:hAnsi="仿宋_GB2312" w:eastAsia="仿宋_GB2312" w:cs="仿宋_GB2312"/>
          <w:color w:val="auto"/>
          <w:sz w:val="20"/>
          <w:szCs w:val="20"/>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957"/>
        <w:gridCol w:w="1345"/>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shd w:val="clear" w:color="auto" w:fill="auto"/>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957"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345" w:type="dxa"/>
            <w:tcBorders>
              <w:top w:val="nil"/>
              <w:left w:val="nil"/>
              <w:bottom w:val="nil"/>
              <w:right w:val="nil"/>
            </w:tcBorders>
            <w:shd w:val="clear" w:color="auto" w:fill="FFFFFF"/>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shd w:val="clear" w:color="auto" w:fill="auto"/>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部门：许昌市退役军人事务局</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957"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345" w:type="dxa"/>
            <w:tcBorders>
              <w:top w:val="nil"/>
              <w:left w:val="nil"/>
              <w:bottom w:val="nil"/>
              <w:right w:val="nil"/>
            </w:tcBorders>
            <w:shd w:val="clear" w:color="auto" w:fill="FFFFFF"/>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2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345"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购置费</w:t>
            </w:r>
          </w:p>
        </w:tc>
        <w:tc>
          <w:tcPr>
            <w:tcW w:w="9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运行费</w:t>
            </w:r>
          </w:p>
        </w:tc>
        <w:tc>
          <w:tcPr>
            <w:tcW w:w="1345"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34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11.57</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10.14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10.14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1.44</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8.37</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7</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957"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7</w:t>
            </w:r>
          </w:p>
        </w:tc>
        <w:tc>
          <w:tcPr>
            <w:tcW w:w="134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1.37</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shd w:val="clear" w:color="auto" w:fill="auto"/>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shd w:val="clear" w:color="auto" w:fill="auto"/>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shd w:val="clear" w:color="auto" w:fill="auto"/>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shd w:val="clear" w:color="auto" w:fill="auto"/>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部门：许昌市退役军人事务局</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shd w:val="clear" w:color="auto" w:fill="auto"/>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年初</w:t>
            </w:r>
            <w:r>
              <w:rPr>
                <w:rFonts w:hint="eastAsia" w:ascii="宋体" w:hAnsi="宋体" w:cs="宋体"/>
                <w:color w:val="auto"/>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shd w:val="clear" w:color="auto" w:fill="auto"/>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shd w:val="clear" w:color="auto" w:fill="auto"/>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注：本表反映部门本年度政府性基金预算财政拨款收入、支出及结转和结余情况。</w:t>
            </w:r>
          </w:p>
          <w:p>
            <w:pPr>
              <w:widowControl/>
              <w:shd w:val="clear" w:color="auto" w:fill="auto"/>
              <w:jc w:val="left"/>
              <w:textAlignment w:val="center"/>
              <w:rPr>
                <w:rFonts w:ascii="宋体" w:hAnsi="宋体" w:cs="宋体"/>
                <w:color w:val="auto"/>
                <w:sz w:val="20"/>
                <w:szCs w:val="20"/>
                <w:highlight w:val="none"/>
              </w:rPr>
            </w:pPr>
            <w:r>
              <w:rPr>
                <w:rFonts w:hint="eastAsia" w:ascii="宋体" w:hAnsi="宋体" w:cs="宋体"/>
                <w:color w:val="auto"/>
                <w:sz w:val="20"/>
                <w:szCs w:val="20"/>
                <w:highlight w:val="none"/>
              </w:rPr>
              <w:t>说明：我部门没有政府性基金收入，也没有使用政府性基金安排的支出，故本表无数据。</w:t>
            </w:r>
          </w:p>
          <w:p>
            <w:pPr>
              <w:widowControl/>
              <w:shd w:val="clear" w:color="auto" w:fill="auto"/>
              <w:jc w:val="both"/>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6550.60</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7028.23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51.76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2021年全市退役军人保险接续工作基本结束，收支减少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5076.72</w:t>
      </w:r>
      <w:r>
        <w:rPr>
          <w:rFonts w:hint="eastAsia" w:ascii="仿宋_GB2312" w:hAnsi="仿宋_GB2312" w:eastAsia="仿宋_GB2312" w:cs="仿宋_GB2312"/>
          <w:sz w:val="32"/>
          <w:szCs w:val="32"/>
          <w:highlight w:val="none"/>
        </w:rPr>
        <w:t>万元，其中：财政拨款收入4991.72万元，占</w:t>
      </w:r>
      <w:r>
        <w:rPr>
          <w:rFonts w:hint="eastAsia" w:ascii="仿宋_GB2312" w:hAnsi="仿宋_GB2312" w:eastAsia="仿宋_GB2312" w:cs="仿宋_GB2312"/>
          <w:sz w:val="32"/>
          <w:szCs w:val="32"/>
          <w:highlight w:val="none"/>
          <w:lang w:val="en-US" w:eastAsia="zh-CN"/>
        </w:rPr>
        <w:t>98.33</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%；其他收入85万元，占</w:t>
      </w:r>
      <w:r>
        <w:rPr>
          <w:rFonts w:hint="eastAsia" w:ascii="仿宋_GB2312" w:hAnsi="仿宋_GB2312" w:eastAsia="仿宋_GB2312" w:cs="仿宋_GB2312"/>
          <w:sz w:val="32"/>
          <w:szCs w:val="32"/>
          <w:highlight w:val="none"/>
          <w:lang w:val="en-US" w:eastAsia="zh-CN"/>
        </w:rPr>
        <w:t>1.67</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6550.60</w:t>
      </w:r>
      <w:r>
        <w:rPr>
          <w:rFonts w:hint="eastAsia" w:ascii="仿宋_GB2312" w:hAnsi="仿宋_GB2312" w:eastAsia="仿宋_GB2312" w:cs="仿宋_GB2312"/>
          <w:sz w:val="32"/>
          <w:szCs w:val="32"/>
          <w:highlight w:val="none"/>
        </w:rPr>
        <w:t>万元，其中：基本支出1670.5</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25.50</w:t>
      </w:r>
      <w:r>
        <w:rPr>
          <w:rFonts w:hint="eastAsia" w:ascii="仿宋_GB2312" w:hAnsi="仿宋_GB2312" w:eastAsia="仿宋_GB2312" w:cs="仿宋_GB2312"/>
          <w:sz w:val="32"/>
          <w:szCs w:val="32"/>
          <w:highlight w:val="none"/>
        </w:rPr>
        <w:t>%；项目支出4880.1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元，占</w:t>
      </w:r>
      <w:r>
        <w:rPr>
          <w:rFonts w:hint="eastAsia" w:ascii="仿宋_GB2312" w:hAnsi="仿宋_GB2312" w:eastAsia="仿宋_GB2312" w:cs="仿宋_GB2312"/>
          <w:sz w:val="32"/>
          <w:szCs w:val="32"/>
          <w:highlight w:val="none"/>
          <w:lang w:val="en-US" w:eastAsia="zh-CN"/>
        </w:rPr>
        <w:t>74.50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年度财政拨款收、支总计均为6465.61万元。与上年度相比，财政拨款收、支总计各减少</w:t>
      </w:r>
      <w:r>
        <w:rPr>
          <w:rFonts w:hint="eastAsia" w:ascii="仿宋_GB2312" w:hAnsi="仿宋_GB2312" w:eastAsia="仿宋_GB2312" w:cs="仿宋_GB2312"/>
          <w:sz w:val="32"/>
          <w:szCs w:val="32"/>
          <w:highlight w:val="none"/>
          <w:lang w:val="en-US" w:eastAsia="zh-CN"/>
        </w:rPr>
        <w:t>6725.46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50.98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全市退役军人保险接续工作基本结束，收支减少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年度一般公共预算财政拨款支出6465.61万元，占支出合计的</w:t>
      </w:r>
      <w:r>
        <w:rPr>
          <w:rFonts w:hint="default" w:ascii="仿宋_GB2312" w:hAnsi="仿宋_GB2312" w:eastAsia="仿宋_GB2312" w:cs="仿宋_GB2312"/>
          <w:sz w:val="32"/>
          <w:szCs w:val="32"/>
          <w:highlight w:val="none"/>
          <w:lang w:val="en"/>
        </w:rPr>
        <w:t>100</w:t>
      </w:r>
      <w:r>
        <w:rPr>
          <w:rFonts w:hint="eastAsia" w:ascii="仿宋_GB2312" w:hAnsi="仿宋_GB2312" w:eastAsia="仿宋_GB2312" w:cs="仿宋_GB2312"/>
          <w:sz w:val="32"/>
          <w:szCs w:val="32"/>
          <w:highlight w:val="none"/>
        </w:rPr>
        <w:t>%。与上年度相比，一般公共预算财政拨款支出减少</w:t>
      </w:r>
      <w:r>
        <w:rPr>
          <w:rFonts w:hint="default" w:ascii="仿宋_GB2312" w:hAnsi="仿宋_GB2312" w:eastAsia="仿宋_GB2312" w:cs="仿宋_GB2312"/>
          <w:sz w:val="32"/>
          <w:szCs w:val="32"/>
          <w:highlight w:val="none"/>
          <w:lang w:val="en"/>
        </w:rPr>
        <w:t>4336.22</w:t>
      </w:r>
      <w:r>
        <w:rPr>
          <w:rFonts w:hint="eastAsia" w:ascii="仿宋_GB2312" w:hAnsi="仿宋_GB2312" w:eastAsia="仿宋_GB2312" w:cs="仿宋_GB2312"/>
          <w:sz w:val="32"/>
          <w:szCs w:val="32"/>
          <w:highlight w:val="none"/>
        </w:rPr>
        <w:t>万元，下降</w:t>
      </w:r>
      <w:r>
        <w:rPr>
          <w:rFonts w:hint="default" w:ascii="仿宋_GB2312" w:hAnsi="仿宋_GB2312" w:eastAsia="仿宋_GB2312" w:cs="仿宋_GB2312"/>
          <w:sz w:val="32"/>
          <w:szCs w:val="32"/>
          <w:highlight w:val="none"/>
          <w:lang w:val="en"/>
        </w:rPr>
        <w:t>40.1</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全市退役军人保险接续工作结束，支出减少</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年度一般公共预算财政拨款支出6465.61万元，主要用于以下方面：一般公共服务（类）支出</w:t>
      </w:r>
      <w:r>
        <w:rPr>
          <w:rFonts w:hint="eastAsia" w:ascii="仿宋_GB2312" w:hAnsi="仿宋_GB2312" w:eastAsia="仿宋_GB2312" w:cs="仿宋_GB2312"/>
          <w:sz w:val="32"/>
          <w:szCs w:val="32"/>
          <w:highlight w:val="none"/>
          <w:lang w:val="en-US" w:eastAsia="zh-CN"/>
        </w:rPr>
        <w:t>2.85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rPr>
        <w:t>%；社会保障和就业（类）支出6441.58万元，占</w:t>
      </w:r>
      <w:r>
        <w:rPr>
          <w:rFonts w:hint="eastAsia" w:ascii="仿宋_GB2312" w:hAnsi="仿宋_GB2312" w:eastAsia="仿宋_GB2312" w:cs="仿宋_GB2312"/>
          <w:sz w:val="32"/>
          <w:szCs w:val="32"/>
          <w:highlight w:val="none"/>
          <w:lang w:val="en-US" w:eastAsia="zh-CN"/>
        </w:rPr>
        <w:t>99.63</w:t>
      </w:r>
      <w:r>
        <w:rPr>
          <w:rFonts w:hint="eastAsia" w:ascii="仿宋_GB2312" w:hAnsi="仿宋_GB2312" w:eastAsia="仿宋_GB2312" w:cs="仿宋_GB2312"/>
          <w:sz w:val="32"/>
          <w:szCs w:val="32"/>
          <w:highlight w:val="none"/>
        </w:rPr>
        <w:t>%；卫生健康（类）支出</w:t>
      </w:r>
      <w:r>
        <w:rPr>
          <w:rFonts w:hint="eastAsia" w:ascii="仿宋_GB2312" w:hAnsi="仿宋_GB2312" w:eastAsia="仿宋_GB2312" w:cs="仿宋_GB2312"/>
          <w:sz w:val="32"/>
          <w:szCs w:val="32"/>
          <w:highlight w:val="none"/>
          <w:lang w:val="en-US" w:eastAsia="zh-CN"/>
        </w:rPr>
        <w:t>21.18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0.33</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3741.90</w:t>
      </w:r>
      <w:r>
        <w:rPr>
          <w:rFonts w:hint="eastAsia" w:ascii="仿宋_GB2312" w:hAnsi="仿宋_GB2312" w:eastAsia="仿宋_GB2312" w:cs="仿宋_GB2312"/>
          <w:sz w:val="32"/>
          <w:szCs w:val="32"/>
          <w:highlight w:val="none"/>
        </w:rPr>
        <w:t>万元，支出决算为6465.61万元，完成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172.79</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1．一般公共服务支出（类）群众团体事务支出（款）工会事务（项）。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2.85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100.71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烈士陵园管理处</w:t>
      </w:r>
      <w:r>
        <w:rPr>
          <w:rFonts w:hint="eastAsia" w:ascii="仿宋_GB2312" w:hAnsi="仿宋_GB2312" w:eastAsia="仿宋_GB2312" w:cs="仿宋_GB2312"/>
          <w:color w:val="auto"/>
          <w:sz w:val="32"/>
          <w:szCs w:val="32"/>
          <w:highlight w:val="none"/>
          <w:lang w:val="en-US" w:eastAsia="zh-CN"/>
        </w:rPr>
        <w:t>财政拨款工会经费较预算增加0.02万元</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2．社会保障和就业支出（类）行政事业单位养老支出（款）行政单位离退休（项）。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11.54</w:t>
      </w:r>
      <w:r>
        <w:rPr>
          <w:rFonts w:hint="eastAsia" w:ascii="仿宋_GB2312" w:hAnsi="仿宋_GB2312" w:eastAsia="仿宋_GB2312" w:cs="仿宋_GB2312"/>
          <w:sz w:val="32"/>
          <w:szCs w:val="32"/>
          <w:highlight w:val="none"/>
        </w:rPr>
        <w:t>万元，支出决算</w:t>
      </w:r>
      <w:r>
        <w:rPr>
          <w:rFonts w:hint="eastAsia" w:ascii="仿宋_GB2312" w:hAnsi="仿宋_GB2312" w:eastAsia="仿宋_GB2312" w:cs="仿宋_GB2312"/>
          <w:sz w:val="32"/>
          <w:szCs w:val="32"/>
          <w:highlight w:val="none"/>
          <w:lang w:val="en-US" w:eastAsia="zh-CN"/>
        </w:rPr>
        <w:t>为9.91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85.88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退役军人服务中心</w:t>
      </w:r>
      <w:r>
        <w:rPr>
          <w:rFonts w:hint="eastAsia" w:ascii="仿宋_GB2312" w:hAnsi="仿宋_GB2312" w:eastAsia="仿宋_GB2312" w:cs="仿宋_GB2312"/>
          <w:sz w:val="32"/>
          <w:szCs w:val="32"/>
          <w:lang w:eastAsia="zh-CN"/>
        </w:rPr>
        <w:t>退休人员平时健康休养费有结余</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．社会保障和就业支出（类）行政事业单位养老支出（款）事业单位离退休（项）。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53.77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121.40</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225.78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军休一所、军休二所上级下达资金未列入单位预算</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．社会保障和就业支出（类）行政事业单位养老（款）机关事业单位基本养老保险缴费支出（项）。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22.81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24.38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106.88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是人员增加及保险基数增加。</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．社会保障和就业支出（类）抚恤（款）死亡抚恤（项）。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122</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军休一所、军休二所上级下达资金未列入单位预算</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．社会保障和就业支出（类）抚恤（款）优抚事业单位支出（项）。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万元，支出决算为46.24万元。决算数与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烈士陵园会计功能分类科目的调整</w:t>
      </w:r>
      <w:r>
        <w:rPr>
          <w:rFonts w:hint="eastAsia" w:ascii="仿宋_GB2312" w:hAnsi="仿宋_GB2312" w:eastAsia="仿宋_GB2312" w:cs="仿宋_GB2312"/>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   7</w:t>
      </w:r>
      <w:r>
        <w:rPr>
          <w:rFonts w:hint="eastAsia" w:ascii="仿宋_GB2312" w:hAnsi="仿宋_GB2312" w:eastAsia="仿宋_GB2312" w:cs="仿宋_GB2312"/>
          <w:b/>
          <w:bCs/>
          <w:sz w:val="32"/>
          <w:szCs w:val="32"/>
          <w:highlight w:val="none"/>
        </w:rPr>
        <w:t>．社会保障和就业（类）抚恤（款）其他优抚支出（项）。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color w:val="auto"/>
          <w:sz w:val="32"/>
          <w:szCs w:val="32"/>
          <w:highlight w:val="none"/>
          <w:lang w:val="en-US" w:eastAsia="zh-CN"/>
        </w:rPr>
        <w:t>支付2020年1-6级残疾退役军人医疗补助，2021年由魏都区承担。</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．社会保障和就业支出（类）退役安置（款）退役士兵安置（项）。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万元，支出决算为125.49万元。决算数与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退役士兵待安置期间生活补助及保险费用年初未列入本级预算</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．社会保障和就业支出（类）退役安置（款）军队移交政府的离退休人员安置（项）。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50.86</w:t>
      </w:r>
      <w:r>
        <w:rPr>
          <w:rFonts w:hint="eastAsia" w:ascii="仿宋_GB2312" w:hAnsi="仿宋_GB2312" w:eastAsia="仿宋_GB2312" w:cs="仿宋_GB2312"/>
          <w:sz w:val="32"/>
          <w:szCs w:val="32"/>
          <w:highlight w:val="none"/>
        </w:rPr>
        <w:t>万元，支出决算为1611.33万元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3168.17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军休一所、军休二所上级下达资金未列入部门预算</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．社会保障和就业支出（类）退役安置（款）军队移交政府离退休干部管理机构（项）。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万元，支出决算为363.1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军休一所、军休二所上级下达资金未列入部门预算</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11</w:t>
      </w:r>
      <w:r>
        <w:rPr>
          <w:rFonts w:hint="eastAsia" w:ascii="仿宋_GB2312" w:hAnsi="仿宋_GB2312" w:eastAsia="仿宋_GB2312" w:cs="仿宋_GB2312"/>
          <w:b/>
          <w:bCs/>
          <w:sz w:val="32"/>
          <w:szCs w:val="32"/>
          <w:highlight w:val="none"/>
        </w:rPr>
        <w:t>．社会保障和就业支出（类）退役安置（款）退役士兵管理教育（项）。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60.67</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退役士兵技能教育培训</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color w:val="auto"/>
          <w:sz w:val="32"/>
          <w:szCs w:val="32"/>
          <w:highlight w:val="none"/>
          <w:lang w:val="en-US" w:eastAsia="zh-CN"/>
        </w:rPr>
        <w:t>上级下达资金未列入部门预算</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2．社会保障和就业支出（类）退役安置（款）军队转业干部安置（项）。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1922.60</w:t>
      </w:r>
      <w:r>
        <w:rPr>
          <w:rFonts w:hint="eastAsia" w:ascii="仿宋_GB2312" w:hAnsi="仿宋_GB2312" w:eastAsia="仿宋_GB2312" w:cs="仿宋_GB2312"/>
          <w:sz w:val="32"/>
          <w:szCs w:val="32"/>
          <w:highlight w:val="none"/>
        </w:rPr>
        <w:t>万元，支出决算为1685万元，完成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87.64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本年有企业军转干部军转干部去世，不再发放生活补助。</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13</w:t>
      </w:r>
      <w:r>
        <w:rPr>
          <w:rFonts w:hint="eastAsia" w:ascii="仿宋_GB2312" w:hAnsi="仿宋_GB2312" w:eastAsia="仿宋_GB2312" w:cs="仿宋_GB2312"/>
          <w:b/>
          <w:bCs/>
          <w:sz w:val="32"/>
          <w:szCs w:val="32"/>
          <w:highlight w:val="none"/>
        </w:rPr>
        <w:t>．社会保障和就业支出（类）退役安置（款）其他退役安置支出（项）。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365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612.09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167.70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退役士兵保险接续</w:t>
      </w:r>
      <w:r>
        <w:rPr>
          <w:rFonts w:hint="eastAsia" w:ascii="仿宋_GB2312" w:hAnsi="仿宋_GB2312" w:eastAsia="仿宋_GB2312" w:cs="仿宋_GB2312"/>
          <w:color w:val="auto"/>
          <w:sz w:val="32"/>
          <w:szCs w:val="32"/>
          <w:highlight w:val="none"/>
          <w:lang w:val="en-US" w:eastAsia="zh-CN"/>
        </w:rPr>
        <w:t>使用2020年结转经费，上级下达资金未列入部门预算</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14</w:t>
      </w:r>
      <w:r>
        <w:rPr>
          <w:rFonts w:hint="eastAsia" w:ascii="仿宋_GB2312" w:hAnsi="仿宋_GB2312" w:eastAsia="仿宋_GB2312" w:cs="仿宋_GB2312"/>
          <w:b/>
          <w:bCs/>
          <w:sz w:val="32"/>
          <w:szCs w:val="32"/>
          <w:highlight w:val="none"/>
        </w:rPr>
        <w:t>．社会保障和就业支出（类）临时救助（款）临时救助支出（项）。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万元，支出决算为11.98万元。决算数与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2021年春节慰问经费使用2020年结余资金，2021年春节慰问经费未列入部门预算</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15</w:t>
      </w:r>
      <w:r>
        <w:rPr>
          <w:rFonts w:hint="eastAsia" w:ascii="仿宋_GB2312" w:hAnsi="仿宋_GB2312" w:eastAsia="仿宋_GB2312" w:cs="仿宋_GB2312"/>
          <w:b/>
          <w:bCs/>
          <w:sz w:val="32"/>
          <w:szCs w:val="32"/>
          <w:highlight w:val="none"/>
        </w:rPr>
        <w:t>．社会保障和就业支出（类）退役军人管理事务（款）行政运行（项）。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346.38</w:t>
      </w:r>
      <w:r>
        <w:rPr>
          <w:rFonts w:hint="eastAsia" w:ascii="仿宋_GB2312" w:hAnsi="仿宋_GB2312" w:eastAsia="仿宋_GB2312" w:cs="仿宋_GB2312"/>
          <w:sz w:val="32"/>
          <w:szCs w:val="32"/>
          <w:highlight w:val="none"/>
        </w:rPr>
        <w:t>万元，支出决算为457.52万元，完成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132.08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2021年退役军人事务局新增5人，人员费用增加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16</w:t>
      </w:r>
      <w:r>
        <w:rPr>
          <w:rFonts w:hint="eastAsia" w:ascii="仿宋_GB2312" w:hAnsi="仿宋_GB2312" w:eastAsia="仿宋_GB2312" w:cs="仿宋_GB2312"/>
          <w:b/>
          <w:bCs/>
          <w:sz w:val="32"/>
          <w:szCs w:val="32"/>
          <w:highlight w:val="none"/>
        </w:rPr>
        <w:t>．社会保障和就业支出（类）退役军人管理事务（款）一般行政管理事务（项）。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万元，支出决算为258.57万元。决算数与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退役局本级办公楼租赁费30万元使用2020年结转经费，双拥工作经费、春节及八一慰问经费、信访稳定经费未列入部门预算</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17</w:t>
      </w:r>
      <w:r>
        <w:rPr>
          <w:rFonts w:hint="eastAsia" w:ascii="仿宋_GB2312" w:hAnsi="仿宋_GB2312" w:eastAsia="仿宋_GB2312" w:cs="仿宋_GB2312"/>
          <w:b/>
          <w:bCs/>
          <w:sz w:val="32"/>
          <w:szCs w:val="32"/>
          <w:highlight w:val="none"/>
        </w:rPr>
        <w:t>．社会保障和就业支出（类）退役军人管理事务（款）拥军优属（项）。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万元，支出决算为171.42万元。决算数与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部队</w:t>
      </w:r>
      <w:r>
        <w:rPr>
          <w:rFonts w:hint="eastAsia" w:ascii="仿宋_GB2312" w:hAnsi="仿宋_GB2312" w:eastAsia="仿宋_GB2312" w:cs="仿宋_GB2312"/>
          <w:sz w:val="32"/>
          <w:szCs w:val="32"/>
          <w:highlight w:val="none"/>
          <w:lang w:eastAsia="zh-CN"/>
        </w:rPr>
        <w:t>随军未就业家属生活补助</w:t>
      </w:r>
      <w:r>
        <w:rPr>
          <w:rFonts w:hint="eastAsia" w:ascii="仿宋_GB2312" w:hAnsi="仿宋_GB2312" w:eastAsia="仿宋_GB2312" w:cs="仿宋_GB2312"/>
          <w:sz w:val="32"/>
          <w:szCs w:val="32"/>
          <w:highlight w:val="none"/>
          <w:lang w:val="en-US" w:eastAsia="zh-CN"/>
        </w:rPr>
        <w:t>使用2020年结转经费，</w:t>
      </w:r>
      <w:r>
        <w:rPr>
          <w:rFonts w:hint="eastAsia" w:ascii="仿宋_GB2312" w:hAnsi="仿宋_GB2312" w:eastAsia="仿宋_GB2312" w:cs="仿宋_GB2312"/>
          <w:color w:val="auto"/>
          <w:sz w:val="32"/>
          <w:szCs w:val="32"/>
          <w:highlight w:val="none"/>
          <w:lang w:val="en-US" w:eastAsia="zh-CN"/>
        </w:rPr>
        <w:t>2021年未列入部门预算</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18</w:t>
      </w:r>
      <w:r>
        <w:rPr>
          <w:rFonts w:hint="eastAsia" w:ascii="仿宋_GB2312" w:hAnsi="仿宋_GB2312" w:eastAsia="仿宋_GB2312" w:cs="仿宋_GB2312"/>
          <w:b/>
          <w:bCs/>
          <w:sz w:val="32"/>
          <w:szCs w:val="32"/>
          <w:highlight w:val="none"/>
        </w:rPr>
        <w:t>．社会保障和就业支出（类）退役军人管理事务（款）事业运行（项）。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723.58</w:t>
      </w:r>
      <w:r>
        <w:rPr>
          <w:rFonts w:hint="eastAsia" w:ascii="仿宋_GB2312" w:hAnsi="仿宋_GB2312" w:eastAsia="仿宋_GB2312" w:cs="仿宋_GB2312"/>
          <w:sz w:val="32"/>
          <w:szCs w:val="32"/>
          <w:highlight w:val="none"/>
        </w:rPr>
        <w:t>万元，支出决算为737.93万元，完成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101.98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使用服务中心人员增加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19</w:t>
      </w:r>
      <w:r>
        <w:rPr>
          <w:rFonts w:hint="eastAsia" w:ascii="仿宋_GB2312" w:hAnsi="仿宋_GB2312" w:eastAsia="仿宋_GB2312" w:cs="仿宋_GB2312"/>
          <w:b/>
          <w:bCs/>
          <w:sz w:val="32"/>
          <w:szCs w:val="32"/>
          <w:highlight w:val="none"/>
        </w:rPr>
        <w:t>．社会保障和就业支出（类）退役军人管理事务（款）其他退役军人事务管理支出（项）。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18.75</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信访稳定经费和服务中心装修经费</w:t>
      </w:r>
      <w:r>
        <w:rPr>
          <w:rFonts w:hint="eastAsia" w:ascii="仿宋_GB2312" w:hAnsi="仿宋_GB2312" w:eastAsia="仿宋_GB2312" w:cs="仿宋_GB2312"/>
          <w:color w:val="auto"/>
          <w:sz w:val="32"/>
          <w:szCs w:val="32"/>
          <w:highlight w:val="none"/>
          <w:lang w:val="en-US" w:eastAsia="zh-CN"/>
        </w:rPr>
        <w:t>使用2020年结转资金，未列入2021年部门预算</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0</w:t>
      </w:r>
      <w:r>
        <w:rPr>
          <w:rFonts w:hint="eastAsia" w:ascii="仿宋_GB2312" w:hAnsi="仿宋_GB2312" w:eastAsia="仿宋_GB2312" w:cs="仿宋_GB2312"/>
          <w:b/>
          <w:bCs/>
          <w:sz w:val="32"/>
          <w:szCs w:val="32"/>
          <w:highlight w:val="none"/>
        </w:rPr>
        <w:t>．卫生健康支出（类）行政事业单位医疗（款）行政单位医疗（项）。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7.56</w:t>
      </w:r>
      <w:r>
        <w:rPr>
          <w:rFonts w:hint="eastAsia" w:ascii="仿宋_GB2312" w:hAnsi="仿宋_GB2312" w:eastAsia="仿宋_GB2312" w:cs="仿宋_GB2312"/>
          <w:sz w:val="32"/>
          <w:szCs w:val="32"/>
          <w:highlight w:val="none"/>
        </w:rPr>
        <w:t>万元，支出决算为7.28万元，完成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96.30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color w:val="auto"/>
          <w:sz w:val="32"/>
          <w:szCs w:val="32"/>
          <w:highlight w:val="none"/>
          <w:lang w:val="en-US" w:eastAsia="zh-CN"/>
        </w:rPr>
        <w:t>是退役局本级2021年新增退休职工1人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3.54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5.58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157.63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服务中心医疗保险</w:t>
      </w:r>
      <w:r>
        <w:rPr>
          <w:rFonts w:hint="eastAsia" w:ascii="仿宋_GB2312" w:hAnsi="仿宋_GB2312" w:eastAsia="仿宋_GB2312" w:cs="仿宋_GB2312"/>
          <w:color w:val="auto"/>
          <w:sz w:val="32"/>
          <w:szCs w:val="32"/>
          <w:highlight w:val="none"/>
          <w:lang w:val="en-US" w:eastAsia="zh-CN"/>
        </w:rPr>
        <w:t>使用2020年结转资金，2021年列入事业运行费</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．卫生健康支出（类）行政事业单位医疗（款）公务员医疗补助（项）。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7.20</w:t>
      </w:r>
      <w:r>
        <w:rPr>
          <w:rFonts w:hint="eastAsia" w:ascii="仿宋_GB2312" w:hAnsi="仿宋_GB2312" w:eastAsia="仿宋_GB2312" w:cs="仿宋_GB2312"/>
          <w:sz w:val="32"/>
          <w:szCs w:val="32"/>
          <w:highlight w:val="none"/>
        </w:rPr>
        <w:t>万元，支出决算为8.32万元，完成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115.56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服务中心使用部分</w:t>
      </w:r>
      <w:r>
        <w:rPr>
          <w:rFonts w:hint="eastAsia" w:ascii="仿宋_GB2312" w:hAnsi="仿宋_GB2312" w:eastAsia="仿宋_GB2312" w:cs="仿宋_GB2312"/>
          <w:color w:val="auto"/>
          <w:sz w:val="32"/>
          <w:szCs w:val="32"/>
          <w:highlight w:val="none"/>
          <w:lang w:val="en-US" w:eastAsia="zh-CN"/>
        </w:rPr>
        <w:t>2020年结转资金，2021年列入事业运行费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年度一般公共预算财政拨款基本支出1670.5</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万元。其中：人员经费1312.44万元，主要包括：基本工资、津贴补贴、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val="en-US" w:eastAsia="zh-CN"/>
        </w:rPr>
        <w:t>职业年金缴费、职工基本医疗保险缴费、公务员医疗补助缴费、</w:t>
      </w:r>
      <w:r>
        <w:rPr>
          <w:rFonts w:hint="eastAsia" w:ascii="仿宋_GB2312" w:hAnsi="仿宋_GB2312" w:eastAsia="仿宋_GB2312" w:cs="仿宋_GB2312"/>
          <w:sz w:val="32"/>
          <w:szCs w:val="32"/>
          <w:highlight w:val="none"/>
        </w:rPr>
        <w:t>其他社会保障缴费、其他工资福利支出、离休费、退休费、抚恤金、生活补助、医疗费、</w:t>
      </w:r>
      <w:r>
        <w:rPr>
          <w:rFonts w:hint="eastAsia" w:ascii="仿宋_GB2312" w:hAnsi="仿宋_GB2312" w:eastAsia="仿宋_GB2312" w:cs="仿宋_GB2312"/>
          <w:sz w:val="32"/>
          <w:szCs w:val="32"/>
          <w:highlight w:val="none"/>
          <w:lang w:val="en-US" w:eastAsia="zh-CN"/>
        </w:rPr>
        <w:t>救济费</w:t>
      </w:r>
      <w:r>
        <w:rPr>
          <w:rFonts w:hint="eastAsia" w:ascii="仿宋_GB2312" w:hAnsi="仿宋_GB2312" w:eastAsia="仿宋_GB2312" w:cs="仿宋_GB2312"/>
          <w:sz w:val="32"/>
          <w:szCs w:val="32"/>
          <w:highlight w:val="none"/>
        </w:rPr>
        <w:t>、住房公积金；公用经费358.06万元，主要包括：办公费、印刷费、咨询费、水费、电费、邮电费、取暖费、物业管理费、差旅费、维修（护）费、租赁费、会议费、培训费、公务接待费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专用材料费、</w:t>
      </w:r>
      <w:r>
        <w:rPr>
          <w:rFonts w:hint="eastAsia" w:ascii="仿宋_GB2312" w:hAnsi="仿宋_GB2312" w:eastAsia="仿宋_GB2312" w:cs="仿宋_GB2312"/>
          <w:sz w:val="32"/>
          <w:szCs w:val="32"/>
          <w:highlight w:val="none"/>
        </w:rPr>
        <w:t>劳务费、委托业务费、工会经费、福利费、公务用车运行维护费、其他交通费用、</w:t>
      </w:r>
      <w:r>
        <w:rPr>
          <w:rFonts w:hint="eastAsia" w:ascii="仿宋_GB2312" w:hAnsi="仿宋_GB2312" w:eastAsia="仿宋_GB2312" w:cs="仿宋_GB2312"/>
          <w:sz w:val="32"/>
          <w:szCs w:val="32"/>
          <w:highlight w:val="none"/>
          <w:lang w:val="en-US" w:eastAsia="zh-CN"/>
        </w:rPr>
        <w:t>税金及附加费用、</w:t>
      </w:r>
      <w:r>
        <w:rPr>
          <w:rFonts w:hint="eastAsia" w:ascii="仿宋_GB2312" w:hAnsi="仿宋_GB2312" w:eastAsia="仿宋_GB2312" w:cs="仿宋_GB2312"/>
          <w:sz w:val="32"/>
          <w:szCs w:val="32"/>
          <w:highlight w:val="none"/>
        </w:rPr>
        <w:t>其他商品和服务支出、办公设备购置、其他资本性支出。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年度“三公”经费财政拨款支出预算为11.57万元，支出决算为</w:t>
      </w:r>
      <w:r>
        <w:rPr>
          <w:rFonts w:hint="eastAsia" w:ascii="仿宋_GB2312" w:hAnsi="仿宋_GB2312" w:eastAsia="仿宋_GB2312" w:cs="仿宋_GB2312"/>
          <w:sz w:val="32"/>
          <w:szCs w:val="32"/>
          <w:highlight w:val="none"/>
          <w:lang w:val="en-US" w:eastAsia="zh-CN"/>
        </w:rPr>
        <w:t>8.37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72.34</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落实进一步过紧日子的要求，压减非必要支出</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69.03</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83.63</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1.37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95.14</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16.37</w:t>
      </w:r>
      <w:r>
        <w:rPr>
          <w:rFonts w:hint="eastAsia" w:ascii="仿宋_GB2312" w:hAnsi="仿宋_GB2312" w:eastAsia="仿宋_GB2312" w:cs="仿宋_GB2312"/>
          <w:sz w:val="32"/>
          <w:szCs w:val="32"/>
          <w:highlight w:val="none"/>
        </w:rPr>
        <w:t>%。具体情况如下：</w:t>
      </w:r>
    </w:p>
    <w:p>
      <w:pPr>
        <w:spacing w:beforeLines="0" w:afterLines="0" w:line="59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10.14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69.03</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公车运行维护费</w:t>
      </w:r>
      <w:r>
        <w:rPr>
          <w:rFonts w:hint="eastAsia" w:ascii="仿宋_GB2312" w:hAnsi="仿宋_GB2312" w:eastAsia="仿宋_GB2312" w:cs="仿宋_GB2312"/>
          <w:sz w:val="32"/>
          <w:szCs w:val="32"/>
          <w:highlight w:val="none"/>
          <w:lang w:val="en-US" w:eastAsia="zh-CN"/>
        </w:rPr>
        <w:t>减</w:t>
      </w:r>
      <w:r>
        <w:rPr>
          <w:rFonts w:hint="eastAsia" w:ascii="仿宋_GB2312" w:hAnsi="仿宋_GB2312" w:eastAsia="仿宋_GB2312" w:cs="仿宋_GB2312"/>
          <w:sz w:val="32"/>
          <w:szCs w:val="32"/>
          <w:highlight w:val="none"/>
          <w:lang w:eastAsia="zh-CN"/>
        </w:rPr>
        <w:t>少</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公车运行维护、保险和出差路桥费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7辆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95.14</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市退役军人服务中心</w:t>
      </w:r>
      <w:r>
        <w:rPr>
          <w:rFonts w:hint="eastAsia" w:ascii="仿宋_GB2312" w:hAnsi="仿宋_GB2312" w:eastAsia="仿宋_GB2312" w:cs="仿宋_GB2312"/>
          <w:sz w:val="32"/>
          <w:szCs w:val="32"/>
          <w:highlight w:val="none"/>
          <w:lang w:val="en-US" w:eastAsia="zh-CN"/>
        </w:rPr>
        <w:t>业务</w:t>
      </w:r>
      <w:r>
        <w:rPr>
          <w:rFonts w:hint="eastAsia" w:ascii="仿宋_GB2312" w:hAnsi="仿宋_GB2312" w:eastAsia="仿宋_GB2312" w:cs="仿宋_GB2312"/>
          <w:sz w:val="32"/>
          <w:szCs w:val="32"/>
          <w:highlight w:val="none"/>
          <w:lang w:eastAsia="zh-CN"/>
        </w:rPr>
        <w:t>接待</w:t>
      </w:r>
      <w:r>
        <w:rPr>
          <w:rFonts w:hint="eastAsia" w:ascii="仿宋_GB2312" w:hAnsi="仿宋_GB2312" w:eastAsia="仿宋_GB2312" w:cs="仿宋_GB2312"/>
          <w:sz w:val="32"/>
          <w:szCs w:val="32"/>
          <w:highlight w:val="none"/>
          <w:lang w:val="en-US" w:eastAsia="zh-CN"/>
        </w:rPr>
        <w:t>减少</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1.37</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退役军人业务工作交流</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133</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情况说明：我部门2021年度没有政府性基金收入，也没有使用政府性基金安排的支出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146.01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152.71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104.59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局机关新增5人，使用部分上年结转资金。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成立绩效管理领导小组，指定专人负责我部门财政预算绩效管理的组织和协调工作，把制度建设作为开展绩效管理的关键环节，积极参加财政局组织的学习培训活动系统的学习绩效管理工作的相关政策和文件精神。2021年我部门纳入预算绩效管理的支出总额为6550.60万元，其中：基本支出1670.50万元；支出项目9个，支出金额4880.10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按照《许昌市财政局关于开展2021年度市级预算绩效自评工作的通知》（许财效）〔2022〕1号）等文件精神，我部门对本部门整体绩效目标和项目支出绩效目标进行了自评。一是部门整体绩效自评情况。资金管理情况良好，本年度年收入超预计目标，预算和财务管理持续严格高效地完成，对各项支出的绩效坚持及时客观地评价二是项目绩效自评情况。我部门共有5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许昌市退役军人事务局2个，项目金额1826.87万元；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许昌市退役军人服务中心3个，项目金额390.95万元；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许昌市烈士陵园管理处1个，项目金额1.96万元；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基于项目预期目标的实现程度，对2021年度项目支出绩效进行自评，绩效自评平均得分为95分。其中：6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1920" w:leftChars="0" w:right="0" w:rightChars="0" w:firstLine="0" w:firstLineChars="0"/>
        <w:jc w:val="both"/>
        <w:textAlignment w:val="auto"/>
        <w:outlineLvl w:val="9"/>
        <w:rPr>
          <w:rFonts w:hint="eastAsia" w:ascii="黑体" w:hAnsi="黑体" w:eastAsia="黑体" w:cs="黑体"/>
          <w:sz w:val="48"/>
          <w:szCs w:val="48"/>
          <w:highlight w:val="none"/>
        </w:rPr>
      </w:pPr>
      <w:r>
        <w:rPr>
          <w:rFonts w:hint="eastAsia" w:ascii="黑体" w:hAnsi="黑体" w:eastAsia="黑体" w:cs="黑体"/>
          <w:sz w:val="48"/>
          <w:szCs w:val="48"/>
          <w:highlight w:val="none"/>
        </w:rPr>
        <w:t xml:space="preserve"> 名词解释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黑体" w:hAnsi="黑体" w:eastAsia="黑体" w:cs="黑体"/>
          <w:sz w:val="48"/>
          <w:szCs w:val="48"/>
          <w:highlight w:val="none"/>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sz w:val="32"/>
          <w:szCs w:val="32"/>
          <w:highlight w:val="none"/>
          <w:lang w:eastAsia="zh-CN"/>
        </w:rPr>
        <w:t>。</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B6Cd/JAQAAnAMAAA4AAABkcnMv&#10;ZTJvRG9jLnhtbK1TTa7TMBDeI3EHy3vqtEioipo+gaqHkBAgPTiA69iNJf/J4zbpBeAGrNiw51w9&#10;B2MnaeGxeQs2znhm/M1830w2d4M15CQjaO8aulxUlEgnfKvdoaFfPt+/WFMCibuWG+9kQ88S6N32&#10;+bNNH2q58p03rYwEQRzUfWhol1KoGQPRScth4YN0GFQ+Wp7wGg+sjbxHdGvYqqpesd7HNkQvJAB6&#10;d2OQTojxKYBeKS3kzoujlS6NqFEanpASdDoA3ZZulZIifVQKZCKmocg0lROLoL3PJ9tueH2IPHRa&#10;TC3wp7TwiJPl2mHRK9SOJ06OUf8DZbWIHrxKC+EtG4kURZDFsnqkzUPHgyxcUGoIV9Hh/8GKD6dP&#10;kei2oStKHLc48Mv3b5cfvy4/v5Jl9bIo1AeoMfEhYGoa3vgB9yYrl/2Azkx8UNHmL1IiGEd9z1d9&#10;5ZCIyI/Wq/W6wpDA2HxBHHZ7HiKkt9Jbko2GRhxg0ZWf3kMaU+eUXM35e21MGaJxfzkQM3vYrcds&#10;pWE/TI3vfXtGPj3OvqEOV50S886htHlNZiPOxn42jiHqQ1f2KNeD8PqYsInSW64wwk6FcWiF3bRg&#10;eSv+vJes20+1/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BQAAAAIAIdO4kDOqXm5zwAAAAUB&#10;AAAPAAAAAAAAAAEAIAAAADgAAABkcnMvZG93bnJldi54bWxQSwECFAAUAAAACACHTuJAgHoJ38kB&#10;AACcAwAADgAAAAAAAAABACAAAAA0AQAAZHJzL2Uyb0RvYy54bWxQSwECFAAKAAAAAACHTuJAAAAA&#10;AAAAAAAAAAAABAAAAAAAAAAAABAAAAAWAAAAZHJzL1BLAQIUAAoAAAAAAIdO4kAAAAAAAAAAAAAA&#10;AAAGAAAAAAAAAAAAEAAAACkDAABfcmVs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UAAAACACHTuJAihRmPNEAAACU&#10;AQAACwAAAAAAAAABACAAAABOAwAAX3JlbHMvLnJlbHNQSwECFAAUAAAACACHTuJAzql5uc8AAAAF&#10;AQAADwAAAAAAAAABACAAAAA4AAAAZHJzL2Rvd25yZXYueG1sUEsBAhQAFAAAAAgAh07iQEgdhMXK&#10;AQAAnAMAAA4AAAAAAAAAAQAgAAAANAEAAGRycy9lMm9Eb2MueG1sUEsBAhQACgAAAAAAh07iQAAA&#10;AAAAAAAAAAAAAAQAAAAAAAAAAAAQAAAAFgAAAGRycy9QSwECFAAKAAAAAACHTuJAAAAAAAAAAAAA&#10;AAAABgAAAAAAAAAAABAAAAAqAwAAX3JlbH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p3kmnLAQAAnAMAAA4AAABkcnMv&#10;ZTJvRG9jLnhtbK1TzY7TMBC+I/EOlu/UaVdCVdR0BaoWISFAWngA17EbS/6Tx23SF4A34MSFO8/V&#10;52DsJN1lueyBizOeGX8z3zeTze1gDTnJCNq7hi4XFSXSCd9qd2jo1y93r9aUQOKu5cY72dCzBHq7&#10;ffli04darnznTSsjQRAHdR8a2qUUasZAdNJyWPggHQaVj5YnvMYDayPvEd0atqqq16z3sQ3RCwmA&#10;3t0YpBNifA6gV0oLufPiaKVLI2qUhiekBJ0OQLelW6WkSJ+UApmIaSgyTeXEImjv88m2G14fIg+d&#10;FlML/DktPOFkuXZY9Aq144mTY9T/QFktogev0kJ4y0YiRRFksayeaHPf8SALF5QawlV0+H+w4uPp&#10;cyS6begNJY5bHPjlx/fLz9+XX9/IsrpZZoX6ADUm3gdMTcNbP+DezH5AZyY+qGjzFykRjKO+56u+&#10;ckhE5Efr1XpdYUhgbL4gPnt4HiKkd9Jbko2GRhxg0ZWfPkAaU+eUXM35O21MGaJxfzkQM3tY7n3s&#10;MVtp2A8Tob1vz8inx9k31OGqU2LeO5Q2r8lsxNnYz8YxRH3oyh7lehDeHBM2UXrLFUbYqTAOrbCb&#10;FixvxeN7yXr4qb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FAAAAAgAh07iQIoUZjzRAAAA&#10;lAEAAAsAAAAAAAAAAQAgAAAATwMAAF9yZWxzLy5yZWxzUEsBAhQAFAAAAAgAh07iQM6pebnPAAAA&#10;BQEAAA8AAAAAAAAAAQAgAAAAOAAAAGRycy9kb3ducmV2LnhtbFBLAQIUABQAAAAIAIdO4kBKd5Jp&#10;ywEAAJwDAAAOAAAAAAAAAAEAIAAAADQBAABkcnMvZTJvRG9jLnhtbFBLAQIUAAoAAAAAAIdO4kAA&#10;AAAAAAAAAAAAAAAEAAAAAAAAAAAAEAAAABYAAABkcnMvUEsBAhQACgAAAAAAh07iQAAAAAAAAAAA&#10;AAAAAAYAAAAAAAAAAAAQAAAAKwMAAF9yZWxzL1BLBQYAAAAABgAGAFkBAABx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C1E04"/>
    <w:multiLevelType w:val="singleLevel"/>
    <w:tmpl w:val="E7CC1E04"/>
    <w:lvl w:ilvl="0" w:tentative="0">
      <w:start w:val="4"/>
      <w:numFmt w:val="chineseCounting"/>
      <w:suff w:val="space"/>
      <w:lvlText w:val="第%1部分"/>
      <w:lvlJc w:val="left"/>
      <w:pPr>
        <w:ind w:left="1920" w:firstLine="0"/>
      </w:pPr>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NjdlZTA0ZWNiMzE3ODI3YWQ0ZTAzMTQzOGRkYmMifQ=="/>
    <w:docVar w:name="KSO_WPS_MARK_KEY" w:val="2f69f075-3210-4808-bb2c-cc5341990ab4"/>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143774"/>
    <w:rsid w:val="0799329C"/>
    <w:rsid w:val="08397436"/>
    <w:rsid w:val="086F16A7"/>
    <w:rsid w:val="08C402B0"/>
    <w:rsid w:val="0A0F7225"/>
    <w:rsid w:val="0A2B7D82"/>
    <w:rsid w:val="0A450190"/>
    <w:rsid w:val="0ADC40E9"/>
    <w:rsid w:val="0AE607F4"/>
    <w:rsid w:val="0B386127"/>
    <w:rsid w:val="0B451598"/>
    <w:rsid w:val="0BEC73F4"/>
    <w:rsid w:val="0C392698"/>
    <w:rsid w:val="0D2D3CA3"/>
    <w:rsid w:val="10BD36F6"/>
    <w:rsid w:val="11BF0649"/>
    <w:rsid w:val="12015736"/>
    <w:rsid w:val="123E3E08"/>
    <w:rsid w:val="133212F4"/>
    <w:rsid w:val="13D22E22"/>
    <w:rsid w:val="161C2DFF"/>
    <w:rsid w:val="16373578"/>
    <w:rsid w:val="16D3336B"/>
    <w:rsid w:val="17200028"/>
    <w:rsid w:val="17806C36"/>
    <w:rsid w:val="17A74F62"/>
    <w:rsid w:val="18A47774"/>
    <w:rsid w:val="1A776ECE"/>
    <w:rsid w:val="1A8D28EB"/>
    <w:rsid w:val="1A9F2D78"/>
    <w:rsid w:val="1B2E6FD8"/>
    <w:rsid w:val="1B877D21"/>
    <w:rsid w:val="1C29338A"/>
    <w:rsid w:val="1C2F0C7F"/>
    <w:rsid w:val="1C4319A9"/>
    <w:rsid w:val="1E443B4B"/>
    <w:rsid w:val="1E994F4A"/>
    <w:rsid w:val="1EAF0224"/>
    <w:rsid w:val="1EFE92CD"/>
    <w:rsid w:val="1F2230A4"/>
    <w:rsid w:val="20210932"/>
    <w:rsid w:val="202448E0"/>
    <w:rsid w:val="20F614FE"/>
    <w:rsid w:val="21302EEA"/>
    <w:rsid w:val="21852E5A"/>
    <w:rsid w:val="222C0CDB"/>
    <w:rsid w:val="22376FB5"/>
    <w:rsid w:val="228F23FE"/>
    <w:rsid w:val="23E152D7"/>
    <w:rsid w:val="23EE2489"/>
    <w:rsid w:val="255D43C8"/>
    <w:rsid w:val="25747F36"/>
    <w:rsid w:val="26714EF8"/>
    <w:rsid w:val="26876BDD"/>
    <w:rsid w:val="26C13AD3"/>
    <w:rsid w:val="26FF104E"/>
    <w:rsid w:val="2714632A"/>
    <w:rsid w:val="27541E73"/>
    <w:rsid w:val="277A793B"/>
    <w:rsid w:val="27B0539E"/>
    <w:rsid w:val="28C50E13"/>
    <w:rsid w:val="29365CF8"/>
    <w:rsid w:val="299469B3"/>
    <w:rsid w:val="2A805789"/>
    <w:rsid w:val="2ADC0D75"/>
    <w:rsid w:val="2B4A0E52"/>
    <w:rsid w:val="2B7BF7BF"/>
    <w:rsid w:val="2C975890"/>
    <w:rsid w:val="2DB46295"/>
    <w:rsid w:val="2DEF21BB"/>
    <w:rsid w:val="2E4A2F05"/>
    <w:rsid w:val="2ECC1061"/>
    <w:rsid w:val="2FA476AD"/>
    <w:rsid w:val="303F7540"/>
    <w:rsid w:val="31DD00BF"/>
    <w:rsid w:val="3293174C"/>
    <w:rsid w:val="32BB38D4"/>
    <w:rsid w:val="32C9376D"/>
    <w:rsid w:val="33780472"/>
    <w:rsid w:val="338A5133"/>
    <w:rsid w:val="33AF0905"/>
    <w:rsid w:val="355932F4"/>
    <w:rsid w:val="35611882"/>
    <w:rsid w:val="36746FC3"/>
    <w:rsid w:val="368763AE"/>
    <w:rsid w:val="36902761"/>
    <w:rsid w:val="37175297"/>
    <w:rsid w:val="395D59E7"/>
    <w:rsid w:val="39A93932"/>
    <w:rsid w:val="3A915562"/>
    <w:rsid w:val="3B8D4765"/>
    <w:rsid w:val="3C000DBA"/>
    <w:rsid w:val="3DC045D3"/>
    <w:rsid w:val="3E504FFB"/>
    <w:rsid w:val="3E615CD0"/>
    <w:rsid w:val="3E9C47F6"/>
    <w:rsid w:val="3F8B0112"/>
    <w:rsid w:val="3FAB3095"/>
    <w:rsid w:val="3FBF8363"/>
    <w:rsid w:val="3FE45947"/>
    <w:rsid w:val="41242965"/>
    <w:rsid w:val="435671EA"/>
    <w:rsid w:val="440809E9"/>
    <w:rsid w:val="442407A6"/>
    <w:rsid w:val="44805EA1"/>
    <w:rsid w:val="45710696"/>
    <w:rsid w:val="46142B1B"/>
    <w:rsid w:val="46D6547D"/>
    <w:rsid w:val="47E60DD0"/>
    <w:rsid w:val="48735039"/>
    <w:rsid w:val="492C684B"/>
    <w:rsid w:val="49500594"/>
    <w:rsid w:val="49A03785"/>
    <w:rsid w:val="49E7604E"/>
    <w:rsid w:val="4BF67CDD"/>
    <w:rsid w:val="4D173441"/>
    <w:rsid w:val="4D603DD6"/>
    <w:rsid w:val="4DF4590F"/>
    <w:rsid w:val="4EBF010F"/>
    <w:rsid w:val="4F471EB0"/>
    <w:rsid w:val="51331326"/>
    <w:rsid w:val="51740A7F"/>
    <w:rsid w:val="51A5541E"/>
    <w:rsid w:val="51C96242"/>
    <w:rsid w:val="53906AE1"/>
    <w:rsid w:val="53BA0EE1"/>
    <w:rsid w:val="54F46F60"/>
    <w:rsid w:val="55A37BEA"/>
    <w:rsid w:val="55F61D5C"/>
    <w:rsid w:val="56362CD2"/>
    <w:rsid w:val="5747A594"/>
    <w:rsid w:val="5784687B"/>
    <w:rsid w:val="57846959"/>
    <w:rsid w:val="578E6A87"/>
    <w:rsid w:val="59CE6957"/>
    <w:rsid w:val="5A0A35D4"/>
    <w:rsid w:val="5AC2203A"/>
    <w:rsid w:val="5CBB3334"/>
    <w:rsid w:val="5D115FAF"/>
    <w:rsid w:val="62811722"/>
    <w:rsid w:val="62E75A72"/>
    <w:rsid w:val="63F36DE7"/>
    <w:rsid w:val="64571880"/>
    <w:rsid w:val="649125B6"/>
    <w:rsid w:val="651177AA"/>
    <w:rsid w:val="652F4C1A"/>
    <w:rsid w:val="666D37F1"/>
    <w:rsid w:val="67087D8F"/>
    <w:rsid w:val="671F687E"/>
    <w:rsid w:val="67F415F8"/>
    <w:rsid w:val="682640D1"/>
    <w:rsid w:val="684B73E5"/>
    <w:rsid w:val="6A047A2A"/>
    <w:rsid w:val="6AB5573B"/>
    <w:rsid w:val="6BA8071F"/>
    <w:rsid w:val="6BD44692"/>
    <w:rsid w:val="6D380E5F"/>
    <w:rsid w:val="6E966D25"/>
    <w:rsid w:val="6EFB7548"/>
    <w:rsid w:val="6F3831C3"/>
    <w:rsid w:val="6F8B71C1"/>
    <w:rsid w:val="70753482"/>
    <w:rsid w:val="707B522A"/>
    <w:rsid w:val="70FD79DA"/>
    <w:rsid w:val="713A2665"/>
    <w:rsid w:val="73194D05"/>
    <w:rsid w:val="73A83B0E"/>
    <w:rsid w:val="73E301CD"/>
    <w:rsid w:val="744D3EF9"/>
    <w:rsid w:val="74794411"/>
    <w:rsid w:val="75867C40"/>
    <w:rsid w:val="75B10B26"/>
    <w:rsid w:val="75F97A94"/>
    <w:rsid w:val="76432199"/>
    <w:rsid w:val="76741D2A"/>
    <w:rsid w:val="76F44829"/>
    <w:rsid w:val="76F7224E"/>
    <w:rsid w:val="771F88D6"/>
    <w:rsid w:val="77A267C0"/>
    <w:rsid w:val="77D9530E"/>
    <w:rsid w:val="78882278"/>
    <w:rsid w:val="78B118A6"/>
    <w:rsid w:val="79135044"/>
    <w:rsid w:val="7A7D0F99"/>
    <w:rsid w:val="7BFFDAC2"/>
    <w:rsid w:val="7CAE3154"/>
    <w:rsid w:val="7D124E1E"/>
    <w:rsid w:val="7D5F0947"/>
    <w:rsid w:val="7E4A0E7C"/>
    <w:rsid w:val="7E734292"/>
    <w:rsid w:val="7EFD449D"/>
    <w:rsid w:val="7FEF4AA7"/>
    <w:rsid w:val="9BFF594C"/>
    <w:rsid w:val="B6FBA0C4"/>
    <w:rsid w:val="BDFED63D"/>
    <w:rsid w:val="DDCB3C1B"/>
    <w:rsid w:val="F3D44726"/>
    <w:rsid w:val="FB2B4124"/>
    <w:rsid w:val="FF5B0E5C"/>
    <w:rsid w:val="FFAFE2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39</Pages>
  <Words>10307</Words>
  <Characters>13139</Characters>
  <Lines>60</Lines>
  <Paragraphs>16</Paragraphs>
  <TotalTime>42</TotalTime>
  <ScaleCrop>false</ScaleCrop>
  <LinksUpToDate>false</LinksUpToDate>
  <CharactersWithSpaces>13573</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2007-12-03T11:41:00Z</dcterms:created>
  <dc:creator>管理者</dc:creator>
  <cp:lastModifiedBy>huanghe</cp:lastModifiedBy>
  <cp:lastPrinted>2022-09-10T18:36:00Z</cp:lastPrinted>
  <dcterms:modified xsi:type="dcterms:W3CDTF">2023-05-10T15:32:54Z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F42907A5C67944B7A48C5EA55CCD4878_13</vt:lpwstr>
  </property>
</Properties>
</file>