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highlight w:val="none"/>
        </w:rPr>
      </w:pPr>
      <w:bookmarkStart w:id="0" w:name="_GoBack"/>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许昌市教育局部门决算</w:t>
      </w: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许昌市教育局概况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许昌市教育局概况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widowControl/>
        <w:ind w:firstLine="640" w:firstLineChars="200"/>
        <w:jc w:val="left"/>
        <w:rPr>
          <w:rFonts w:ascii="楷体_GB2312" w:hAnsi="楷体_GB2312" w:eastAsia="楷体_GB2312" w:cs="楷体_GB2312"/>
          <w:color w:val="auto"/>
          <w:sz w:val="32"/>
          <w:szCs w:val="32"/>
          <w:highlight w:val="none"/>
        </w:rPr>
      </w:pPr>
      <w:r>
        <w:rPr>
          <w:rFonts w:hint="eastAsia" w:ascii="仿宋_GB2312" w:hAnsi="仿宋_GB2312" w:eastAsia="仿宋_GB2312" w:cs="仿宋_GB2312"/>
          <w:color w:val="auto"/>
          <w:kern w:val="0"/>
          <w:sz w:val="32"/>
          <w:szCs w:val="32"/>
          <w:highlight w:val="none"/>
        </w:rPr>
        <w:t>贯彻落实国家教育改革与发展的方针、政策和规划，负责教育理论的研究和宣传工作；负责全市各级各类教育的统筹规划和协调管理；研究制定全市教育改革发展战略和教育事业发展规划；指导各级各类学校实施教育教学改革；负责全市教育信息的统计、分析和发布工作；负责推进义务教育均衡发展和促进教育公平；负责义务教育的宏观指导与协调；指导普通高中、幼儿教育和特殊教育工作；落实基础教育教学基本要求和教学基本文件，全面实施素质教育；指导以就业为导向的职业教育的发展与改革，落实中等职业教育专业目录、教学指导文件和教学评估标准；负责中等职业教育教材建设和职业指导工作。指导各级各类学校的思想政治工作、德育、体育、卫生、艺术教育与国防教育工作；主管全市教师工作，负责全市各级各类学校教师资格制度实施；负责教育系统的表彰奖励，归口管理教师和教育管理人员继续教育；指导各级各类学校内部人事与分配制度改革；指导全市教育系统人才队伍建设；负责全市中小学校的安全教育和安全工作等。</w:t>
      </w: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spacing w:line="360" w:lineRule="auto"/>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教育局内设机构14个，包括：办公室、市委教育工作领导小组秘书组秘书科、人事科、发展规划科、财务科、基础教育科、职业教育与成人教育科、教师教育科、体育卫生艺术教育科、教育督导办公室、安全管理科、招生考试科、组织工作科、思想政治科。</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从决算单位构成看，许昌市教育局部门决算包括：本级决算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、所属单位决算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27个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spacing w:line="360" w:lineRule="auto"/>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本决算为汇总决算，纳入本部门2021年度部门决算编制范围的单位共28个，其中二级预算单位2</w:t>
      </w: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个，具体是：</w:t>
      </w:r>
    </w:p>
    <w:p>
      <w:pPr>
        <w:widowControl/>
        <w:spacing w:line="360" w:lineRule="auto"/>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1.许昌市教育局（本级）</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2.许昌市职业与成人教育教学研究室</w:t>
      </w:r>
    </w:p>
    <w:p>
      <w:pPr>
        <w:widowControl/>
        <w:spacing w:line="360" w:lineRule="auto"/>
        <w:ind w:firstLine="640" w:firstLineChars="200"/>
        <w:jc w:val="left"/>
        <w:rPr>
          <w:rFonts w:ascii="黑体" w:hAnsi="宋体" w:eastAsia="黑体" w:cs="宋体"/>
          <w:color w:val="auto"/>
          <w:kern w:val="0"/>
          <w:sz w:val="28"/>
          <w:szCs w:val="28"/>
          <w:highlight w:val="none"/>
        </w:rPr>
      </w:pPr>
      <w:r>
        <w:rPr>
          <w:rFonts w:hint="eastAsia" w:ascii="仿宋_GB2312" w:hAnsi="仿宋_GB2312" w:eastAsia="仿宋_GB2312" w:cs="仿宋_GB2312"/>
          <w:color w:val="auto"/>
          <w:kern w:val="0"/>
          <w:sz w:val="32"/>
          <w:szCs w:val="32"/>
          <w:highlight w:val="none"/>
        </w:rPr>
        <w:t>3.许昌市电化教育馆</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4.许昌市招生考试</w:t>
      </w:r>
      <w:r>
        <w:rPr>
          <w:rFonts w:hint="eastAsia" w:ascii="仿宋_GB2312" w:hAnsi="仿宋_GB2312" w:eastAsia="仿宋_GB2312" w:cs="仿宋_GB2312"/>
          <w:color w:val="auto"/>
          <w:kern w:val="0"/>
          <w:sz w:val="32"/>
          <w:szCs w:val="32"/>
          <w:highlight w:val="none"/>
          <w:lang w:val="en-US" w:eastAsia="zh-CN"/>
        </w:rPr>
        <w:t>中心</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5.许昌市普通教育教学研究室</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6.许昌教学技术装备管理中心</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7.许昌市中小学教师培训中心</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8.许昌市中小学综合实践教育教学研究中心</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9.许昌市第一中学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10.许昌市第二中学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11.许昌市第三初级中学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12.许昌市第六中学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13.许昌市第八中学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14.许昌市第九中学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15.许昌市第十二中学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16.许昌市高级中学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17.许昌第二高级中学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18.许昌第三高级中学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19.许昌第五高级中学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20.许昌实验中学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21.许昌实验小学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22.许昌市毓秀路小学</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23.许昌市特殊教育学校</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24.许昌实验幼儿园</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25.许昌第二实验幼儿园</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26.许昌市人民政府机关幼儿园</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27.许昌幼儿师范学校</w:t>
      </w:r>
    </w:p>
    <w:p>
      <w:pPr>
        <w:widowControl/>
        <w:ind w:firstLine="640" w:firstLineChars="200"/>
        <w:jc w:val="left"/>
        <w:rPr>
          <w:rFonts w:ascii="黑体" w:hAnsi="宋体" w:eastAsia="黑体" w:cs="宋体"/>
          <w:color w:val="auto"/>
          <w:kern w:val="0"/>
          <w:sz w:val="28"/>
          <w:szCs w:val="28"/>
          <w:highlight w:val="none"/>
        </w:rPr>
      </w:pPr>
      <w:r>
        <w:rPr>
          <w:rFonts w:hint="eastAsia" w:ascii="仿宋_GB2312" w:hAnsi="仿宋_GB2312" w:eastAsia="仿宋_GB2312" w:cs="仿宋_GB2312"/>
          <w:color w:val="auto"/>
          <w:kern w:val="0"/>
          <w:sz w:val="32"/>
          <w:szCs w:val="32"/>
          <w:highlight w:val="none"/>
        </w:rPr>
        <w:t>28.许昌工商管理学校</w:t>
      </w:r>
    </w:p>
    <w:p>
      <w:pPr>
        <w:widowControl/>
        <w:ind w:firstLine="640" w:firstLineChars="200"/>
        <w:jc w:val="left"/>
        <w:rPr>
          <w:rFonts w:ascii="仿宋_GB2312" w:hAnsi="仿宋_GB2312" w:eastAsia="仿宋_GB2312" w:cs="仿宋_GB2312"/>
          <w:color w:val="auto"/>
          <w:kern w:val="0"/>
          <w:sz w:val="32"/>
          <w:szCs w:val="32"/>
          <w:highlight w:val="none"/>
        </w:rPr>
      </w:pPr>
    </w:p>
    <w:p>
      <w:pPr>
        <w:widowControl/>
        <w:jc w:val="left"/>
        <w:rPr>
          <w:rFonts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lang w:val="en-US" w:eastAsia="zh-CN"/>
              </w:rPr>
              <w:t>许昌市教育局</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57,719.49</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278.33</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二、政府性基金</w:t>
            </w:r>
            <w:r>
              <w:rPr>
                <w:rFonts w:ascii="宋体" w:hAnsi="宋体" w:cs="宋体"/>
                <w:color w:val="auto"/>
                <w:kern w:val="0"/>
                <w:sz w:val="20"/>
                <w:szCs w:val="20"/>
                <w:highlight w:val="none"/>
              </w:rPr>
              <w:t>预算财政拨款</w:t>
            </w:r>
            <w:r>
              <w:rPr>
                <w:rFonts w:hint="eastAsia" w:ascii="宋体" w:hAnsi="宋体" w:cs="宋体"/>
                <w:color w:val="auto"/>
                <w:kern w:val="0"/>
                <w:sz w:val="20"/>
                <w:szCs w:val="20"/>
                <w:highlight w:val="none"/>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三、国有资本</w:t>
            </w:r>
            <w:r>
              <w:rPr>
                <w:rFonts w:ascii="宋体" w:hAnsi="宋体" w:cs="宋体"/>
                <w:color w:val="auto"/>
                <w:kern w:val="0"/>
                <w:sz w:val="20"/>
                <w:szCs w:val="20"/>
                <w:highlight w:val="none"/>
              </w:rPr>
              <w:t>经营预算财政拨款</w:t>
            </w:r>
            <w:r>
              <w:rPr>
                <w:rFonts w:hint="eastAsia" w:ascii="宋体" w:hAnsi="宋体" w:cs="宋体"/>
                <w:color w:val="auto"/>
                <w:kern w:val="0"/>
                <w:sz w:val="20"/>
                <w:szCs w:val="20"/>
                <w:highlight w:val="none"/>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4,447.61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69,285.37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21</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11.39</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279.83</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23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7,444.73</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1,540.97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十、其他</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14.03</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62,446.94</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b/>
                <w:color w:val="auto"/>
                <w:sz w:val="20"/>
                <w:szCs w:val="20"/>
                <w:highlight w:val="none"/>
              </w:rPr>
            </w:pPr>
            <w:r>
              <w:rPr>
                <w:rFonts w:hint="eastAsia" w:ascii="宋体" w:hAnsi="宋体" w:cs="宋体"/>
                <w:color w:val="auto"/>
                <w:kern w:val="0"/>
                <w:sz w:val="22"/>
                <w:highlight w:val="none"/>
              </w:rPr>
              <w:t>78,574.82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使用非</w:t>
            </w:r>
            <w:r>
              <w:rPr>
                <w:rFonts w:ascii="宋体" w:hAnsi="宋体" w:cs="宋体"/>
                <w:color w:val="auto"/>
                <w:kern w:val="0"/>
                <w:sz w:val="20"/>
                <w:szCs w:val="20"/>
                <w:highlight w:val="none"/>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103.99</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16,926.67</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694.80</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ascii="宋体" w:hAnsi="宋体" w:cs="宋体"/>
                <w:color w:val="auto"/>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14</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ascii="宋体" w:hAnsi="宋体" w:cs="宋体"/>
                <w:color w:val="auto"/>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29</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jc w:val="left"/>
              <w:rPr>
                <w:rFonts w:ascii="宋体" w:hAnsi="宋体" w:cs="宋体"/>
                <w:color w:val="auto"/>
                <w:sz w:val="20"/>
                <w:szCs w:val="20"/>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79,373.60</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30</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b/>
                <w:color w:val="auto"/>
                <w:sz w:val="20"/>
                <w:szCs w:val="20"/>
                <w:highlight w:val="none"/>
              </w:rPr>
            </w:pPr>
            <w:r>
              <w:rPr>
                <w:rFonts w:hint="eastAsia" w:ascii="宋体" w:hAnsi="宋体" w:cs="宋体"/>
                <w:color w:val="auto"/>
                <w:kern w:val="0"/>
                <w:sz w:val="22"/>
                <w:highlight w:val="none"/>
              </w:rPr>
              <w:t>79,373.60</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注：本表反映部门本年度的总收支和年末结转结余情况。本表金额转换为万元时，因四舍五入可能存在尾差。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27"/>
        <w:gridCol w:w="59"/>
        <w:gridCol w:w="1271"/>
        <w:gridCol w:w="1553"/>
        <w:gridCol w:w="88"/>
        <w:gridCol w:w="1465"/>
        <w:gridCol w:w="176"/>
        <w:gridCol w:w="1377"/>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公开02表</w:t>
            </w:r>
          </w:p>
        </w:tc>
      </w:tr>
      <w:tr>
        <w:tblPrEx>
          <w:tblCellMar>
            <w:top w:w="0" w:type="dxa"/>
            <w:left w:w="0" w:type="dxa"/>
            <w:bottom w:w="0" w:type="dxa"/>
            <w:right w:w="0" w:type="dxa"/>
          </w:tblCellMar>
        </w:tblPrEx>
        <w:trPr>
          <w:trHeight w:val="300" w:hRule="atLeast"/>
        </w:trPr>
        <w:tc>
          <w:tcPr>
            <w:tcW w:w="2357"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lang w:val="en-US" w:eastAsia="zh-CN"/>
              </w:rPr>
              <w:t>许昌市教育局</w:t>
            </w: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CellMar>
            <w:top w:w="0" w:type="dxa"/>
            <w:left w:w="0" w:type="dxa"/>
            <w:bottom w:w="0" w:type="dxa"/>
            <w:right w:w="0" w:type="dxa"/>
          </w:tblCellMar>
        </w:tblPrEx>
        <w:trPr>
          <w:trHeight w:val="450" w:hRule="atLeast"/>
        </w:trPr>
        <w:tc>
          <w:tcPr>
            <w:tcW w:w="235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功能分类</w:t>
            </w:r>
          </w:p>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科目编码</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235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7</w:t>
            </w:r>
          </w:p>
        </w:tc>
      </w:tr>
      <w:tr>
        <w:tblPrEx>
          <w:tblCellMar>
            <w:top w:w="0" w:type="dxa"/>
            <w:left w:w="0" w:type="dxa"/>
            <w:bottom w:w="0" w:type="dxa"/>
            <w:right w:w="0" w:type="dxa"/>
          </w:tblCellMar>
        </w:tblPrEx>
        <w:trPr>
          <w:trHeight w:val="450" w:hRule="atLeast"/>
        </w:trPr>
        <w:tc>
          <w:tcPr>
            <w:tcW w:w="235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b/>
                <w:bCs/>
                <w:color w:val="auto"/>
                <w:kern w:val="0"/>
                <w:sz w:val="22"/>
                <w:highlight w:val="none"/>
              </w:rPr>
              <w:t>62,446.94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b/>
                <w:bCs/>
                <w:color w:val="auto"/>
                <w:kern w:val="0"/>
                <w:sz w:val="22"/>
                <w:highlight w:val="none"/>
              </w:rPr>
              <w:t>57,719.49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b/>
                <w:bCs/>
                <w:color w:val="auto"/>
                <w:kern w:val="0"/>
                <w:sz w:val="22"/>
                <w:highlight w:val="none"/>
              </w:rPr>
              <w:t>4,447.61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b/>
                <w:bCs/>
                <w:color w:val="auto"/>
                <w:kern w:val="0"/>
                <w:sz w:val="22"/>
                <w:highlight w:val="none"/>
              </w:rPr>
              <w:t>279.83</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一般公共服务支出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20129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群众团体事务</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2012906</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工会事务</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教育支出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53,954.07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49,232.05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4,447.61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274.40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教育管理事务</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3,143.12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2,334.04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546.00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263.08</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2050101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行政运行</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1,552.89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997.60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346.00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209.29</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2050102</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一般行政管理事务</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626.54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426.54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2050199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其他教育管理事务支出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963.69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909.90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53.79</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普通教育</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40,132.71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36,986.10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3,146.61</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学前教育</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2,621.65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2,457.57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164.08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2050202</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小学教育</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5,717.25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5,717.25</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2050203</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初中教育</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15,639.26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15,170.56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468.70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2050204</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高中教育</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14,041.73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11,527.90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2,513.83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高等教育</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其他普通教育支出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2,111.39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2,111.39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20503</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职业教育</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9,446.74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8,680.42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755.00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11.32</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2050302</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中等职业教育</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9,314.08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8,559.08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755.00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2050305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高等职业教育</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2050399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其他职业教育支出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124.66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113.34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11.32</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20507</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特殊教育</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934.88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934.88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2050701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特殊学校教育</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934.88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934.88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教育费附加安排的支出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2050999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其他教育费附加安排的支出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其他教育支出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289.58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289.58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2059999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其他教育支出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289.58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289.58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文化旅游体育与传媒支出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文化和旅游</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2070199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其他文化和旅游支出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社会保障和就业支出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6,804.39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6,804.39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行政事业单位养老支出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6,630.17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6,630.17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行政单位离退休</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165.46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165.46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2080502</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事业单位离退休</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3,419.66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3,419.66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机关事业单位基本养老保险缴费支出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3,044.16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3,044.16</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2080506</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机关事业单位职业年金缴费支出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0.89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0.89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20808</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抚恤</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174.22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174.22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2080801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死亡抚恤</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174.22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174.22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卫生健康支出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1,399.12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1,399.12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21011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行政事业单位医疗</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1,399.12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1,399.12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2101101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行政单位医疗</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28.48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28.48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2101102</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事业单位医疗</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1,344.07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1,344.07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2101103</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公务员医疗补助</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26.57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26.57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229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其他支出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5.43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5.43</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22999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其他支出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5.43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5.43</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2299999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其他支出</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5.43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5.43</w:t>
            </w: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注：本表反映部门本年度取得的各项收入情况。本表金额转换为万元时，因四舍五入可能存在尾差。</w:t>
            </w:r>
          </w:p>
        </w:tc>
      </w:tr>
    </w:tbl>
    <w:p>
      <w:pPr>
        <w:rPr>
          <w:rFonts w:ascii="仿宋_GB2312" w:hAnsi="仿宋_GB2312" w:eastAsia="仿宋_GB2312" w:cs="仿宋_GB2312"/>
          <w:color w:val="auto"/>
          <w:sz w:val="32"/>
          <w:szCs w:val="32"/>
          <w:highlight w:val="none"/>
        </w:rPr>
      </w:pPr>
    </w:p>
    <w:tbl>
      <w:tblPr>
        <w:tblStyle w:val="5"/>
        <w:tblW w:w="0" w:type="auto"/>
        <w:tblInd w:w="0" w:type="dxa"/>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公开03表</w:t>
            </w:r>
          </w:p>
        </w:tc>
      </w:tr>
      <w:tr>
        <w:tblPrEx>
          <w:tblCellMar>
            <w:top w:w="0" w:type="dxa"/>
            <w:left w:w="0" w:type="dxa"/>
            <w:bottom w:w="0" w:type="dxa"/>
            <w:right w:w="0" w:type="dxa"/>
          </w:tblCellMar>
        </w:tblPrEx>
        <w:trPr>
          <w:trHeight w:val="300" w:hRule="atLeast"/>
        </w:trPr>
        <w:tc>
          <w:tcPr>
            <w:tcW w:w="2559"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lang w:val="en-US" w:eastAsia="zh-CN"/>
              </w:rPr>
              <w:t>许昌市教育局</w:t>
            </w:r>
          </w:p>
        </w:tc>
        <w:tc>
          <w:tcPr>
            <w:tcW w:w="177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功能分类</w:t>
            </w:r>
          </w:p>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6</w:t>
            </w:r>
          </w:p>
        </w:tc>
      </w:tr>
      <w:tr>
        <w:tblPrEx>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b/>
                <w:bCs/>
                <w:color w:val="auto"/>
                <w:kern w:val="0"/>
                <w:sz w:val="22"/>
                <w:highlight w:val="none"/>
              </w:rPr>
              <w:t>78,574.82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b/>
                <w:bCs/>
                <w:color w:val="auto"/>
                <w:kern w:val="0"/>
                <w:sz w:val="22"/>
                <w:highlight w:val="none"/>
              </w:rPr>
              <w:t>64,924.95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b/>
                <w:bCs/>
                <w:color w:val="auto"/>
                <w:kern w:val="0"/>
                <w:sz w:val="22"/>
                <w:highlight w:val="none"/>
              </w:rPr>
              <w:t>13,649.87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20129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群众团体事务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2012906</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工会事务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教育支出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69,285.37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55,739.74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13,545.63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教育管理事务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3,590.39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2,633.70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956.69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2050101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行政运行</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1,679.68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1,679.68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2050102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一般行政管理事务</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866.85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866.85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2050199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其他教育管理事务支出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1,043.87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954.02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89.85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普通教育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52,530.39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42,640.43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9,889.95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学前教育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3,237.69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2,903.01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334.67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小学教育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6,396.80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6,124.51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272.28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初中教育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17,712.15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17,006.34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705.82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2050204</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高中教育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16,143.28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15,328.43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814.85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高等教育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0.34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其他普通教育支出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9,039.05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1,277.81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7,761.24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职业教育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11,746.77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9,336.17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2,410.60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2050302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中等职业教育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11,391.16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9,043.79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2,347.37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2050305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高等职业教育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8.00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2050399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其他职业教育支出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347.61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292.39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55.22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20507</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特殊教育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1,121.21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1,096.27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24.94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2050701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特殊学校教育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1,111.87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1,096.27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15.60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2050799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其他特殊教育支出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9.34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9.34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教育费附加安排的支出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2050999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其他教育费附加安排的支出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其他教育支出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289.58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33.17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256.41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2059999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其他教育支出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289.58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33.17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256.41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文化旅游体育与传媒支出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11.39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文化和旅游</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2070199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其他文化和旅游支出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体育</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2070301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行政运行</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7,444.73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7,354.69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行政事业单位养老支出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7,166.40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7,166.40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行政单位离退休</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197.22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197.22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事业单位离退休</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3,699.82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3,699.82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机关事业单位基本养老保险缴费支出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3,268.46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3,268.46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2080506</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机关事业单位职业年金缴费支出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0.89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0.89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20807</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就业补助</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2080702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职业培训补贴</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抚恤</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188.30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188.30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2080801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死亡抚恤</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188.30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188.30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卫生健康支出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1,540.97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1,540.97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21011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行政事业单位医疗</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1,540.97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1,540.97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2101101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行政单位医疗</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29.94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29.94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2101102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事业单位医疗</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1,482.65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1,482.65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2101103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公务员医疗补助</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28.38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28.38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229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其他支出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14.03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5.43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8.60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22999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其他支出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14.03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5.43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8.60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2299999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其他支出</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14.03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5.43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8.60</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注：本表反映部门本年度各项支出情况。本表金额转换为万元时，因四舍五入可能存在尾差。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17"/>
        <w:gridCol w:w="1297"/>
        <w:gridCol w:w="1210"/>
        <w:gridCol w:w="2596"/>
        <w:gridCol w:w="993"/>
        <w:gridCol w:w="1189"/>
        <w:gridCol w:w="1140"/>
        <w:gridCol w:w="130"/>
        <w:gridCol w:w="878"/>
        <w:gridCol w:w="1123"/>
      </w:tblGrid>
      <w:tr>
        <w:tblPrEx>
          <w:tblCellMar>
            <w:top w:w="0" w:type="dxa"/>
            <w:left w:w="0" w:type="dxa"/>
            <w:bottom w:w="0" w:type="dxa"/>
            <w:right w:w="0" w:type="dxa"/>
          </w:tblCellMar>
        </w:tblPrEx>
        <w:trPr>
          <w:trHeight w:val="360" w:hRule="atLeast"/>
        </w:trPr>
        <w:tc>
          <w:tcPr>
            <w:tcW w:w="12850"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财政拨款收入支出决算总表</w:t>
            </w:r>
          </w:p>
        </w:tc>
        <w:tc>
          <w:tcPr>
            <w:tcW w:w="1123" w:type="dxa"/>
            <w:tcBorders>
              <w:top w:val="nil"/>
              <w:left w:val="nil"/>
              <w:bottom w:val="nil"/>
              <w:right w:val="nil"/>
            </w:tcBorders>
          </w:tcPr>
          <w:p>
            <w:pPr>
              <w:widowControl/>
              <w:jc w:val="center"/>
              <w:textAlignment w:val="center"/>
              <w:rPr>
                <w:rFonts w:ascii="华文中宋" w:hAnsi="华文中宋" w:eastAsia="华文中宋" w:cs="华文中宋"/>
                <w:color w:val="auto"/>
                <w:kern w:val="0"/>
                <w:sz w:val="32"/>
                <w:szCs w:val="32"/>
                <w:highlight w:val="none"/>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18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270"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ascii="宋体" w:hAnsi="宋体" w:cs="宋体"/>
                <w:color w:val="auto"/>
                <w:sz w:val="20"/>
                <w:szCs w:val="20"/>
                <w:highlight w:val="none"/>
              </w:rPr>
            </w:pPr>
            <w:r>
              <w:rPr>
                <w:rFonts w:hint="eastAsia" w:ascii="宋体" w:hAnsi="宋体" w:cs="宋体"/>
                <w:color w:val="auto"/>
                <w:sz w:val="20"/>
                <w:szCs w:val="20"/>
                <w:highlight w:val="none"/>
              </w:rPr>
              <w:t xml:space="preserve"> </w:t>
            </w:r>
            <w:r>
              <w:rPr>
                <w:rFonts w:ascii="宋体" w:hAnsi="宋体" w:cs="宋体"/>
                <w:color w:val="auto"/>
                <w:sz w:val="20"/>
                <w:szCs w:val="20"/>
                <w:highlight w:val="none"/>
              </w:rPr>
              <w:t xml:space="preserve">       </w:t>
            </w:r>
          </w:p>
        </w:tc>
        <w:tc>
          <w:tcPr>
            <w:tcW w:w="87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kern w:val="0"/>
                <w:sz w:val="20"/>
                <w:szCs w:val="20"/>
                <w:highlight w:val="none"/>
              </w:rPr>
            </w:pPr>
          </w:p>
        </w:tc>
        <w:tc>
          <w:tcPr>
            <w:tcW w:w="1123" w:type="dxa"/>
            <w:tcBorders>
              <w:top w:val="nil"/>
              <w:left w:val="nil"/>
              <w:bottom w:val="nil"/>
              <w:right w:val="nil"/>
            </w:tcBorders>
            <w:shd w:val="clear" w:color="auto" w:fill="FFFFFF"/>
            <w:vAlign w:val="center"/>
          </w:tcPr>
          <w:p>
            <w:pPr>
              <w:widowControl/>
              <w:jc w:val="righ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公开04表</w:t>
            </w:r>
          </w:p>
        </w:tc>
      </w:tr>
      <w:tr>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lang w:val="en-US" w:eastAsia="zh-CN"/>
              </w:rPr>
              <w:t>许昌市教育局</w:t>
            </w: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18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27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87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kern w:val="0"/>
                <w:sz w:val="20"/>
                <w:szCs w:val="20"/>
                <w:highlight w:val="none"/>
              </w:rPr>
            </w:pPr>
          </w:p>
        </w:tc>
        <w:tc>
          <w:tcPr>
            <w:tcW w:w="1123" w:type="dxa"/>
            <w:tcBorders>
              <w:top w:val="nil"/>
              <w:left w:val="nil"/>
              <w:bottom w:val="nil"/>
              <w:right w:val="nil"/>
            </w:tcBorders>
            <w:shd w:val="clear" w:color="auto" w:fill="FFFFFF"/>
            <w:vAlign w:val="center"/>
          </w:tcPr>
          <w:p>
            <w:pPr>
              <w:widowControl/>
              <w:jc w:val="righ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行次</w:t>
            </w: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一般公共预算财政拨款</w:t>
            </w:r>
          </w:p>
        </w:tc>
        <w:tc>
          <w:tcPr>
            <w:tcW w:w="100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政府性基金预算财政拨款</w:t>
            </w:r>
          </w:p>
        </w:tc>
        <w:tc>
          <w:tcPr>
            <w:tcW w:w="1123" w:type="dxa"/>
            <w:tcBorders>
              <w:top w:val="single" w:color="000000" w:sz="4" w:space="0"/>
              <w:left w:val="single" w:color="000000" w:sz="4" w:space="0"/>
              <w:bottom w:val="single" w:color="000000" w:sz="4" w:space="0"/>
              <w:right w:val="single" w:color="000000" w:sz="8" w:space="0"/>
            </w:tcBorders>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sz w:val="20"/>
                <w:szCs w:val="20"/>
                <w:highlight w:val="none"/>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123" w:type="dxa"/>
            <w:tcBorders>
              <w:top w:val="single" w:color="000000" w:sz="4" w:space="0"/>
              <w:left w:val="single" w:color="000000" w:sz="4" w:space="0"/>
              <w:bottom w:val="single" w:color="000000" w:sz="4" w:space="0"/>
              <w:right w:val="single" w:color="000000" w:sz="8" w:space="0"/>
            </w:tcBorders>
            <w:shd w:val="clear" w:color="auto" w:fill="FFFFFF"/>
          </w:tcPr>
          <w:p>
            <w:pPr>
              <w:widowControl/>
              <w:jc w:val="center"/>
              <w:textAlignment w:val="center"/>
              <w:rPr>
                <w:rFonts w:ascii="宋体" w:hAnsi="宋体" w:cs="宋体"/>
                <w:color w:val="auto"/>
                <w:kern w:val="0"/>
                <w:sz w:val="20"/>
                <w:szCs w:val="20"/>
                <w:highlight w:val="none"/>
              </w:rPr>
            </w:pPr>
            <w:r>
              <w:rPr>
                <w:rFonts w:ascii="宋体" w:hAnsi="宋体" w:cs="宋体"/>
                <w:color w:val="auto"/>
                <w:kern w:val="0"/>
                <w:sz w:val="20"/>
                <w:szCs w:val="20"/>
                <w:highlight w:val="none"/>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57,719.49</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15</w:t>
            </w:r>
          </w:p>
        </w:tc>
        <w:tc>
          <w:tcPr>
            <w:tcW w:w="118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100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p>
        </w:tc>
        <w:tc>
          <w:tcPr>
            <w:tcW w:w="1123" w:type="dxa"/>
            <w:tcBorders>
              <w:top w:val="single" w:color="000000" w:sz="4" w:space="0"/>
              <w:left w:val="single" w:color="000000" w:sz="4" w:space="0"/>
              <w:bottom w:val="single" w:color="000000" w:sz="4" w:space="0"/>
              <w:right w:val="single" w:color="000000" w:sz="8" w:space="0"/>
            </w:tcBorders>
            <w:vAlign w:val="center"/>
          </w:tcPr>
          <w:p>
            <w:pPr>
              <w:widowControl/>
              <w:jc w:val="right"/>
              <w:textAlignment w:val="center"/>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16</w:t>
            </w:r>
          </w:p>
        </w:tc>
        <w:tc>
          <w:tcPr>
            <w:tcW w:w="118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00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123" w:type="dxa"/>
            <w:tcBorders>
              <w:top w:val="single" w:color="000000" w:sz="4" w:space="0"/>
              <w:left w:val="single" w:color="000000" w:sz="4" w:space="0"/>
              <w:bottom w:val="single" w:color="000000" w:sz="4" w:space="0"/>
              <w:right w:val="single" w:color="000000" w:sz="8" w:space="0"/>
            </w:tcBorders>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17</w:t>
            </w:r>
          </w:p>
        </w:tc>
        <w:tc>
          <w:tcPr>
            <w:tcW w:w="118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00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123" w:type="dxa"/>
            <w:tcBorders>
              <w:top w:val="single" w:color="000000" w:sz="4" w:space="0"/>
              <w:left w:val="single" w:color="000000" w:sz="4" w:space="0"/>
              <w:bottom w:val="single" w:color="000000" w:sz="4" w:space="0"/>
              <w:right w:val="single" w:color="000000" w:sz="8" w:space="0"/>
            </w:tcBorders>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auto"/>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18</w:t>
            </w:r>
          </w:p>
        </w:tc>
        <w:tc>
          <w:tcPr>
            <w:tcW w:w="118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00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123" w:type="dxa"/>
            <w:tcBorders>
              <w:top w:val="single" w:color="000000" w:sz="4" w:space="0"/>
              <w:left w:val="single" w:color="000000" w:sz="4" w:space="0"/>
              <w:bottom w:val="single" w:color="000000" w:sz="4" w:space="0"/>
              <w:right w:val="single" w:color="000000" w:sz="8" w:space="0"/>
            </w:tcBorders>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auto"/>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19</w:t>
            </w:r>
          </w:p>
        </w:tc>
        <w:tc>
          <w:tcPr>
            <w:tcW w:w="118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64,022.99</w:t>
            </w: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64,022.99</w:t>
            </w:r>
          </w:p>
        </w:tc>
        <w:tc>
          <w:tcPr>
            <w:tcW w:w="100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123" w:type="dxa"/>
            <w:tcBorders>
              <w:top w:val="single" w:color="000000" w:sz="4" w:space="0"/>
              <w:left w:val="single" w:color="000000" w:sz="4" w:space="0"/>
              <w:bottom w:val="single" w:color="000000" w:sz="4" w:space="0"/>
              <w:right w:val="single" w:color="000000" w:sz="8" w:space="0"/>
            </w:tcBorders>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auto"/>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20</w:t>
            </w:r>
          </w:p>
        </w:tc>
        <w:tc>
          <w:tcPr>
            <w:tcW w:w="118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p>
        </w:tc>
        <w:tc>
          <w:tcPr>
            <w:tcW w:w="100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p>
        </w:tc>
        <w:tc>
          <w:tcPr>
            <w:tcW w:w="1123" w:type="dxa"/>
            <w:tcBorders>
              <w:top w:val="single" w:color="000000" w:sz="4" w:space="0"/>
              <w:left w:val="single" w:color="000000" w:sz="4" w:space="0"/>
              <w:bottom w:val="single" w:color="000000" w:sz="4" w:space="0"/>
              <w:right w:val="single" w:color="000000" w:sz="8" w:space="0"/>
            </w:tcBorders>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auto"/>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2"/>
                <w:highlight w:val="none"/>
              </w:rPr>
              <w:t>七、文化旅游体育与传媒支出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21</w:t>
            </w:r>
          </w:p>
        </w:tc>
        <w:tc>
          <w:tcPr>
            <w:tcW w:w="118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11.39</w:t>
            </w: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11.39</w:t>
            </w:r>
          </w:p>
        </w:tc>
        <w:tc>
          <w:tcPr>
            <w:tcW w:w="100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123" w:type="dxa"/>
            <w:tcBorders>
              <w:top w:val="single" w:color="000000" w:sz="4" w:space="0"/>
              <w:left w:val="single" w:color="000000" w:sz="4" w:space="0"/>
              <w:bottom w:val="single" w:color="000000" w:sz="4" w:space="0"/>
              <w:right w:val="single" w:color="000000" w:sz="8" w:space="0"/>
            </w:tcBorders>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auto"/>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八、社会保障和就业支出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22</w:t>
            </w:r>
          </w:p>
        </w:tc>
        <w:tc>
          <w:tcPr>
            <w:tcW w:w="118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7,444.73</w:t>
            </w: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7,444.73</w:t>
            </w:r>
          </w:p>
        </w:tc>
        <w:tc>
          <w:tcPr>
            <w:tcW w:w="100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123" w:type="dxa"/>
            <w:tcBorders>
              <w:top w:val="single" w:color="000000" w:sz="4" w:space="0"/>
              <w:left w:val="single" w:color="000000" w:sz="4" w:space="0"/>
              <w:bottom w:val="single" w:color="000000" w:sz="4" w:space="0"/>
              <w:right w:val="single" w:color="000000" w:sz="8" w:space="0"/>
            </w:tcBorders>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auto"/>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auto"/>
                <w:sz w:val="20"/>
                <w:szCs w:val="20"/>
                <w:highlight w:val="none"/>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九、卫生健康支出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23</w:t>
            </w:r>
          </w:p>
        </w:tc>
        <w:tc>
          <w:tcPr>
            <w:tcW w:w="1189"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1,540.97</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1,540.97</w:t>
            </w:r>
          </w:p>
        </w:tc>
        <w:tc>
          <w:tcPr>
            <w:tcW w:w="100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auto"/>
                <w:sz w:val="20"/>
                <w:szCs w:val="20"/>
                <w:highlight w:val="none"/>
              </w:rPr>
            </w:pPr>
          </w:p>
        </w:tc>
        <w:tc>
          <w:tcPr>
            <w:tcW w:w="1123" w:type="dxa"/>
            <w:tcBorders>
              <w:top w:val="single" w:color="000000" w:sz="4" w:space="0"/>
              <w:left w:val="nil"/>
              <w:bottom w:val="single" w:color="000000" w:sz="4" w:space="0"/>
              <w:right w:val="single" w:color="000000" w:sz="8" w:space="0"/>
            </w:tcBorders>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57,719.49</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24</w:t>
            </w:r>
          </w:p>
        </w:tc>
        <w:tc>
          <w:tcPr>
            <w:tcW w:w="1189"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r>
              <w:rPr>
                <w:rFonts w:hint="eastAsia" w:ascii="宋体" w:hAnsi="宋体" w:cs="宋体"/>
                <w:color w:val="auto"/>
                <w:kern w:val="0"/>
                <w:sz w:val="22"/>
                <w:highlight w:val="none"/>
              </w:rPr>
              <w:t>73,298.41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73,298.41</w:t>
            </w:r>
          </w:p>
        </w:tc>
        <w:tc>
          <w:tcPr>
            <w:tcW w:w="100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b/>
                <w:color w:val="auto"/>
                <w:sz w:val="20"/>
                <w:szCs w:val="20"/>
                <w:highlight w:val="none"/>
              </w:rPr>
            </w:pPr>
          </w:p>
        </w:tc>
        <w:tc>
          <w:tcPr>
            <w:tcW w:w="1123" w:type="dxa"/>
            <w:tcBorders>
              <w:top w:val="single" w:color="000000" w:sz="4" w:space="0"/>
              <w:left w:val="nil"/>
              <w:bottom w:val="single" w:color="000000" w:sz="4" w:space="0"/>
              <w:right w:val="single" w:color="000000" w:sz="8" w:space="0"/>
            </w:tcBorders>
          </w:tcPr>
          <w:p>
            <w:pPr>
              <w:rPr>
                <w:rFonts w:ascii="宋体" w:hAnsi="宋体" w:cs="宋体"/>
                <w:b/>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年初财政拨款结转和结余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15,588.98</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25</w:t>
            </w:r>
          </w:p>
        </w:tc>
        <w:tc>
          <w:tcPr>
            <w:tcW w:w="1189"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2"/>
                <w:highlight w:val="none"/>
              </w:rPr>
              <w:t>10.05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10.05</w:t>
            </w:r>
          </w:p>
        </w:tc>
        <w:tc>
          <w:tcPr>
            <w:tcW w:w="100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p>
        </w:tc>
        <w:tc>
          <w:tcPr>
            <w:tcW w:w="1123" w:type="dxa"/>
            <w:tcBorders>
              <w:top w:val="single" w:color="000000" w:sz="4" w:space="0"/>
              <w:left w:val="nil"/>
              <w:bottom w:val="single" w:color="000000" w:sz="4" w:space="0"/>
              <w:right w:val="single" w:color="000000" w:sz="8" w:space="0"/>
            </w:tcBorders>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sz w:val="20"/>
                <w:szCs w:val="20"/>
                <w:highlight w:val="none"/>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15,588.98</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ascii="宋体" w:hAnsi="宋体" w:cs="宋体"/>
                <w:color w:val="auto"/>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26</w:t>
            </w:r>
          </w:p>
        </w:tc>
        <w:tc>
          <w:tcPr>
            <w:tcW w:w="1189"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00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123" w:type="dxa"/>
            <w:tcBorders>
              <w:top w:val="single" w:color="000000" w:sz="4" w:space="0"/>
              <w:left w:val="nil"/>
              <w:bottom w:val="single" w:color="000000" w:sz="4" w:space="0"/>
              <w:right w:val="single" w:color="000000" w:sz="8" w:space="0"/>
            </w:tcBorders>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259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ascii="宋体" w:hAnsi="宋体" w:cs="宋体"/>
                <w:color w:val="auto"/>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27</w:t>
            </w:r>
          </w:p>
        </w:tc>
        <w:tc>
          <w:tcPr>
            <w:tcW w:w="1189"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008"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123" w:type="dxa"/>
            <w:tcBorders>
              <w:top w:val="single" w:color="000000" w:sz="4" w:space="0"/>
              <w:left w:val="nil"/>
              <w:bottom w:val="nil"/>
              <w:right w:val="single" w:color="000000" w:sz="8" w:space="0"/>
            </w:tcBorders>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auto"/>
                <w:sz w:val="20"/>
                <w:szCs w:val="20"/>
                <w:highlight w:val="none"/>
              </w:rPr>
            </w:pPr>
          </w:p>
        </w:tc>
        <w:tc>
          <w:tcPr>
            <w:tcW w:w="259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ascii="宋体" w:hAnsi="宋体" w:cs="宋体"/>
                <w:color w:val="auto"/>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28</w:t>
            </w:r>
          </w:p>
        </w:tc>
        <w:tc>
          <w:tcPr>
            <w:tcW w:w="1189"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auto"/>
                <w:sz w:val="20"/>
                <w:szCs w:val="20"/>
                <w:highlight w:val="none"/>
              </w:rPr>
            </w:pPr>
          </w:p>
        </w:tc>
        <w:tc>
          <w:tcPr>
            <w:tcW w:w="1008"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1123" w:type="dxa"/>
            <w:tcBorders>
              <w:top w:val="single" w:color="000000" w:sz="4" w:space="0"/>
              <w:left w:val="nil"/>
              <w:bottom w:val="nil"/>
              <w:right w:val="single" w:color="000000" w:sz="8" w:space="0"/>
            </w:tcBorders>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73,308.47</w:t>
            </w:r>
          </w:p>
        </w:tc>
        <w:tc>
          <w:tcPr>
            <w:tcW w:w="2596"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29</w:t>
            </w:r>
          </w:p>
        </w:tc>
        <w:tc>
          <w:tcPr>
            <w:tcW w:w="1189"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r>
              <w:rPr>
                <w:rFonts w:hint="eastAsia" w:ascii="宋体" w:hAnsi="宋体" w:cs="宋体"/>
                <w:color w:val="auto"/>
                <w:kern w:val="0"/>
                <w:sz w:val="22"/>
                <w:highlight w:val="none"/>
              </w:rPr>
              <w:t>73,308.47</w:t>
            </w:r>
          </w:p>
        </w:tc>
        <w:tc>
          <w:tcPr>
            <w:tcW w:w="114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73,308.47</w:t>
            </w:r>
          </w:p>
        </w:tc>
        <w:tc>
          <w:tcPr>
            <w:tcW w:w="1008"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b/>
                <w:color w:val="auto"/>
                <w:sz w:val="20"/>
                <w:szCs w:val="20"/>
                <w:highlight w:val="none"/>
              </w:rPr>
            </w:pPr>
          </w:p>
        </w:tc>
        <w:tc>
          <w:tcPr>
            <w:tcW w:w="1123" w:type="dxa"/>
            <w:tcBorders>
              <w:top w:val="single" w:color="000000" w:sz="4" w:space="0"/>
              <w:left w:val="nil"/>
              <w:bottom w:val="single" w:color="000000" w:sz="8" w:space="0"/>
              <w:right w:val="single" w:color="000000" w:sz="8" w:space="0"/>
            </w:tcBorders>
          </w:tcPr>
          <w:p>
            <w:pPr>
              <w:rPr>
                <w:rFonts w:ascii="宋体" w:hAnsi="宋体" w:cs="宋体"/>
                <w:b/>
                <w:color w:val="auto"/>
                <w:sz w:val="20"/>
                <w:szCs w:val="20"/>
                <w:highlight w:val="none"/>
              </w:rPr>
            </w:pPr>
          </w:p>
        </w:tc>
      </w:tr>
      <w:tr>
        <w:tblPrEx>
          <w:tblCellMar>
            <w:top w:w="0" w:type="dxa"/>
            <w:left w:w="0" w:type="dxa"/>
            <w:bottom w:w="0" w:type="dxa"/>
            <w:right w:w="0" w:type="dxa"/>
          </w:tblCellMar>
        </w:tblPrEx>
        <w:trPr>
          <w:trHeight w:val="585" w:hRule="atLeast"/>
        </w:trPr>
        <w:tc>
          <w:tcPr>
            <w:tcW w:w="12850"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注：本表反映部门本年度一般公共预算财政拨款、政府性基金预算财政拨款和国有资本经营预算财政拨款的总收支和年末结转结余情况。本表金额转换为万元时，因四舍五入可能存在尾差。</w:t>
            </w:r>
          </w:p>
        </w:tc>
        <w:tc>
          <w:tcPr>
            <w:tcW w:w="1123" w:type="dxa"/>
            <w:tcBorders>
              <w:top w:val="single" w:color="000000" w:sz="8" w:space="0"/>
              <w:left w:val="nil"/>
              <w:bottom w:val="nil"/>
              <w:right w:val="nil"/>
            </w:tcBorders>
          </w:tcPr>
          <w:p>
            <w:pPr>
              <w:widowControl/>
              <w:jc w:val="left"/>
              <w:textAlignment w:val="center"/>
              <w:rPr>
                <w:rFonts w:ascii="宋体" w:hAnsi="宋体" w:cs="宋体"/>
                <w:color w:val="auto"/>
                <w:kern w:val="0"/>
                <w:sz w:val="20"/>
                <w:szCs w:val="20"/>
                <w:highlight w:val="none"/>
              </w:rPr>
            </w:pP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公开0</w:t>
            </w:r>
            <w:r>
              <w:rPr>
                <w:rStyle w:val="16"/>
                <w:rFonts w:hint="default"/>
                <w:color w:val="auto"/>
                <w:highlight w:val="none"/>
              </w:rPr>
              <w:t>5表</w:t>
            </w:r>
          </w:p>
        </w:tc>
      </w:tr>
      <w:tr>
        <w:tblPrEx>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auto"/>
                <w:sz w:val="20"/>
                <w:szCs w:val="20"/>
                <w:highlight w:val="none"/>
              </w:rPr>
            </w:pP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lang w:val="en-US" w:eastAsia="zh-CN"/>
              </w:rPr>
              <w:t>许昌市教育局</w:t>
            </w: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项 </w:t>
            </w:r>
            <w:r>
              <w:rPr>
                <w:rStyle w:val="13"/>
                <w:rFonts w:hint="default"/>
                <w:color w:val="auto"/>
                <w:sz w:val="20"/>
                <w:szCs w:val="20"/>
                <w:highlight w:val="none"/>
              </w:rPr>
              <w:t xml:space="preserve">   </w:t>
            </w:r>
            <w:r>
              <w:rPr>
                <w:rStyle w:val="15"/>
                <w:rFonts w:hint="default"/>
                <w:color w:val="auto"/>
                <w:sz w:val="20"/>
                <w:szCs w:val="20"/>
                <w:highlight w:val="none"/>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功能分类</w:t>
            </w:r>
          </w:p>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b/>
                <w:bCs/>
                <w:color w:val="auto"/>
                <w:kern w:val="0"/>
                <w:sz w:val="22"/>
                <w:highlight w:val="none"/>
              </w:rPr>
              <w:t>73,298.41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b/>
                <w:bCs/>
                <w:color w:val="auto"/>
                <w:kern w:val="0"/>
                <w:sz w:val="22"/>
                <w:highlight w:val="none"/>
              </w:rPr>
              <w:t>60,143.11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b/>
                <w:bCs/>
                <w:color w:val="auto"/>
                <w:kern w:val="0"/>
                <w:sz w:val="22"/>
                <w:highlight w:val="none"/>
              </w:rPr>
              <w:t>13,155.30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一般公共服务支出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20129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群众团体事务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2012906</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工会事务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教育支出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64,022.99</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50,963.33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13,059.66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教育管理事务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2,617.58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2,091.05</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526.53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2050101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行政运行</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1,138.20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1,138.20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2050102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一般行政管理事务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488.38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488.38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2050199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其他教育管理事务支出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991.00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952.85</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38.15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普通教育</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49,166.47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39,332.32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9,834.15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学前教育</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3,043.62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2,728.56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315.06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小学教育</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6,396.80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6,124.51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272.28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2050203</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初中教育</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17,318.15</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16,646.26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671.89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2050204</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高中教育</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13,367.43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12,554.84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812.59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高等教育</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0.34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2050299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其他普通教育支出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9,039.05</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1,277.81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7,761.24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20503</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职业教育</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10,821.12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8,410.53</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2,410.60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2050302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中等职业教育</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10,485.22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8,137.85</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2,347.37</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2050305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高等职业教育</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8.00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2050399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其他职业教育支出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327.90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272.68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55.22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20507</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特殊教育</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1,121.21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1,096.27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24.94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2050701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特殊学校教育</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1,111.87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1,096.27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15.60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2050799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其他特殊教育支出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9.34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9.34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教育费附加安排的支出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2050999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其他教育费附加安排的支出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7.04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20599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其他教育支出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289.58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33.17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256.41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2059999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其他教育支出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289.58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33.17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256.41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文化旅游体育与传媒支出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11.39</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5.79</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文化和旅游</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2070199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其他文化和旅游支出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5.60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20703</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体育</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5.79</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5.79</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2070301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行政运行</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5.79</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5.79</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7,444.73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7,354.69</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90.04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行政事业单位养老支出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7,166.40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7,166.40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行政单位离退休</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197.22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197.22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事业单位离退休</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3,699.82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3,699.82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3,268.46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3,268.46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2080506</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机关事业单位职业年金缴费支出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0.89</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0.89</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20807</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就业补助</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90.04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90.04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2080702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职业培训补贴</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90.04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90.04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20808</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抚恤</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188.30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188.30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2080801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死亡抚恤</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188.30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188.30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卫生健康支出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1,540.97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1,540.97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21011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行政事业单位医疗</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1,540.97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1,540.97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2101101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行政单位医疗</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29.94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29.94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2101102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事业单位医疗</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1,482.65</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1,482.65</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2101103</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公务员医疗补助</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28.38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28.38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注：本表反映部门本年度一般公共预算财政拨款支出情况。本表金额转换为万元时，因四舍五入可能存在尾差。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r>
              <w:rPr>
                <w:rFonts w:hint="eastAsia" w:ascii="宋体" w:hAnsi="宋体" w:cs="宋体"/>
                <w:color w:val="auto"/>
                <w:kern w:val="0"/>
                <w:sz w:val="20"/>
                <w:szCs w:val="20"/>
                <w:highlight w:val="none"/>
              </w:rPr>
              <w:t>部门</w:t>
            </w:r>
            <w:r>
              <w:rPr>
                <w:rFonts w:ascii="Arial" w:hAnsi="Arial" w:cs="Arial"/>
                <w:color w:val="auto"/>
                <w:kern w:val="0"/>
                <w:sz w:val="20"/>
                <w:szCs w:val="20"/>
                <w:highlight w:val="none"/>
              </w:rPr>
              <w:t>：</w:t>
            </w:r>
            <w:r>
              <w:rPr>
                <w:rFonts w:hint="eastAsia" w:ascii="宋体" w:hAnsi="宋体" w:cs="宋体"/>
                <w:color w:val="auto"/>
                <w:kern w:val="0"/>
                <w:sz w:val="20"/>
                <w:szCs w:val="20"/>
                <w:highlight w:val="none"/>
                <w:lang w:val="en-US" w:eastAsia="zh-CN"/>
              </w:rPr>
              <w:t>许昌市教育局</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CellMar>
            <w:top w:w="0" w:type="dxa"/>
            <w:left w:w="0" w:type="dxa"/>
            <w:bottom w:w="0" w:type="dxa"/>
            <w:right w:w="0" w:type="dxa"/>
          </w:tblCellMar>
        </w:tblPrEx>
        <w:trPr>
          <w:trHeight w:val="649"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49,621.95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5,967.60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317.95</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15,670.22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1,339.22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11,607.57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55.52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265.75</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6,627.30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26.47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18.19</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0.50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6,301.92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231.05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3,397.78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400.35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32.75</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23.97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24.80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1,581.52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11.00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28.38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141.58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339.49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172.00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3,092.90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7.67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962.89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943.22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57.82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4,235.61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10.19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252.45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194.48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3,664.82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1.26</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149.07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189.21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90.29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948.95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7.80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46.34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13.64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278.33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0.49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498.05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32.19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30311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2"/>
                <w:highlight w:val="none"/>
              </w:rPr>
              <w:t xml:space="preserve">  代缴社会保险费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0.10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45.94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16.81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38.04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298.80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53,857.56</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6,285.55</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注：本表反映部门本年度一般公共预算财政拨款基本支出明细情况。本表金额转换为万元时，因四舍五入可能存在尾差。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公开07表</w:t>
            </w:r>
          </w:p>
        </w:tc>
      </w:tr>
      <w:tr>
        <w:tblPrEx>
          <w:tblCellMar>
            <w:top w:w="0" w:type="dxa"/>
            <w:left w:w="0" w:type="dxa"/>
            <w:bottom w:w="0" w:type="dxa"/>
            <w:right w:w="0" w:type="dxa"/>
          </w:tblCellMar>
        </w:tblPrEx>
        <w:trPr>
          <w:trHeight w:val="300" w:hRule="atLeast"/>
        </w:trPr>
        <w:tc>
          <w:tcPr>
            <w:tcW w:w="2300" w:type="dxa"/>
            <w:gridSpan w:val="2"/>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auto"/>
                <w:sz w:val="20"/>
                <w:szCs w:val="20"/>
                <w:highlight w:val="none"/>
              </w:rPr>
            </w:pP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lang w:val="en-US" w:eastAsia="zh-CN"/>
              </w:rPr>
              <w:t>许昌市教育局</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公务用车</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公务用车</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公务用车</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公务用车</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105.57</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38.60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38.60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66.98</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36.22</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32.19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32.19</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4.02</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公开08表</w:t>
            </w:r>
          </w:p>
        </w:tc>
      </w:tr>
      <w:tr>
        <w:tblPrEx>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auto"/>
                <w:sz w:val="20"/>
                <w:szCs w:val="20"/>
                <w:highlight w:val="none"/>
              </w:rPr>
            </w:pP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lang w:val="en-US" w:eastAsia="zh-CN"/>
              </w:rPr>
              <w:t>许昌市教育局</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1926" w:type="dxa"/>
            <w:gridSpan w:val="2"/>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功能分类</w:t>
            </w:r>
          </w:p>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1926"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栏次</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注：本表反映部门本年度政府性基金预算财政拨款收入、支出及结转和结余情况。</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说明：我部门没有政府性基金收入，也没有使用政府性基金安排的支出，故本表无数据。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ascii="宋体" w:hAnsi="宋体" w:cs="宋体"/>
                <w:color w:val="auto"/>
                <w:sz w:val="20"/>
                <w:szCs w:val="20"/>
                <w:highlight w:val="none"/>
              </w:rPr>
            </w:pPr>
          </w:p>
        </w:tc>
      </w:tr>
    </w:tbl>
    <w:p>
      <w:pPr>
        <w:widowControl/>
        <w:spacing w:line="590" w:lineRule="exact"/>
        <w:jc w:val="left"/>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spacing w:line="590" w:lineRule="exact"/>
        <w:ind w:firstLine="640"/>
        <w:rPr>
          <w:rFonts w:ascii="仿宋_GB2312" w:hAnsi="仿宋_GB2312" w:eastAsia="仿宋_GB2312"/>
          <w:color w:val="auto"/>
          <w:sz w:val="32"/>
          <w:szCs w:val="24"/>
          <w:highlight w:val="none"/>
          <w:lang w:val="zh-CN"/>
        </w:rPr>
      </w:pPr>
      <w:r>
        <w:rPr>
          <w:rFonts w:hint="eastAsia" w:ascii="仿宋_GB2312" w:hAnsi="仿宋_GB2312" w:eastAsia="仿宋_GB2312"/>
          <w:color w:val="auto"/>
          <w:sz w:val="32"/>
          <w:szCs w:val="24"/>
          <w:highlight w:val="none"/>
        </w:rPr>
        <w:t>2021年度收、支总计均为79,373.6万元。与上年度相比，收、支总计各减少30,464.99万元，下降27.74%。主要原因是年末结转经费较上年度减少。</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spacing w:line="590" w:lineRule="exact"/>
        <w:ind w:firstLine="640"/>
        <w:rPr>
          <w:rFonts w:eastAsia="Times New Roman"/>
          <w:color w:val="auto"/>
          <w:kern w:val="0"/>
          <w:sz w:val="18"/>
          <w:szCs w:val="24"/>
          <w:highlight w:val="none"/>
          <w:lang w:val="zh-CN"/>
        </w:rPr>
      </w:pPr>
      <w:r>
        <w:rPr>
          <w:rFonts w:hint="eastAsia" w:ascii="仿宋_GB2312" w:hAnsi="仿宋_GB2312" w:eastAsia="仿宋_GB2312"/>
          <w:color w:val="auto"/>
          <w:sz w:val="32"/>
          <w:szCs w:val="24"/>
          <w:highlight w:val="none"/>
        </w:rPr>
        <w:t>2021年度收入合计62,446.94万元，其中：财政拨款收入57,719.49万元，占92.43%；上级补助收入0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万元，占0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%；事业收入4,447.61万元，占7.12%；经营收入0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万元，占0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%；附属单位上缴收入0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万元，占0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%；其他收入279.83万元，占0.45%。</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spacing w:line="590" w:lineRule="exact"/>
        <w:ind w:firstLine="640"/>
        <w:rPr>
          <w:rFonts w:eastAsia="Times New Roman"/>
          <w:color w:val="auto"/>
          <w:kern w:val="0"/>
          <w:sz w:val="18"/>
          <w:szCs w:val="24"/>
          <w:highlight w:val="none"/>
          <w:lang w:val="zh-CN"/>
        </w:rPr>
      </w:pPr>
      <w:r>
        <w:rPr>
          <w:rFonts w:hint="eastAsia" w:ascii="仿宋_GB2312" w:hAnsi="仿宋_GB2312" w:eastAsia="仿宋_GB2312"/>
          <w:color w:val="auto"/>
          <w:sz w:val="32"/>
          <w:szCs w:val="24"/>
          <w:highlight w:val="none"/>
        </w:rPr>
        <w:t>2021年度支出合计78,574.82万元，其中：基本支出64,924.95万元，占82.63%；项目支出13,649.87万元，占17.37%；上缴上级支出0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万元，占0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%；经营支出0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万元，占0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%；对附属单位补助支出0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万元，占0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spacing w:line="590" w:lineRule="exact"/>
        <w:ind w:firstLine="640"/>
        <w:rPr>
          <w:rFonts w:eastAsia="Times New Roman"/>
          <w:color w:val="auto"/>
          <w:kern w:val="0"/>
          <w:sz w:val="18"/>
          <w:szCs w:val="24"/>
          <w:highlight w:val="none"/>
          <w:lang w:val="zh-CN"/>
        </w:rPr>
      </w:pPr>
      <w:r>
        <w:rPr>
          <w:rFonts w:hint="eastAsia" w:ascii="仿宋_GB2312" w:hAnsi="仿宋_GB2312" w:eastAsia="仿宋_GB2312"/>
          <w:color w:val="auto"/>
          <w:sz w:val="32"/>
          <w:szCs w:val="24"/>
          <w:highlight w:val="none"/>
        </w:rPr>
        <w:t>2021年度财政拨款收、支总计均为73,308.47万元。与上年度相比，财政拨款收、支总计各减少31,682.17万元，下降30.18%。主要原因是年末结转财政经费较上年度减少。</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ascii="仿宋_GB2312" w:hAnsi="仿宋_GB2312" w:eastAsia="仿宋_GB2312"/>
          <w:color w:val="auto"/>
          <w:sz w:val="32"/>
          <w:szCs w:val="24"/>
          <w:highlight w:val="none"/>
        </w:rPr>
      </w:pPr>
      <w:r>
        <w:rPr>
          <w:rFonts w:hint="eastAsia" w:ascii="仿宋_GB2312" w:hAnsi="仿宋_GB2312" w:eastAsia="仿宋_GB2312"/>
          <w:color w:val="auto"/>
          <w:sz w:val="32"/>
          <w:szCs w:val="24"/>
          <w:highlight w:val="none"/>
        </w:rPr>
        <w:t>2021年度一般公共预算财政拨款支出73,298.41万元，占支出合计的93.28%。与上年度相比，一般公共预算财政拨款支出减少16,211.75万元，下降18.11%。主要原因是教育费附加资金拨款的减少。</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年度一般公共预算财政拨款支出73298.41万元，主要用于以下方面：一般公共服务（类）支出278.33万元，占0.38%；教育（类）支出64022.99万元，占87.3</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%；文化旅游体育与传媒（类）支出11.39万元，占0.02%；社会保障和就业（类）支出7444.73万元，占10.16%；卫生健康（类）支出1540.97万元，占2.10%。</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2021年度一般公共预算财政拨款支出年初预算为55535.38万元，支出决算为73298.41万元，完成年初预算的1</w:t>
      </w:r>
      <w:r>
        <w:rPr>
          <w:rFonts w:hint="eastAsia" w:ascii="仿宋_GB2312" w:hAnsi="仿宋_GB2312" w:eastAsia="仿宋_GB2312" w:cs="仿宋_GB2312"/>
          <w:color w:val="auto"/>
          <w:sz w:val="32"/>
          <w:szCs w:val="32"/>
          <w:highlight w:val="none"/>
          <w:lang w:val="en-US" w:eastAsia="zh-CN"/>
        </w:rPr>
        <w:t>31.99</w:t>
      </w:r>
      <w:r>
        <w:rPr>
          <w:rFonts w:hint="eastAsia" w:ascii="仿宋_GB2312" w:hAnsi="仿宋_GB2312" w:eastAsia="仿宋_GB2312" w:cs="仿宋_GB2312"/>
          <w:color w:val="auto"/>
          <w:sz w:val="32"/>
          <w:szCs w:val="32"/>
          <w:highlight w:val="none"/>
        </w:rPr>
        <w:t>%。其中：</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1．一般公共服务支出（类）群众团体事务（款）  工会事务（项）。</w:t>
      </w:r>
      <w:r>
        <w:rPr>
          <w:rFonts w:hint="eastAsia" w:ascii="仿宋_GB2312" w:hAnsi="仿宋_GB2312" w:eastAsia="仿宋_GB2312" w:cs="仿宋_GB2312"/>
          <w:color w:val="auto"/>
          <w:sz w:val="32"/>
          <w:szCs w:val="32"/>
          <w:highlight w:val="none"/>
        </w:rPr>
        <w:t>年初预算为278.33万元，支出决算为278.33万元，完成年初预算的100.00%。决算数与预算数没有差异。</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2．教育支出（类）教育管理事务（款）行政运行（项）。</w:t>
      </w:r>
      <w:r>
        <w:rPr>
          <w:rFonts w:hint="eastAsia" w:ascii="仿宋_GB2312" w:hAnsi="仿宋_GB2312" w:eastAsia="仿宋_GB2312" w:cs="仿宋_GB2312"/>
          <w:color w:val="auto"/>
          <w:sz w:val="32"/>
          <w:szCs w:val="32"/>
          <w:highlight w:val="none"/>
        </w:rPr>
        <w:t>年初预算为977.93万元，支出决算为1138.20万元，完成年初预算的116.39%。决算数与年初预算数存在差异的主要原因是使用上年度结余经费支付本年支出，结余经费未纳入年初预算。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3．教育支出（类）教育管理事务（款）一般行政管理事务（项）。</w:t>
      </w:r>
      <w:r>
        <w:rPr>
          <w:rFonts w:hint="eastAsia" w:ascii="仿宋_GB2312" w:hAnsi="仿宋_GB2312" w:eastAsia="仿宋_GB2312" w:cs="仿宋_GB2312"/>
          <w:color w:val="auto"/>
          <w:sz w:val="32"/>
          <w:szCs w:val="32"/>
          <w:highlight w:val="none"/>
        </w:rPr>
        <w:t>年初预算为484.00万元，支出决算为488.38万元，完成年初预算的100.90%。决算数与年初预算数存在差异的主要原因是使用上年度结余经费支付本年支出，结余经费未纳入年初预算。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4．教育支出（类）教育管理事务（款）其他教育管理事务支出（项）。</w:t>
      </w:r>
      <w:r>
        <w:rPr>
          <w:rFonts w:hint="eastAsia" w:ascii="仿宋_GB2312" w:hAnsi="仿宋_GB2312" w:eastAsia="仿宋_GB2312" w:cs="仿宋_GB2312"/>
          <w:color w:val="auto"/>
          <w:sz w:val="32"/>
          <w:szCs w:val="32"/>
          <w:highlight w:val="none"/>
        </w:rPr>
        <w:t>年初预算为953.56万元，支出决算为991.00万元，完成年初预算的103.93%。决算数与年初预算数存在差异的主要原因是1.年中收到财政拨款，年初未纳入预算；2. 使用上年度结余经费支付本年支出，结余经费未纳入年初预算。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5．教育支出（类）普通教育（款）学前教育（项）。</w:t>
      </w:r>
      <w:r>
        <w:rPr>
          <w:rFonts w:hint="eastAsia" w:ascii="仿宋_GB2312" w:hAnsi="仿宋_GB2312" w:eastAsia="仿宋_GB2312" w:cs="仿宋_GB2312"/>
          <w:color w:val="auto"/>
          <w:sz w:val="32"/>
          <w:szCs w:val="32"/>
          <w:highlight w:val="none"/>
        </w:rPr>
        <w:t>年初预算为2949.29万元，支出决算为3043.62万元，完成年初预算的103.20%。决算数与年初预算数存在差异的主要原因是1.年中收到财政拨款，年初未纳入预算；2. 使用上年度结余经费支付本年支出，结余经费未纳入年初预算。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6．教育支出（类）普通教育（款）小学教育（项）。</w:t>
      </w:r>
      <w:r>
        <w:rPr>
          <w:rFonts w:hint="eastAsia" w:ascii="仿宋_GB2312" w:hAnsi="仿宋_GB2312" w:eastAsia="仿宋_GB2312" w:cs="仿宋_GB2312"/>
          <w:color w:val="auto"/>
          <w:sz w:val="32"/>
          <w:szCs w:val="32"/>
          <w:highlight w:val="none"/>
        </w:rPr>
        <w:t>年初预算为5643.50万元，支出决算为6396.80万元，完成年初预算的113.35%。决算数与年初预算数存在差异的主要原因是1.年中收到财政拨款，年初未纳入预算；2. 使用上年度结余经费支付本年支出，结余经费未纳入年初预算。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7．教育支出（类）普通教育（款）初中教育（项）。</w:t>
      </w:r>
      <w:r>
        <w:rPr>
          <w:rFonts w:hint="eastAsia" w:ascii="仿宋_GB2312" w:hAnsi="仿宋_GB2312" w:eastAsia="仿宋_GB2312" w:cs="仿宋_GB2312"/>
          <w:color w:val="auto"/>
          <w:sz w:val="32"/>
          <w:szCs w:val="32"/>
          <w:highlight w:val="none"/>
        </w:rPr>
        <w:t>年初预算为15498.62万元，支出决算为17318.15万元，完成年初预算的111.74%。决算数与年初预算数存在差异的主要原因是1.年中收到财政拨款，年初未纳入预算；2. 使用上年度结余经费支付本年支出，结余经费未纳入年初预算。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8．教育支出（类）普通教育（款）高中教育（项）。</w:t>
      </w:r>
      <w:r>
        <w:rPr>
          <w:rFonts w:hint="eastAsia" w:ascii="仿宋_GB2312" w:hAnsi="仿宋_GB2312" w:eastAsia="仿宋_GB2312" w:cs="仿宋_GB2312"/>
          <w:color w:val="auto"/>
          <w:sz w:val="32"/>
          <w:szCs w:val="32"/>
          <w:highlight w:val="none"/>
        </w:rPr>
        <w:t>年初预算为11436.01万元，支出决算为13367.43万元，完成年初预算的116.89%。决算数与年初预算数存在差异的主要原因是1.年中收到财政拨款，年初未纳入预算；2. 使用上年度结余经费支付本年支出，结余经费未纳入年初预算。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9．教育支出（类）普通教育（款）高等教育（项）。</w:t>
      </w:r>
      <w:r>
        <w:rPr>
          <w:rFonts w:hint="eastAsia" w:ascii="仿宋_GB2312" w:hAnsi="仿宋_GB2312" w:eastAsia="仿宋_GB2312" w:cs="仿宋_GB2312"/>
          <w:color w:val="auto"/>
          <w:sz w:val="32"/>
          <w:szCs w:val="32"/>
          <w:highlight w:val="none"/>
        </w:rPr>
        <w:t>年初预算为0.00万元，支出决算为1.42万元。决算数与年初预算数存在差异的主要原因是年中收到财政拨款，年初未纳入预算。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10．教育支出（类）普通教育（款）其他普通教育支出（项）。</w:t>
      </w:r>
      <w:r>
        <w:rPr>
          <w:rFonts w:hint="eastAsia" w:ascii="仿宋_GB2312" w:hAnsi="仿宋_GB2312" w:eastAsia="仿宋_GB2312" w:cs="仿宋_GB2312"/>
          <w:color w:val="auto"/>
          <w:sz w:val="32"/>
          <w:szCs w:val="32"/>
          <w:highlight w:val="none"/>
        </w:rPr>
        <w:t>年初预算为0.00万元，支出决算为9039.05万元。决算数与年初预算数存在差异的主要原因是年中收到财政拨款，年初未纳入预算。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11．教育支出（类）职业教育（款）中等职业教育（项）。</w:t>
      </w:r>
      <w:r>
        <w:rPr>
          <w:rFonts w:hint="eastAsia" w:ascii="仿宋_GB2312" w:hAnsi="仿宋_GB2312" w:eastAsia="仿宋_GB2312" w:cs="仿宋_GB2312"/>
          <w:color w:val="auto"/>
          <w:sz w:val="32"/>
          <w:szCs w:val="32"/>
          <w:highlight w:val="none"/>
        </w:rPr>
        <w:t>年初预算为7468.61万元，支出决算为10485.22万元，完成年初预算的140.39%。决算数与年初预算数存在差异的主要原因是1.年中收到财政拨款，年初未纳入预算；2. 使用上年度结余经费支付本年支出，结余经费未纳入年初预算。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12．教育支出（类）职业教育（款）高等职业教育（项）。</w:t>
      </w:r>
      <w:r>
        <w:rPr>
          <w:rFonts w:hint="eastAsia" w:ascii="仿宋_GB2312" w:hAnsi="仿宋_GB2312" w:eastAsia="仿宋_GB2312" w:cs="仿宋_GB2312"/>
          <w:color w:val="auto"/>
          <w:sz w:val="32"/>
          <w:szCs w:val="32"/>
          <w:highlight w:val="none"/>
        </w:rPr>
        <w:t>年初预算为0.00万元，支出决算为8.00万元。决算数与年初预算数存在差异的主要原因是年中收到财政拨款，年初未纳入预算。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13．教育支出（类）职业教育（款）其他职业教育支出（项）。</w:t>
      </w:r>
      <w:r>
        <w:rPr>
          <w:rFonts w:hint="eastAsia" w:ascii="仿宋_GB2312" w:hAnsi="仿宋_GB2312" w:eastAsia="仿宋_GB2312" w:cs="仿宋_GB2312"/>
          <w:color w:val="auto"/>
          <w:sz w:val="32"/>
          <w:szCs w:val="32"/>
          <w:highlight w:val="none"/>
        </w:rPr>
        <w:t>年初预算为252.96万元，支出决算为327.9万元，完成年初预算的129.63%。决算数与年初预算数存在差异的主要原因是1.年中收到财政拨款，年初未纳入预算；2. 使用上年度结余经费支付本年支出，结余经费未纳入年初预算。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14．教育支出（类）特殊教育（款）特殊学校教育（项）。</w:t>
      </w:r>
      <w:r>
        <w:rPr>
          <w:rFonts w:hint="eastAsia" w:ascii="仿宋_GB2312" w:hAnsi="仿宋_GB2312" w:eastAsia="仿宋_GB2312" w:cs="仿宋_GB2312"/>
          <w:color w:val="auto"/>
          <w:sz w:val="32"/>
          <w:szCs w:val="32"/>
          <w:highlight w:val="none"/>
        </w:rPr>
        <w:t>年初预算为957.52万元，支出决算为1111.87万元，完成年初预算的116.12%。决算数与年初预算数存在差异的主要原因是1.年中收到财政拨款，年初未纳入预算；2. 使用上年度结余经费支付本年支出，结余经费未纳入年初预算。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15．教育支出（类）特殊教育（款）其他特殊教育支出（项）。</w:t>
      </w:r>
      <w:r>
        <w:rPr>
          <w:rFonts w:hint="eastAsia" w:ascii="仿宋_GB2312" w:hAnsi="仿宋_GB2312" w:eastAsia="仿宋_GB2312" w:cs="仿宋_GB2312"/>
          <w:color w:val="auto"/>
          <w:sz w:val="32"/>
          <w:szCs w:val="32"/>
          <w:highlight w:val="none"/>
        </w:rPr>
        <w:t>年初预算为8.00万元，支出决算为9.34万元，完成年初预算的116.75%。决算数与年初预算数存在差异的主要原因是使用上年度结余经费支付本年支出，结余经费未纳入年初预算。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16．教育支出（类）教育费附加安排的支出（款）其他教育费附加安排的支出（项）。</w:t>
      </w:r>
      <w:r>
        <w:rPr>
          <w:rFonts w:hint="eastAsia" w:ascii="仿宋_GB2312" w:hAnsi="仿宋_GB2312" w:eastAsia="仿宋_GB2312" w:cs="仿宋_GB2312"/>
          <w:color w:val="auto"/>
          <w:sz w:val="32"/>
          <w:szCs w:val="32"/>
          <w:highlight w:val="none"/>
        </w:rPr>
        <w:t>年初预算为0.00万元，支出决算为7.04万元。决算数与年初预算数存在差异的主要原因是年中收到财政拨款，年初未纳入预算。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17．教育支出（类）其他教育支出（款）其他教育支出</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年初预算为0.00万元，支出决算为289.58万元。决算数与年初预算数存在差异的主要原因是年中收到财政拨款，年初未纳入预算。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18．文化旅游体育与传媒支出（类）文化和旅游（款）文化和旅游（项）。</w:t>
      </w:r>
      <w:r>
        <w:rPr>
          <w:rFonts w:hint="eastAsia" w:ascii="仿宋_GB2312" w:hAnsi="仿宋_GB2312" w:eastAsia="仿宋_GB2312" w:cs="仿宋_GB2312"/>
          <w:color w:val="auto"/>
          <w:sz w:val="32"/>
          <w:szCs w:val="32"/>
          <w:highlight w:val="none"/>
        </w:rPr>
        <w:t>年初预算为0.00万元，支出决算为5.6万元。决算数与年初预算数存在差异的主要原因是年中收到财政拨款，年初未纳入预算。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19．文化旅游体育与传媒支出（类）体育（款）行政运行（项）。</w:t>
      </w:r>
      <w:r>
        <w:rPr>
          <w:rFonts w:hint="eastAsia" w:ascii="仿宋_GB2312" w:hAnsi="仿宋_GB2312" w:eastAsia="仿宋_GB2312" w:cs="仿宋_GB2312"/>
          <w:color w:val="auto"/>
          <w:sz w:val="32"/>
          <w:szCs w:val="32"/>
          <w:highlight w:val="none"/>
        </w:rPr>
        <w:t>年初预算为0.00万元，支出决算为5.79万元。决算数与年初预算数存在差异的主要原因是年中收到财政拨款，年初未纳入预算。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20．社会保障和就业支出（类）行政事业单位养老支出（款）行政单位离退休（项）。</w:t>
      </w:r>
      <w:r>
        <w:rPr>
          <w:rFonts w:hint="eastAsia" w:ascii="仿宋_GB2312" w:hAnsi="仿宋_GB2312" w:eastAsia="仿宋_GB2312" w:cs="仿宋_GB2312"/>
          <w:color w:val="auto"/>
          <w:sz w:val="32"/>
          <w:szCs w:val="32"/>
          <w:highlight w:val="none"/>
        </w:rPr>
        <w:t>年初预算为155.60万元，支出决算为197.22万元，完成年初预算的126.75%。决算数与年初预算数存在差异的主要原因是年末行政单位离退休人员的增加。</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21．社会保障和就业支出（类）行政事业单位养老支出（款）事业单位离退休（项）。</w:t>
      </w:r>
      <w:r>
        <w:rPr>
          <w:rFonts w:hint="eastAsia" w:ascii="仿宋_GB2312" w:hAnsi="仿宋_GB2312" w:eastAsia="仿宋_GB2312" w:cs="仿宋_GB2312"/>
          <w:color w:val="auto"/>
          <w:sz w:val="32"/>
          <w:szCs w:val="32"/>
          <w:highlight w:val="none"/>
        </w:rPr>
        <w:t>年初预算为3544.22万元，支出决算为3699.82万元，完成年初预算的104.39%。决算数与年初预算数存在差异的主要原因是事业单位离退休人员的增加。</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22．社会保障和就业支出（类）行政事业单位养老支出（款）机关事业单位基本养老保险缴费支出（项）。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rPr>
        <w:t>年初预算为3332.16万元，支出决算为3268.46万元，完成年初预算的98.09%。决算数与年初预算数存在差异的主要原因是行政事业单位离退休人员的增加，应缴保险费减少。</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23．社会保障和就业支出（类）行政事业单位养老支出（款）机关事业单位职业年金缴费支出（项）。</w:t>
      </w:r>
      <w:r>
        <w:rPr>
          <w:rFonts w:hint="eastAsia" w:ascii="仿宋_GB2312" w:hAnsi="仿宋_GB2312" w:eastAsia="仿宋_GB2312" w:cs="仿宋_GB2312"/>
          <w:color w:val="auto"/>
          <w:sz w:val="32"/>
          <w:szCs w:val="32"/>
          <w:highlight w:val="none"/>
        </w:rPr>
        <w:t>年初预算为11.00万元，支出决算为0.89万元，完成年初预算的8.09%。决算数与年初预算数存在差异的主要原因是部分</w:t>
      </w:r>
      <w:r>
        <w:rPr>
          <w:rFonts w:hint="eastAsia" w:ascii="仿宋_GB2312" w:hAnsi="仿宋_GB2312" w:eastAsia="仿宋_GB2312" w:cs="仿宋_GB2312"/>
          <w:color w:val="auto"/>
          <w:sz w:val="32"/>
          <w:szCs w:val="32"/>
          <w:highlight w:val="none"/>
          <w:lang w:val="en-US" w:eastAsia="zh-CN"/>
        </w:rPr>
        <w:t>差供</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职业年金未及时缴纳。</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24．社会保障和就业支出（类）就业补助（款）职业培训补贴（项）。</w:t>
      </w:r>
      <w:r>
        <w:rPr>
          <w:rFonts w:hint="eastAsia" w:ascii="仿宋_GB2312" w:hAnsi="仿宋_GB2312" w:eastAsia="仿宋_GB2312" w:cs="仿宋_GB2312"/>
          <w:color w:val="auto"/>
          <w:sz w:val="32"/>
          <w:szCs w:val="32"/>
          <w:highlight w:val="none"/>
        </w:rPr>
        <w:t>年初预算为0.00万元，支出决算为90.04万元。决算数与年初预算数存在差异的主要原因是年中收到财政拨款，年初未纳入预算。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25．社会保障和就业支出（类）抚恤（款）死亡抚恤（项）。</w:t>
      </w:r>
      <w:r>
        <w:rPr>
          <w:rFonts w:hint="eastAsia" w:ascii="仿宋_GB2312" w:hAnsi="仿宋_GB2312" w:eastAsia="仿宋_GB2312" w:cs="仿宋_GB2312"/>
          <w:color w:val="auto"/>
          <w:sz w:val="32"/>
          <w:szCs w:val="32"/>
          <w:highlight w:val="none"/>
        </w:rPr>
        <w:t>年初预算为0.00万元，支出决算为188.30万元。决算数与年初预算数存在差异的主要原因是年内数名退休职工去世，收到财政抚恤款，年初未纳入预算。</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26．卫生健康支出（类）行政事业单位医疗（款）行政单位医疗（项）。</w:t>
      </w:r>
      <w:r>
        <w:rPr>
          <w:rFonts w:hint="eastAsia" w:ascii="仿宋_GB2312" w:hAnsi="仿宋_GB2312" w:eastAsia="仿宋_GB2312" w:cs="仿宋_GB2312"/>
          <w:color w:val="auto"/>
          <w:sz w:val="32"/>
          <w:szCs w:val="32"/>
          <w:highlight w:val="none"/>
        </w:rPr>
        <w:t>年初预算为32.02万元，支出决算为29.94万元，完成年初预算的93.50%。决算数与年初预算数存在差异的主要原因是行政单位离退休人员的增加，应缴保险费减少。</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27．卫生健康支出（类）行政事业单位医疗（款）事业单位医疗（项）。</w:t>
      </w:r>
      <w:r>
        <w:rPr>
          <w:rFonts w:hint="eastAsia" w:ascii="仿宋_GB2312" w:hAnsi="仿宋_GB2312" w:eastAsia="仿宋_GB2312" w:cs="仿宋_GB2312"/>
          <w:color w:val="auto"/>
          <w:sz w:val="32"/>
          <w:szCs w:val="32"/>
          <w:highlight w:val="none"/>
        </w:rPr>
        <w:t>年初预算为1512.38万元，支出决算为1482.65万元，完成年初预算的98.03%。决算数与年初预算数存在差异的主要原因是事业单位离退休人员的增加，应缴保险费减少。</w:t>
      </w:r>
    </w:p>
    <w:p>
      <w:pPr>
        <w:widowControl/>
        <w:spacing w:line="360" w:lineRule="auto"/>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28．卫生健康支出（类）行政事业单位医疗（款）公务员医疗补助（项）。</w:t>
      </w:r>
      <w:r>
        <w:rPr>
          <w:rFonts w:hint="eastAsia" w:ascii="仿宋_GB2312" w:hAnsi="仿宋_GB2312" w:eastAsia="仿宋_GB2312" w:cs="仿宋_GB2312"/>
          <w:color w:val="auto"/>
          <w:sz w:val="32"/>
          <w:szCs w:val="32"/>
          <w:highlight w:val="none"/>
        </w:rPr>
        <w:t>年初预算为30.50万元，支出决算为28.38万元，完成年初预算的93.05%。决算数与年初预算数存在差异的主要原因是行政单位离退休人员的增加，应缴保险费减少。</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spacing w:line="590" w:lineRule="exact"/>
        <w:ind w:firstLine="640"/>
        <w:rPr>
          <w:rFonts w:eastAsia="Times New Roman"/>
          <w:color w:val="auto"/>
          <w:kern w:val="0"/>
          <w:sz w:val="18"/>
          <w:szCs w:val="24"/>
          <w:highlight w:val="none"/>
          <w:lang w:val="zh-CN"/>
        </w:rPr>
      </w:pPr>
      <w:r>
        <w:rPr>
          <w:rFonts w:hint="eastAsia" w:ascii="仿宋_GB2312" w:hAnsi="仿宋_GB2312" w:eastAsia="仿宋_GB2312"/>
          <w:color w:val="auto"/>
          <w:sz w:val="32"/>
          <w:szCs w:val="24"/>
          <w:highlight w:val="none"/>
        </w:rPr>
        <w:t>2021年度一般公共预算财政拨款基本支出60,143.11万元。其中：人员经费53,857.56万元，主要包括：基本工资、津贴补贴、</w:t>
      </w:r>
      <w:r>
        <w:rPr>
          <w:rFonts w:hint="eastAsia" w:ascii="仿宋_GB2312" w:hAnsi="仿宋_GB2312" w:eastAsia="仿宋_GB2312"/>
          <w:color w:val="auto"/>
          <w:sz w:val="32"/>
          <w:szCs w:val="24"/>
          <w:highlight w:val="none"/>
          <w:lang w:val="en-US" w:eastAsia="zh-CN"/>
        </w:rPr>
        <w:t>奖金、</w:t>
      </w:r>
      <w:r>
        <w:rPr>
          <w:rFonts w:hint="eastAsia" w:ascii="仿宋_GB2312" w:hAnsi="仿宋_GB2312" w:eastAsia="仿宋_GB2312"/>
          <w:color w:val="auto"/>
          <w:sz w:val="32"/>
          <w:szCs w:val="24"/>
          <w:highlight w:val="none"/>
        </w:rPr>
        <w:t>绩效工资、机关事业单位基本养老保险缴费、职业年金缴费、</w:t>
      </w:r>
      <w:r>
        <w:rPr>
          <w:rFonts w:hint="eastAsia" w:ascii="仿宋_GB2312" w:hAnsi="仿宋_GB2312" w:eastAsia="仿宋_GB2312"/>
          <w:color w:val="auto"/>
          <w:sz w:val="32"/>
          <w:szCs w:val="24"/>
          <w:highlight w:val="none"/>
          <w:lang w:val="en-US" w:eastAsia="zh-CN"/>
        </w:rPr>
        <w:t>职工基本医疗保险缴费、公务员医疗补助缴费、</w:t>
      </w:r>
      <w:r>
        <w:rPr>
          <w:rFonts w:hint="eastAsia" w:ascii="仿宋_GB2312" w:hAnsi="仿宋_GB2312" w:eastAsia="仿宋_GB2312"/>
          <w:color w:val="auto"/>
          <w:sz w:val="32"/>
          <w:szCs w:val="24"/>
          <w:highlight w:val="none"/>
        </w:rPr>
        <w:t>其他社会保障缴费、其他工资福利支出、离休费、退休费、抚恤金、生活补助、</w:t>
      </w:r>
      <w:r>
        <w:rPr>
          <w:rFonts w:hint="eastAsia" w:ascii="仿宋_GB2312" w:hAnsi="仿宋_GB2312" w:eastAsia="仿宋_GB2312"/>
          <w:color w:val="auto"/>
          <w:sz w:val="32"/>
          <w:szCs w:val="24"/>
          <w:highlight w:val="none"/>
          <w:lang w:val="en-US" w:eastAsia="zh-CN"/>
        </w:rPr>
        <w:t>医疗费补助、助学金、</w:t>
      </w:r>
      <w:r>
        <w:rPr>
          <w:rFonts w:hint="eastAsia" w:ascii="仿宋_GB2312" w:hAnsi="仿宋_GB2312" w:eastAsia="仿宋_GB2312"/>
          <w:color w:val="auto"/>
          <w:sz w:val="32"/>
          <w:szCs w:val="24"/>
          <w:highlight w:val="none"/>
        </w:rPr>
        <w:t>奖励金、住房公积金、其他对个人和家庭的补助支出；公用经费6,285.55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spacing w:line="590" w:lineRule="exact"/>
        <w:ind w:firstLine="640"/>
        <w:rPr>
          <w:rFonts w:eastAsia="Times New Roman"/>
          <w:color w:val="auto"/>
          <w:kern w:val="0"/>
          <w:sz w:val="18"/>
          <w:szCs w:val="24"/>
          <w:highlight w:val="none"/>
          <w:lang w:val="zh-CN"/>
        </w:rPr>
      </w:pPr>
      <w:r>
        <w:rPr>
          <w:rFonts w:hint="eastAsia" w:ascii="仿宋_GB2312" w:hAnsi="仿宋_GB2312" w:eastAsia="仿宋_GB2312"/>
          <w:color w:val="auto"/>
          <w:sz w:val="32"/>
          <w:szCs w:val="24"/>
          <w:highlight w:val="none"/>
        </w:rPr>
        <w:t>2021年度</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三公</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经费财政拨款支出预算为105.57万元，支出决算为36.22万元，完成预算的34.3%。2021年度</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三公</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经费支出决算数与预算数存在差异的主要原因是公务接待的减少。</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spacing w:line="590" w:lineRule="exact"/>
        <w:ind w:firstLine="640"/>
        <w:rPr>
          <w:rFonts w:eastAsia="Times New Roman"/>
          <w:color w:val="auto"/>
          <w:kern w:val="0"/>
          <w:sz w:val="18"/>
          <w:szCs w:val="24"/>
          <w:highlight w:val="none"/>
        </w:rPr>
      </w:pPr>
      <w:r>
        <w:rPr>
          <w:rFonts w:hint="eastAsia" w:ascii="仿宋_GB2312" w:hAnsi="仿宋_GB2312" w:eastAsia="仿宋_GB2312"/>
          <w:color w:val="auto"/>
          <w:sz w:val="32"/>
          <w:szCs w:val="24"/>
          <w:highlight w:val="none"/>
        </w:rPr>
        <w:t>2021年度</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三公</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经费财政拨款支出决算中，因公出国（境）费支出决算0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万元，完成预算的0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%；公务用车购置及运行费支出决算32.19万元，完成预算的83.41%，占88.8</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olor w:val="auto"/>
          <w:sz w:val="32"/>
          <w:szCs w:val="24"/>
          <w:highlight w:val="none"/>
        </w:rPr>
        <w:t>%；公务接待费支出决算4.02万元，完成预算的6.01%，占11.1</w:t>
      </w:r>
      <w:r>
        <w:rPr>
          <w:rFonts w:hint="eastAsia" w:ascii="仿宋_GB2312" w:hAnsi="仿宋_GB2312" w:eastAsia="仿宋_GB2312"/>
          <w:color w:val="auto"/>
          <w:sz w:val="32"/>
          <w:szCs w:val="24"/>
          <w:highlight w:val="none"/>
          <w:lang w:val="en-US" w:eastAsia="zh-CN"/>
        </w:rPr>
        <w:t>3</w:t>
      </w:r>
      <w:r>
        <w:rPr>
          <w:rFonts w:hint="eastAsia" w:ascii="仿宋_GB2312" w:hAnsi="仿宋_GB2312" w:eastAsia="仿宋_GB2312"/>
          <w:color w:val="auto"/>
          <w:sz w:val="32"/>
          <w:szCs w:val="24"/>
          <w:highlight w:val="none"/>
        </w:rPr>
        <w:t>%；具体情况如下：</w:t>
      </w:r>
    </w:p>
    <w:p>
      <w:pPr>
        <w:spacing w:line="590" w:lineRule="exact"/>
        <w:ind w:firstLine="640"/>
        <w:rPr>
          <w:rFonts w:eastAsia="Times New Roman"/>
          <w:color w:val="auto"/>
          <w:kern w:val="0"/>
          <w:sz w:val="18"/>
          <w:szCs w:val="24"/>
          <w:highlight w:val="none"/>
          <w:lang w:val="zh-CN"/>
        </w:rPr>
      </w:pPr>
      <w:r>
        <w:rPr>
          <w:rFonts w:hint="eastAsia" w:ascii="仿宋_GB2312" w:hAnsi="仿宋_GB2312" w:eastAsia="仿宋_GB2312"/>
          <w:b/>
          <w:color w:val="auto"/>
          <w:sz w:val="32"/>
          <w:szCs w:val="24"/>
          <w:highlight w:val="none"/>
        </w:rPr>
        <w:t>1．因公出国（境）费</w:t>
      </w:r>
      <w:r>
        <w:rPr>
          <w:rFonts w:hint="eastAsia" w:ascii="仿宋_GB2312" w:hAnsi="仿宋_GB2312" w:eastAsia="仿宋_GB2312"/>
          <w:color w:val="auto"/>
          <w:sz w:val="32"/>
          <w:szCs w:val="24"/>
          <w:highlight w:val="none"/>
        </w:rPr>
        <w:t>预算为0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万元，支出决算为0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万元，决算数与</w:t>
      </w:r>
      <w:r>
        <w:rPr>
          <w:rFonts w:hint="eastAsia" w:ascii="仿宋_GB2312" w:hAnsi="仿宋_GB2312" w:eastAsia="仿宋_GB2312"/>
          <w:color w:val="auto"/>
          <w:sz w:val="32"/>
          <w:szCs w:val="24"/>
          <w:highlight w:val="none"/>
          <w:lang w:eastAsia="zh-CN"/>
        </w:rPr>
        <w:t>决</w:t>
      </w:r>
      <w:r>
        <w:rPr>
          <w:rFonts w:hint="eastAsia" w:ascii="仿宋_GB2312" w:hAnsi="仿宋_GB2312" w:eastAsia="仿宋_GB2312"/>
          <w:color w:val="auto"/>
          <w:sz w:val="32"/>
          <w:szCs w:val="24"/>
          <w:highlight w:val="none"/>
        </w:rPr>
        <w:t>算数</w:t>
      </w:r>
      <w:r>
        <w:rPr>
          <w:rFonts w:hint="eastAsia" w:ascii="仿宋_GB2312" w:hAnsi="仿宋_GB2312" w:eastAsia="仿宋_GB2312"/>
          <w:color w:val="auto"/>
          <w:sz w:val="32"/>
          <w:szCs w:val="24"/>
          <w:highlight w:val="none"/>
          <w:lang w:val="en-US" w:eastAsia="zh-CN"/>
        </w:rPr>
        <w:t>不</w:t>
      </w:r>
      <w:r>
        <w:rPr>
          <w:rFonts w:hint="eastAsia" w:ascii="仿宋_GB2312" w:hAnsi="仿宋_GB2312" w:eastAsia="仿宋_GB2312"/>
          <w:color w:val="auto"/>
          <w:sz w:val="32"/>
          <w:szCs w:val="24"/>
          <w:highlight w:val="none"/>
        </w:rPr>
        <w:t>存在差异。因公出国（境）团组数0个，因公出国（境）人次数0人。</w:t>
      </w:r>
    </w:p>
    <w:p>
      <w:pPr>
        <w:spacing w:line="590" w:lineRule="exact"/>
        <w:ind w:firstLine="640"/>
        <w:rPr>
          <w:rFonts w:eastAsia="Times New Roman"/>
          <w:color w:val="auto"/>
          <w:sz w:val="32"/>
          <w:szCs w:val="24"/>
          <w:highlight w:val="none"/>
        </w:rPr>
      </w:pPr>
      <w:r>
        <w:rPr>
          <w:rFonts w:hint="eastAsia" w:ascii="仿宋_GB2312" w:hAnsi="仿宋_GB2312" w:eastAsia="仿宋_GB2312"/>
          <w:b/>
          <w:color w:val="auto"/>
          <w:sz w:val="32"/>
          <w:szCs w:val="24"/>
          <w:highlight w:val="none"/>
        </w:rPr>
        <w:t>2．公务用车购置及运行费</w:t>
      </w:r>
      <w:r>
        <w:rPr>
          <w:rFonts w:hint="eastAsia" w:ascii="仿宋_GB2312" w:hAnsi="仿宋_GB2312" w:eastAsia="仿宋_GB2312"/>
          <w:color w:val="auto"/>
          <w:sz w:val="32"/>
          <w:szCs w:val="24"/>
          <w:highlight w:val="none"/>
        </w:rPr>
        <w:t>预算为38.6万元，支出决算为32.19万元，完成年初预算的83.</w:t>
      </w:r>
      <w:r>
        <w:rPr>
          <w:rFonts w:hint="eastAsia" w:ascii="仿宋_GB2312" w:hAnsi="仿宋_GB2312" w:eastAsia="仿宋_GB2312"/>
          <w:color w:val="auto"/>
          <w:sz w:val="32"/>
          <w:szCs w:val="24"/>
          <w:highlight w:val="none"/>
          <w:lang w:val="en-US" w:eastAsia="zh-CN"/>
        </w:rPr>
        <w:t>39</w:t>
      </w:r>
      <w:r>
        <w:rPr>
          <w:rFonts w:hint="eastAsia" w:ascii="仿宋_GB2312" w:hAnsi="仿宋_GB2312" w:eastAsia="仿宋_GB2312"/>
          <w:color w:val="auto"/>
          <w:sz w:val="32"/>
          <w:szCs w:val="24"/>
          <w:highlight w:val="none"/>
        </w:rPr>
        <w:t>%，决算数与预算数存在差异的主要原因是公车运行的减少。其中：</w:t>
      </w:r>
    </w:p>
    <w:p>
      <w:pPr>
        <w:spacing w:line="590" w:lineRule="exact"/>
        <w:ind w:firstLine="640"/>
        <w:rPr>
          <w:rFonts w:eastAsia="Times New Roman"/>
          <w:color w:val="auto"/>
          <w:sz w:val="32"/>
          <w:szCs w:val="24"/>
          <w:highlight w:val="none"/>
        </w:rPr>
      </w:pPr>
      <w:r>
        <w:rPr>
          <w:rFonts w:hint="eastAsia" w:ascii="仿宋_GB2312" w:hAnsi="仿宋_GB2312" w:eastAsia="仿宋_GB2312"/>
          <w:b/>
          <w:color w:val="auto"/>
          <w:sz w:val="32"/>
          <w:szCs w:val="24"/>
          <w:highlight w:val="none"/>
        </w:rPr>
        <w:t>公务用车购置支出</w:t>
      </w:r>
      <w:r>
        <w:rPr>
          <w:rFonts w:hint="eastAsia" w:ascii="仿宋_GB2312" w:hAnsi="仿宋_GB2312" w:eastAsia="仿宋_GB2312"/>
          <w:color w:val="auto"/>
          <w:sz w:val="32"/>
          <w:szCs w:val="24"/>
          <w:highlight w:val="none"/>
        </w:rPr>
        <w:t>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万元，购置车辆0台。</w:t>
      </w:r>
    </w:p>
    <w:p>
      <w:pPr>
        <w:spacing w:line="590" w:lineRule="exact"/>
        <w:ind w:firstLine="640"/>
        <w:rPr>
          <w:rFonts w:eastAsia="Times New Roman"/>
          <w:color w:val="auto"/>
          <w:kern w:val="0"/>
          <w:sz w:val="18"/>
          <w:szCs w:val="24"/>
          <w:highlight w:val="none"/>
          <w:lang w:val="zh-CN"/>
        </w:rPr>
      </w:pPr>
      <w:r>
        <w:rPr>
          <w:rFonts w:hint="eastAsia" w:ascii="仿宋_GB2312" w:hAnsi="仿宋_GB2312" w:eastAsia="仿宋_GB2312"/>
          <w:b/>
          <w:color w:val="auto"/>
          <w:sz w:val="32"/>
          <w:szCs w:val="24"/>
          <w:highlight w:val="none"/>
        </w:rPr>
        <w:t>公务用车运行支出</w:t>
      </w:r>
      <w:r>
        <w:rPr>
          <w:rFonts w:hint="eastAsia" w:ascii="仿宋_GB2312" w:hAnsi="仿宋_GB2312" w:eastAsia="仿宋_GB2312"/>
          <w:color w:val="auto"/>
          <w:sz w:val="32"/>
          <w:szCs w:val="24"/>
          <w:highlight w:val="none"/>
        </w:rPr>
        <w:t>32.19万元。主要用于公车运行。2021年期末，</w:t>
      </w:r>
      <w:r>
        <w:rPr>
          <w:rFonts w:hint="eastAsia" w:ascii="仿宋_GB2312" w:hAnsi="仿宋_GB2312" w:eastAsia="仿宋_GB2312"/>
          <w:color w:val="auto"/>
          <w:sz w:val="32"/>
          <w:szCs w:val="24"/>
          <w:highlight w:val="none"/>
          <w:lang w:eastAsia="zh-CN"/>
        </w:rPr>
        <w:t>部门</w:t>
      </w:r>
      <w:r>
        <w:rPr>
          <w:rFonts w:hint="eastAsia" w:ascii="仿宋_GB2312" w:hAnsi="仿宋_GB2312" w:eastAsia="仿宋_GB2312"/>
          <w:color w:val="auto"/>
          <w:sz w:val="32"/>
          <w:szCs w:val="24"/>
          <w:highlight w:val="none"/>
        </w:rPr>
        <w:t>开支财政拨款的公务用车保有量为24量。</w:t>
      </w:r>
    </w:p>
    <w:p>
      <w:pPr>
        <w:spacing w:line="590" w:lineRule="exact"/>
        <w:ind w:firstLine="640"/>
        <w:rPr>
          <w:rFonts w:eastAsia="Times New Roman"/>
          <w:color w:val="auto"/>
          <w:sz w:val="32"/>
          <w:szCs w:val="24"/>
          <w:highlight w:val="none"/>
        </w:rPr>
      </w:pPr>
      <w:r>
        <w:rPr>
          <w:rFonts w:hint="eastAsia" w:ascii="仿宋_GB2312" w:hAnsi="仿宋_GB2312" w:eastAsia="仿宋_GB2312"/>
          <w:b/>
          <w:color w:val="auto"/>
          <w:sz w:val="32"/>
          <w:szCs w:val="24"/>
          <w:highlight w:val="none"/>
        </w:rPr>
        <w:t>3.公务接待费</w:t>
      </w:r>
      <w:r>
        <w:rPr>
          <w:rFonts w:hint="eastAsia" w:ascii="仿宋_GB2312" w:hAnsi="仿宋_GB2312" w:eastAsia="仿宋_GB2312"/>
          <w:color w:val="auto"/>
          <w:sz w:val="32"/>
          <w:szCs w:val="24"/>
          <w:highlight w:val="none"/>
        </w:rPr>
        <w:t>预算为66.98万元，支出决算为4.02万元，完成年初预算的6.0</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rPr>
        <w:t>%。决算数与预算数存在差异的主要原因是公务接待的减少。其中：</w:t>
      </w:r>
    </w:p>
    <w:p>
      <w:pPr>
        <w:spacing w:line="590" w:lineRule="exact"/>
        <w:ind w:firstLine="640"/>
        <w:rPr>
          <w:rFonts w:eastAsia="Times New Roman"/>
          <w:color w:val="auto"/>
          <w:sz w:val="32"/>
          <w:szCs w:val="24"/>
          <w:highlight w:val="none"/>
        </w:rPr>
      </w:pPr>
      <w:r>
        <w:rPr>
          <w:rFonts w:hint="eastAsia" w:ascii="仿宋_GB2312" w:hAnsi="仿宋_GB2312" w:eastAsia="仿宋_GB2312"/>
          <w:b/>
          <w:color w:val="auto"/>
          <w:sz w:val="32"/>
          <w:szCs w:val="24"/>
          <w:highlight w:val="none"/>
        </w:rPr>
        <w:t>外宾接待支出</w:t>
      </w:r>
      <w:r>
        <w:rPr>
          <w:rFonts w:hint="eastAsia" w:ascii="仿宋_GB2312" w:hAnsi="仿宋_GB2312" w:eastAsia="仿宋_GB2312"/>
          <w:color w:val="auto"/>
          <w:sz w:val="32"/>
          <w:szCs w:val="24"/>
          <w:highlight w:val="none"/>
        </w:rPr>
        <w:t>0</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00万元。2021年共接待国（境）外来访团组0个、来访外宾0人次（不包括陪同人员）。</w:t>
      </w:r>
    </w:p>
    <w:p>
      <w:pPr>
        <w:spacing w:line="590" w:lineRule="exact"/>
        <w:ind w:firstLine="640"/>
        <w:rPr>
          <w:rFonts w:eastAsia="Times New Roman"/>
          <w:color w:val="auto"/>
          <w:kern w:val="0"/>
          <w:sz w:val="18"/>
          <w:szCs w:val="24"/>
          <w:highlight w:val="none"/>
          <w:lang w:val="zh-CN"/>
        </w:rPr>
      </w:pPr>
      <w:r>
        <w:rPr>
          <w:rFonts w:hint="eastAsia" w:ascii="仿宋_GB2312" w:hAnsi="仿宋_GB2312" w:eastAsia="仿宋_GB2312"/>
          <w:b/>
          <w:color w:val="auto"/>
          <w:sz w:val="32"/>
          <w:szCs w:val="24"/>
          <w:highlight w:val="none"/>
        </w:rPr>
        <w:t>其他国内公务接待支出</w:t>
      </w:r>
      <w:r>
        <w:rPr>
          <w:rFonts w:hint="eastAsia" w:ascii="仿宋_GB2312" w:hAnsi="仿宋_GB2312" w:eastAsia="仿宋_GB2312"/>
          <w:color w:val="auto"/>
          <w:sz w:val="32"/>
          <w:szCs w:val="24"/>
          <w:highlight w:val="none"/>
        </w:rPr>
        <w:t>4</w:t>
      </w:r>
      <w:r>
        <w:rPr>
          <w:rFonts w:eastAsia="Times New Roman"/>
          <w:color w:val="auto"/>
          <w:sz w:val="32"/>
          <w:szCs w:val="24"/>
          <w:highlight w:val="none"/>
        </w:rPr>
        <w:t>.</w:t>
      </w:r>
      <w:r>
        <w:rPr>
          <w:rFonts w:hint="eastAsia" w:ascii="仿宋_GB2312" w:hAnsi="仿宋_GB2312" w:eastAsia="仿宋_GB2312"/>
          <w:color w:val="auto"/>
          <w:sz w:val="32"/>
          <w:szCs w:val="24"/>
          <w:highlight w:val="none"/>
        </w:rPr>
        <w:t>02万元。主要用于国内公务接待。2021年共接待国内来访团组84个、来宾840人次（不包括陪同人员）。</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spacing w:line="590" w:lineRule="exact"/>
        <w:ind w:firstLine="640"/>
        <w:rPr>
          <w:rFonts w:hint="eastAsia" w:ascii="仿宋_GB2312" w:hAnsi="仿宋_GB2312" w:eastAsia="仿宋_GB2312"/>
          <w:color w:val="auto"/>
          <w:sz w:val="32"/>
          <w:szCs w:val="24"/>
          <w:highlight w:val="none"/>
          <w:lang w:val="en-US" w:eastAsia="zh-CN"/>
        </w:rPr>
      </w:pPr>
      <w:r>
        <w:rPr>
          <w:rFonts w:hint="eastAsia" w:ascii="仿宋_GB2312" w:hAnsi="仿宋_GB2312" w:eastAsia="仿宋_GB2312"/>
          <w:color w:val="auto"/>
          <w:sz w:val="32"/>
          <w:szCs w:val="24"/>
          <w:highlight w:val="none"/>
        </w:rPr>
        <w:t>2021年度政府性基金预算财政拨款支出年初预算为0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万元，支出决算为0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万元。不存在项目年末结转和结余资金数额较大</w:t>
      </w:r>
      <w:r>
        <w:rPr>
          <w:rFonts w:hint="eastAsia" w:ascii="仿宋_GB2312" w:hAnsi="仿宋_GB2312" w:eastAsia="仿宋_GB2312"/>
          <w:color w:val="auto"/>
          <w:sz w:val="32"/>
          <w:szCs w:val="24"/>
          <w:highlight w:val="none"/>
          <w:lang w:eastAsia="zh-CN"/>
        </w:rPr>
        <w:t>。</w:t>
      </w:r>
    </w:p>
    <w:p>
      <w:pPr>
        <w:spacing w:line="59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rPr>
        <w:t>我部门</w:t>
      </w:r>
      <w:r>
        <w:rPr>
          <w:rFonts w:hint="eastAsia" w:ascii="仿宋" w:hAnsi="仿宋" w:eastAsia="仿宋" w:cs="宋体"/>
          <w:color w:val="auto"/>
          <w:kern w:val="0"/>
          <w:sz w:val="32"/>
          <w:szCs w:val="32"/>
          <w:highlight w:val="none"/>
        </w:rPr>
        <w:t>2021年度没有政府性基金收入，也没有使用政府性基金安排的支出。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outlineLvl w:val="1"/>
        <w:rPr>
          <w:rFonts w:ascii="仿宋_GB2312" w:hAnsi="仿宋_GB2312" w:eastAsia="仿宋_GB2312"/>
          <w:color w:val="auto"/>
          <w:sz w:val="32"/>
          <w:szCs w:val="24"/>
          <w:highlight w:val="none"/>
        </w:rPr>
      </w:pPr>
      <w:r>
        <w:rPr>
          <w:rFonts w:hint="eastAsia" w:ascii="仿宋_GB2312" w:hAnsi="仿宋_GB2312" w:eastAsia="仿宋_GB2312"/>
          <w:color w:val="auto"/>
          <w:sz w:val="32"/>
          <w:szCs w:val="24"/>
          <w:highlight w:val="none"/>
        </w:rPr>
        <w:t>2021年度机关运行经费初预算为145.55万元，支出决算为188.86万元。</w:t>
      </w:r>
      <w:r>
        <w:rPr>
          <w:rFonts w:hint="eastAsia" w:ascii="仿宋_GB2312" w:eastAsia="仿宋_GB2312" w:cs="仿宋_GB2312"/>
          <w:color w:val="auto"/>
          <w:sz w:val="32"/>
          <w:szCs w:val="32"/>
          <w:highlight w:val="none"/>
        </w:rPr>
        <w:t>完成年初预算的129.76</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val="en-US" w:eastAsia="zh-CN"/>
        </w:rPr>
        <w:t>我部门二级机构</w:t>
      </w:r>
      <w:r>
        <w:rPr>
          <w:rFonts w:hint="eastAsia" w:ascii="仿宋_GB2312" w:hAnsi="仿宋_GB2312" w:eastAsia="仿宋_GB2312" w:cs="仿宋_GB2312"/>
          <w:color w:val="auto"/>
          <w:sz w:val="32"/>
          <w:szCs w:val="32"/>
          <w:highlight w:val="none"/>
        </w:rPr>
        <w:t>招生考试中心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参公）</w:t>
      </w:r>
      <w:r>
        <w:rPr>
          <w:rFonts w:hint="eastAsia" w:ascii="仿宋_GB2312" w:hAnsi="仿宋_GB2312" w:eastAsia="仿宋_GB2312" w:cs="仿宋_GB2312"/>
          <w:color w:val="auto"/>
          <w:sz w:val="32"/>
          <w:szCs w:val="32"/>
          <w:highlight w:val="none"/>
        </w:rPr>
        <w:t>将部分考试活动中相关刚性支出纳入基本支出核算。</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spacing w:line="590" w:lineRule="exact"/>
        <w:ind w:firstLine="640"/>
        <w:rPr>
          <w:rFonts w:eastAsia="Times New Roman"/>
          <w:color w:val="auto"/>
          <w:kern w:val="0"/>
          <w:sz w:val="18"/>
          <w:szCs w:val="24"/>
          <w:highlight w:val="none"/>
          <w:lang w:val="zh-CN"/>
        </w:rPr>
      </w:pPr>
      <w:r>
        <w:rPr>
          <w:rFonts w:hint="eastAsia" w:ascii="仿宋_GB2312" w:hAnsi="仿宋_GB2312" w:eastAsia="仿宋_GB2312"/>
          <w:color w:val="auto"/>
          <w:sz w:val="32"/>
          <w:szCs w:val="24"/>
          <w:highlight w:val="none"/>
        </w:rPr>
        <w:t>2021年度政府采购支出总额3,217.84万元，其中：政府采购货物支出2,122.17万元、政府采购工程支出1,083.2万元、政府采购服务支出12.46万元。授予中小企业合同金额0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万元,其中：授予小微企业合同金额0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rPr>
        <w:t>万元。</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spacing w:line="590" w:lineRule="exact"/>
        <w:ind w:firstLine="640"/>
        <w:rPr>
          <w:rFonts w:eastAsia="Times New Roman"/>
          <w:color w:val="auto"/>
          <w:kern w:val="0"/>
          <w:sz w:val="18"/>
          <w:szCs w:val="24"/>
          <w:highlight w:val="none"/>
        </w:rPr>
      </w:pPr>
      <w:r>
        <w:rPr>
          <w:rFonts w:hint="eastAsia" w:ascii="仿宋_GB2312" w:hAnsi="仿宋_GB2312" w:eastAsia="仿宋_GB2312"/>
          <w:color w:val="auto"/>
          <w:sz w:val="32"/>
          <w:szCs w:val="24"/>
          <w:highlight w:val="none"/>
        </w:rPr>
        <w:t>2021年期末，我单位共有车辆24辆，其中：省级领导干部用车0辆、主要领导干部用车0辆、机要通信用车1辆、应急保障车2辆、执法执勤用车0辆、特种专业技术用车1辆、离退休干部用车0辆、其他用车20辆；单位价值50万元以上通用设备1台（套），单位价值100万元以上专用设备0台（套）。</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我部门按照《中共许昌市委 许昌市人民政府关于全面实施预算绩效管理的实施意见》（许发〔2021〕13号）文件要求，对本部门整体支出和项目支出开展全过程预算绩效管理。2021年我部门纳入预算绩效管理的支出总额为69265.</w:t>
      </w:r>
      <w:r>
        <w:rPr>
          <w:rFonts w:hint="eastAsia" w:ascii="仿宋_GB2312" w:hAnsi="仿宋_GB2312" w:eastAsia="仿宋_GB2312" w:cs="仿宋_GB2312"/>
          <w:color w:val="auto"/>
          <w:sz w:val="32"/>
          <w:szCs w:val="32"/>
          <w:highlight w:val="none"/>
          <w:lang w:val="en-US" w:eastAsia="zh-CN"/>
        </w:rPr>
        <w:t>04</w:t>
      </w:r>
      <w:r>
        <w:rPr>
          <w:rFonts w:hint="eastAsia" w:ascii="仿宋_GB2312" w:hAnsi="仿宋_GB2312" w:eastAsia="仿宋_GB2312" w:cs="仿宋_GB2312"/>
          <w:color w:val="auto"/>
          <w:sz w:val="32"/>
          <w:szCs w:val="32"/>
          <w:highlight w:val="none"/>
        </w:rPr>
        <w:t>万元，其中：基本支出67478.0</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万元；支出项目22个，支出金额1787.</w:t>
      </w:r>
      <w:r>
        <w:rPr>
          <w:rFonts w:hint="eastAsia" w:ascii="仿宋_GB2312" w:hAnsi="仿宋_GB2312" w:eastAsia="仿宋_GB2312" w:cs="仿宋_GB2312"/>
          <w:color w:val="auto"/>
          <w:sz w:val="32"/>
          <w:szCs w:val="32"/>
          <w:highlight w:val="none"/>
          <w:lang w:val="en-US" w:eastAsia="zh-CN"/>
        </w:rPr>
        <w:t>04</w:t>
      </w:r>
      <w:r>
        <w:rPr>
          <w:rFonts w:hint="eastAsia" w:ascii="仿宋_GB2312" w:hAnsi="仿宋_GB2312" w:eastAsia="仿宋_GB2312" w:cs="仿宋_GB2312"/>
          <w:color w:val="auto"/>
          <w:sz w:val="32"/>
          <w:szCs w:val="32"/>
          <w:highlight w:val="none"/>
        </w:rPr>
        <w:t>万元。开展项目绩效自评项目22个，自评金额1787.</w:t>
      </w:r>
      <w:r>
        <w:rPr>
          <w:rFonts w:hint="eastAsia" w:ascii="仿宋_GB2312" w:hAnsi="仿宋_GB2312" w:eastAsia="仿宋_GB2312" w:cs="仿宋_GB2312"/>
          <w:color w:val="auto"/>
          <w:sz w:val="32"/>
          <w:szCs w:val="32"/>
          <w:highlight w:val="none"/>
          <w:lang w:val="en-US" w:eastAsia="zh-CN"/>
        </w:rPr>
        <w:t>04</w:t>
      </w:r>
      <w:r>
        <w:rPr>
          <w:rFonts w:hint="eastAsia" w:ascii="仿宋_GB2312" w:hAnsi="仿宋_GB2312" w:eastAsia="仿宋_GB2312" w:cs="仿宋_GB2312"/>
          <w:color w:val="auto"/>
          <w:sz w:val="32"/>
          <w:szCs w:val="32"/>
          <w:highlight w:val="none"/>
        </w:rPr>
        <w:t>万元；纳入重点绩效评价0个，评价金额0.00万元。</w:t>
      </w:r>
    </w:p>
    <w:p>
      <w:pPr>
        <w:widowControl/>
        <w:spacing w:line="360" w:lineRule="auto"/>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我部门2021年度积极组织开展绩效管理工作，安排财务科全面管理所属各单位绩效申报工作，并于年末引导各单位开展自评工作，全年共开展绩效培训3次。</w:t>
      </w:r>
    </w:p>
    <w:p>
      <w:pPr>
        <w:widowControl/>
        <w:spacing w:line="360" w:lineRule="auto"/>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（二）部门整体和项目绩效自评结果。</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〕1号）等文件精神，我部门对本部门整体绩效目标和项目支出绩效目标进行了自评。一是部门整体绩效自评情况。全年基本支出预算67478.00万元，实际执行64496.00万元，执行率95.58%，自评得分9</w:t>
      </w:r>
      <w:r>
        <w:rPr>
          <w:rFonts w:hint="eastAsia" w:ascii="仿宋_GB2312" w:hAnsi="仿宋_GB2312" w:eastAsia="仿宋_GB2312" w:cs="仿宋_GB2312"/>
          <w:color w:val="auto"/>
          <w:sz w:val="32"/>
          <w:szCs w:val="32"/>
          <w:highlight w:val="none"/>
          <w:lang w:val="en-US" w:eastAsia="zh-CN"/>
        </w:rPr>
        <w:t>5.58</w:t>
      </w:r>
      <w:r>
        <w:rPr>
          <w:rFonts w:hint="eastAsia" w:ascii="仿宋_GB2312" w:hAnsi="仿宋_GB2312" w:eastAsia="仿宋_GB2312" w:cs="仿宋_GB2312"/>
          <w:color w:val="auto"/>
          <w:sz w:val="32"/>
          <w:szCs w:val="32"/>
          <w:highlight w:val="none"/>
        </w:rPr>
        <w:t>分，结果良好。我部门年初工作目标基本均已完成。二是项目绩效自评情况。我部门共有22个项目批复了绩效目标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项目金额1787.04元</w:t>
      </w:r>
      <w:r>
        <w:rPr>
          <w:rFonts w:hint="eastAsia" w:ascii="仿宋_GB2312" w:hAnsi="仿宋_GB2312" w:eastAsia="仿宋_GB2312" w:cs="仿宋_GB2312"/>
          <w:color w:val="auto"/>
          <w:sz w:val="32"/>
          <w:szCs w:val="32"/>
          <w:highlight w:val="none"/>
        </w:rPr>
        <w:t>。其中：</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许昌市普通教育教学研究室1个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项目金额40.00万元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许昌市第一中学1个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项目金额30.00万元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许昌市电教馆1个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项目金额0.60万元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第二实验幼儿园1个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项目金额132.05万元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许昌实验中学1个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项目金额143.00万元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许昌市高级中学1个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项目金额100.00万元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许昌市招生考试中心1个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项目金额209.00万元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许昌市第三高级中学1个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项目金额30.00万元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许昌实验幼儿园1个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项目金额183.30万元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许昌市毓秀路小学1个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项目金额50.00万元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综合实践教研中心1个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项目金额18.00万元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许昌市特殊教育学校1个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项目金额8.00万元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许昌市第二中学1个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项目金额165.00万元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许昌市第六中学1个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项目金额100.00万元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许昌市第八中学1个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项目金额15.00万元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许昌市第九中学1个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项目金额72.00万元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许昌实验小学1个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项目金额54.09万元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许昌第二高级中学1个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项目金额30.00万元</w:t>
      </w:r>
      <w:r>
        <w:rPr>
          <w:rFonts w:hint="eastAsia" w:ascii="仿宋_GB2312" w:hAnsi="仿宋_GB2312" w:eastAsia="仿宋_GB2312" w:cs="仿宋_GB2312"/>
          <w:color w:val="auto"/>
          <w:sz w:val="32"/>
          <w:szCs w:val="32"/>
          <w:highlight w:val="none"/>
        </w:rPr>
        <w:t xml:space="preserve"> </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许昌市装备中心1个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项目金额20.00万元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许昌市教育局2个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项目金额275.00万元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许昌市人民政府机关幼儿园1个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项目金额112.00万元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基于项目预期目标的实现程度，对2021年度项目支出绩效进行自评，绩效自评平均得分为</w:t>
      </w:r>
      <w:r>
        <w:rPr>
          <w:rFonts w:hint="eastAsia" w:ascii="仿宋_GB2312" w:hAnsi="仿宋_GB2312" w:eastAsia="仿宋_GB2312" w:cs="仿宋_GB2312"/>
          <w:color w:val="auto"/>
          <w:sz w:val="32"/>
          <w:szCs w:val="32"/>
          <w:highlight w:val="none"/>
          <w:lang w:val="en-US" w:eastAsia="zh-CN"/>
        </w:rPr>
        <w:t>51.21</w:t>
      </w:r>
      <w:r>
        <w:rPr>
          <w:rFonts w:hint="eastAsia" w:ascii="仿宋_GB2312" w:hAnsi="仿宋_GB2312" w:eastAsia="仿宋_GB2312" w:cs="仿宋_GB2312"/>
          <w:color w:val="auto"/>
          <w:sz w:val="32"/>
          <w:szCs w:val="32"/>
          <w:highlight w:val="none"/>
        </w:rPr>
        <w:t>分。其中：</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个项目评价等级为“优”、</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个项目评价等级为“良”、</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个项目评价等级为“中”、10个项目评价等级为“差”。</w:t>
      </w:r>
    </w:p>
    <w:p>
      <w:pPr>
        <w:widowControl/>
        <w:spacing w:line="360" w:lineRule="auto"/>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2021年度我部门没有开展重点绩效评价的项目。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- 47 -</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0MkBAACZ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vHQ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- 46 -</w:t>
                          </w:r>
                          <w:r>
                            <w:rPr>
                              <w:rFonts w:hint="eastAsia"/>
                              <w:sz w:val="18"/>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xG58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MRuf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3632"/>
    <w:rsid w:val="00304D04"/>
    <w:rsid w:val="00305B88"/>
    <w:rsid w:val="00315FEB"/>
    <w:rsid w:val="00394554"/>
    <w:rsid w:val="003E15A9"/>
    <w:rsid w:val="0041489C"/>
    <w:rsid w:val="0042585F"/>
    <w:rsid w:val="00445CAC"/>
    <w:rsid w:val="00472E19"/>
    <w:rsid w:val="00487869"/>
    <w:rsid w:val="004C7F55"/>
    <w:rsid w:val="004D5275"/>
    <w:rsid w:val="004F63DB"/>
    <w:rsid w:val="004F67CF"/>
    <w:rsid w:val="00505190"/>
    <w:rsid w:val="00507364"/>
    <w:rsid w:val="00546F7C"/>
    <w:rsid w:val="005A0C2F"/>
    <w:rsid w:val="005B1AE2"/>
    <w:rsid w:val="005E0FA5"/>
    <w:rsid w:val="005E1A84"/>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8D41F3"/>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815AA"/>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A7A19"/>
    <w:rsid w:val="00EB05A3"/>
    <w:rsid w:val="00ED38B7"/>
    <w:rsid w:val="00EE051D"/>
    <w:rsid w:val="00F0131A"/>
    <w:rsid w:val="00F14C17"/>
    <w:rsid w:val="00F17041"/>
    <w:rsid w:val="00F218CF"/>
    <w:rsid w:val="00F27E41"/>
    <w:rsid w:val="00F44937"/>
    <w:rsid w:val="00F61A47"/>
    <w:rsid w:val="00F75AC7"/>
    <w:rsid w:val="00F84422"/>
    <w:rsid w:val="00F95455"/>
    <w:rsid w:val="00FA574D"/>
    <w:rsid w:val="00FC2588"/>
    <w:rsid w:val="00FE7AD9"/>
    <w:rsid w:val="010C65D3"/>
    <w:rsid w:val="01322275"/>
    <w:rsid w:val="01DC6F05"/>
    <w:rsid w:val="02A3489A"/>
    <w:rsid w:val="02CA138D"/>
    <w:rsid w:val="033646FC"/>
    <w:rsid w:val="03C75F80"/>
    <w:rsid w:val="0478364D"/>
    <w:rsid w:val="053D4C0D"/>
    <w:rsid w:val="0557532E"/>
    <w:rsid w:val="05C0261C"/>
    <w:rsid w:val="0799329C"/>
    <w:rsid w:val="08397436"/>
    <w:rsid w:val="086F16A7"/>
    <w:rsid w:val="0A0F7225"/>
    <w:rsid w:val="0A2B7D82"/>
    <w:rsid w:val="0ADC40E9"/>
    <w:rsid w:val="0AE607F4"/>
    <w:rsid w:val="0B386127"/>
    <w:rsid w:val="0B451598"/>
    <w:rsid w:val="0BEC73F4"/>
    <w:rsid w:val="0C392698"/>
    <w:rsid w:val="0D205E29"/>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4C745BD"/>
    <w:rsid w:val="255D43C8"/>
    <w:rsid w:val="26714EF8"/>
    <w:rsid w:val="26876BDD"/>
    <w:rsid w:val="2714632A"/>
    <w:rsid w:val="27541E73"/>
    <w:rsid w:val="27B0539E"/>
    <w:rsid w:val="29365CF8"/>
    <w:rsid w:val="299469B3"/>
    <w:rsid w:val="29E0074A"/>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5D915D7"/>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4C95527"/>
    <w:rsid w:val="45710696"/>
    <w:rsid w:val="46142B1B"/>
    <w:rsid w:val="47E60DD0"/>
    <w:rsid w:val="48735039"/>
    <w:rsid w:val="492C684B"/>
    <w:rsid w:val="49500594"/>
    <w:rsid w:val="49E7604E"/>
    <w:rsid w:val="4BF67CDD"/>
    <w:rsid w:val="4D173441"/>
    <w:rsid w:val="4D603DD6"/>
    <w:rsid w:val="4EBF010F"/>
    <w:rsid w:val="4EDB2BF7"/>
    <w:rsid w:val="4F471EB0"/>
    <w:rsid w:val="51331326"/>
    <w:rsid w:val="51740A7F"/>
    <w:rsid w:val="51A5541E"/>
    <w:rsid w:val="51C96242"/>
    <w:rsid w:val="52D6390D"/>
    <w:rsid w:val="53906AE1"/>
    <w:rsid w:val="54F46F60"/>
    <w:rsid w:val="557B612F"/>
    <w:rsid w:val="55A37BEA"/>
    <w:rsid w:val="56362CD2"/>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C8C7D58"/>
    <w:rsid w:val="7E4A0E7C"/>
    <w:rsid w:val="7EFD449D"/>
    <w:rsid w:val="F4DFD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47</Pages>
  <Words>11926</Words>
  <Characters>16562</Characters>
  <Lines>135</Lines>
  <Paragraphs>38</Paragraphs>
  <TotalTime>4</TotalTime>
  <ScaleCrop>false</ScaleCrop>
  <LinksUpToDate>false</LinksUpToDate>
  <CharactersWithSpaces>17050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2022-09-23T09:18:00Z</dcterms:created>
  <dc:creator>管理者</dc:creator>
  <cp:lastModifiedBy>悟の</cp:lastModifiedBy>
  <cp:lastPrinted>2018-07-24T18:50:00Z</cp:lastPrinted>
  <dcterms:modified xsi:type="dcterms:W3CDTF">2023-09-17T11:11:09Z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383F0F6D2B1347CA9BF943D94515E704_13</vt:lpwstr>
  </property>
</Properties>
</file>