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许昌市市场监督管理局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许昌市市场监督管理局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pStyle w:val="2"/>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许昌市市场监督管理局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一）负责全市市场综合监督管理。组织实施国家市场监督管理有关法律和政策，起草市场监督管理有关规范性文件，组织实施质量强市战略、食品安全战略、标准化战略、知识产权战略。拟订并组织实施有关规划，规范和维护市场秩序，营造诚实守信公平竞争的市场环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负责全市市场主体统一登记注册。组织指导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（三）负责组织和指导全市市场监管综合执法工作。指导全市市场监管综合执法队伍建设。组织查处重大复杂案件、跨区域执法的组织协调工作，规范全市市场监管行政执法行为。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（四）负责全市反垄断统一执法。统筹推进竞争政策实施，指导实施公平竞争审查制度。根据授权，承担相关反垄断执法工作。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五）负责监督管理市场秩序。依法监督管理市场交易、网络商品交易及有关服务的行为。组织指导查处不正当竞争、违法直销、传销、侵犯商标专利知识产权和制售假冒伪劣行为。组织指导全市价格监督检查工作。指导全市广告业发展，监督管理广告活动。指导查处无照生产经营和相关无证生产经营行为。拟订全市消费者权益保护的具体措施，指导许昌市消费者协会开展消费维权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六）负责全市宏观质量管理。拟订并实施质量发展的制度措施。统筹全市质量基础设施建设与应用。会同有关部门组织实施重大工程设备质量监理制度，组织重大产品质量事故调查，建立并统一实施缺陷产品召回制度，监督管理产品防伪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（七）负责全市产品质量安全监督管理。组织实施产品质量安全风险监控和监督抽查工作。组织实施质量分级制度、质量安全追溯制度。负责全市工业产品生产许可管理工作。负责全市纤维质量监督工作。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（八）负责全市特种设备安全监督管理。综合管理特种设备安全监察、监督工作，监督检查高耗能特种设备节能标准和锅炉环境保护标准的执行情况。组织指导特种设备安全事故调查工作。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九）负责全市食品安全监督管理综合协调。组织拟订全市食品安全相关措施并组织实施。负责食品安全应急体系建设，组织指导重大食品安全事件应急处置和调查处理工作。建立健全食品安全重要信息直报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负责全市食品安全监督管理。建立覆盖全市食品生产、流通、消费全过程的监督检查制度和隐患排查治理机制并组织实施，防范区域性、系统性食品安全风险。推动建立食品生产经营者落实主体责任的机制，指导企业建立健全食品安全追溯体系。组织开展全市食品及相关产品安全监督抽检、风险检测、核查处置和风险预警、风险交流工作。组织实施全市特殊食品注册、备案和监督管理相关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（十一）负责统一管理全市计量工作。推行法定计量单位和国家计量制度，管理计量器具及量值传递和比对工作。规范、监督商品量和市场计量行为。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（十二）负责统一管理全市标准化工作。组织实施标准化法律法规。依法承担地方标准组织制定工作。依法组织实施地方标准、团体标准、企业标准报批和备案工作。管理全市商品条码工作。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（十三）负责统一管理全市检验检测工作。拟订全市检验检测工作制度并组织实施，推进检验检测机构改革，规范检测检验市场，完善检测检验体系，指导协调检验检测行业发展。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（十四）负责统一管理、监督和综合协调全市认证认可工作。组织实施国家统一的认证认可和合格评定监督管理制度。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五）负责全市知识产权监督管理和保护运用。拟订实施知识产权创造、保护、运用和交易运营的规范性文件。建设完善知识产权保护体系、公共服务体系、指导商标专利执法，保护知识产权，促进知识产权创造和运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（十六）负责市场监督管理科技和信息化建设、新闻宣传、对外交流与合作。按规定承担技术性贸易措施有关工作。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（十七）负责促进全市非公经济发展，指导、协调全市市场监督管理系统开展小微企业、个体工商户、专业市场党建工作。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八）负责全市药品（含中药、民族药，下同）、医疗器械和化妆品安全监督管理。贯彻执行药品、医疗器械和化妆品法律法规，组织起草相关规范性文件并监督实施。贯彻执行鼓励药品、医疗器械和化妆品新技术新产品的管理与服务政策。</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十九）负责全市药品、医疗器械和化妆品标准管理。监督实施国家药品、医疗器械和化妆品标准和分类管理制度。依法制定地方中药材标准、中药饮片炮制规范并监督实施。配合实施中药品种保护制度和国家基本药物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（二十）负责全市药品、医疗器械和化妆品注册管理。负责药品、医疗器械和化妆品生产环节的许可、备案，负责药品批发许可、零售连锁总部许可、互联网销售第三方平台备案。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（二十一）负责全市药品、医疗器械和化妆品质量管理。监督实施生产质量管理规范，监督和指导实施药品经营、使用质量管理规范。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二）负责组织指导全市药品、医疗器械和化妆品监督检查。依法查处药品、医疗器械和化妆品生产环节，以及药品批发、零售连锁总部、互联网销售第三方平台的违法行为。组织药品、医疗器械和化妆品质量抽查检验，定期发布质量公告。监督实施问题产品召回和处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三）负责全市药品、医疗器械和化妆品上市后风险管理。组织开展药品不良反应、医疗器械不良事件和化妆品不良反应的监测、评价和处置工作。依法承担药品、医疗器械和化妆品安全风险监测和应急管理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（二十四）负责全市执业药师资格准入管理。组织实施执业药师资格准入制度，负责执业药师注册工作。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（二十五）负责拟订全市药品、医疗器械和化妆品安全科技发展规划并组织实施，推动检验检测能力建设和信息化建设。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（二十六）负责开展全市药品、医疗器械和化妆品安全宣传、教育培训、队伍建设、对外交流与合作。推进信用体系建设。</w:t>
      </w:r>
    </w:p>
    <w:p>
      <w:pPr>
        <w:widowControl/>
        <w:ind w:firstLine="640" w:firstLineChars="200"/>
        <w:jc w:val="left"/>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（二十七）完成市委、市政府交办的其他任务。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许昌市市场监督管理局内设机构33个，包括：</w:t>
      </w:r>
      <w:r>
        <w:rPr>
          <w:rFonts w:hint="eastAsia" w:ascii="仿宋_GB2312" w:hAnsi="仿宋_GB2312" w:eastAsia="仿宋_GB2312" w:cs="仿宋_GB2312"/>
          <w:color w:val="auto"/>
          <w:sz w:val="32"/>
          <w:szCs w:val="32"/>
          <w:highlight w:val="none"/>
          <w:lang w:val="en-US" w:eastAsia="zh-CN"/>
        </w:rPr>
        <w:t>办公室、综合规划科、法规科、执法稽查和案件管理科、政务服务科、信用监督管理科、反垄断和反不正当竞争科、网络交易监督管理科、广告监督管理科、质量发展科、产品质量安全监督管理科、食品安全协调科、食品生产安全监督管理科、食品经营安全监督管理科、餐饮食品安全监督管理科、食品安全抽检监测科、特种设备安全监察科、计量科、标准技术管理科、认证监督管理科、检验检测监督管理科、知识产权科、非公经济促进科、药品监督管理科、医疗器械监督管理科、化妆品监督管理科、标准创新管理科、纤维质量监督管理科、电梯安全监察科、科技和财务科、人事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机关党委、离退休干部工作科</w:t>
      </w:r>
      <w:r>
        <w:rPr>
          <w:rFonts w:hint="eastAsia" w:ascii="仿宋_GB2312" w:hAnsi="仿宋_GB2312" w:eastAsia="仿宋_GB2312" w:cs="仿宋_GB2312"/>
          <w:color w:val="auto"/>
          <w:kern w:val="0"/>
          <w:sz w:val="32"/>
          <w:szCs w:val="32"/>
          <w:highlight w:val="none"/>
        </w:rPr>
        <w:t>。</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从决算单位构成看，许昌市市场监督管理局部门决算包括：本级决算（1个）、所属单位决算（16个）。</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本决算为汇总决算，纳入本部门2021年度部门决算编制范围的单位共17个，其中二级预算单位16个，具体是：</w:t>
      </w:r>
    </w:p>
    <w:p>
      <w:pPr>
        <w:widowControl/>
        <w:ind w:left="0" w:leftChars="0"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1.许昌市市场监督管理局（本级）</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2.许昌市工商行政管理局经济检查支队</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3.许昌市市场监督管理局经济技术开发区分局</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4.许昌市市场监督管理局专业分局</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5.许昌市市场监督管理局魏都区分局</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6.许昌市消费者协会</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7.许昌市工商行政管理局信息中心</w:t>
      </w:r>
    </w:p>
    <w:p>
      <w:pPr>
        <w:numPr>
          <w:ilvl w:val="0"/>
          <w:numId w:val="0"/>
        </w:numPr>
        <w:adjustRightInd w:val="0"/>
        <w:snapToGrid w:val="0"/>
        <w:spacing w:line="620" w:lineRule="exact"/>
        <w:ind w:left="0" w:leftChars="0"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8</w:t>
      </w:r>
      <w:r>
        <w:rPr>
          <w:rFonts w:hint="eastAsia" w:ascii="仿宋" w:hAnsi="仿宋" w:eastAsia="仿宋" w:cs="宋体"/>
          <w:color w:val="auto"/>
          <w:kern w:val="0"/>
          <w:sz w:val="32"/>
          <w:szCs w:val="32"/>
          <w:highlight w:val="none"/>
          <w:lang w:val="en-US" w:eastAsia="zh-CN"/>
        </w:rPr>
        <w:t>.</w:t>
      </w:r>
      <w:r>
        <w:rPr>
          <w:rFonts w:hint="eastAsia" w:ascii="仿宋" w:hAnsi="仿宋" w:eastAsia="仿宋" w:cs="宋体"/>
          <w:color w:val="auto"/>
          <w:kern w:val="0"/>
          <w:sz w:val="32"/>
          <w:szCs w:val="32"/>
          <w:highlight w:val="none"/>
        </w:rPr>
        <w:t>许昌市个体私营经济协会</w:t>
      </w:r>
    </w:p>
    <w:p>
      <w:pPr>
        <w:numPr>
          <w:ilvl w:val="0"/>
          <w:numId w:val="0"/>
        </w:numPr>
        <w:adjustRightInd w:val="0"/>
        <w:snapToGrid w:val="0"/>
        <w:spacing w:line="620" w:lineRule="exact"/>
        <w:ind w:left="0" w:leftChars="0"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9.</w:t>
      </w:r>
      <w:r>
        <w:rPr>
          <w:rFonts w:hint="eastAsia" w:ascii="仿宋" w:hAnsi="仿宋" w:eastAsia="仿宋" w:cs="宋体"/>
          <w:color w:val="auto"/>
          <w:kern w:val="0"/>
          <w:sz w:val="32"/>
          <w:szCs w:val="32"/>
          <w:highlight w:val="none"/>
        </w:rPr>
        <w:t>许昌市</w:t>
      </w:r>
      <w:r>
        <w:rPr>
          <w:rFonts w:hint="eastAsia" w:ascii="仿宋_GB2312" w:hAnsi="仿宋_GB2312" w:eastAsia="仿宋_GB2312" w:cs="仿宋_GB2312"/>
          <w:color w:val="auto"/>
          <w:kern w:val="0"/>
          <w:sz w:val="32"/>
          <w:szCs w:val="32"/>
          <w:highlight w:val="none"/>
          <w:lang w:val="en-US" w:eastAsia="zh-CN"/>
        </w:rPr>
        <w:t>市场监督管理</w:t>
      </w:r>
      <w:r>
        <w:rPr>
          <w:rFonts w:hint="eastAsia" w:ascii="仿宋" w:hAnsi="仿宋" w:eastAsia="仿宋" w:cs="宋体"/>
          <w:color w:val="auto"/>
          <w:kern w:val="0"/>
          <w:sz w:val="32"/>
          <w:szCs w:val="32"/>
          <w:highlight w:val="none"/>
        </w:rPr>
        <w:t>局</w:t>
      </w:r>
      <w:r>
        <w:rPr>
          <w:rFonts w:hint="eastAsia" w:ascii="仿宋" w:hAnsi="仿宋" w:eastAsia="仿宋" w:cs="宋体"/>
          <w:color w:val="auto"/>
          <w:kern w:val="0"/>
          <w:sz w:val="32"/>
          <w:szCs w:val="32"/>
          <w:highlight w:val="none"/>
          <w:lang w:val="en-US" w:eastAsia="zh-CN"/>
        </w:rPr>
        <w:t>城乡一体化</w:t>
      </w:r>
      <w:r>
        <w:rPr>
          <w:rFonts w:hint="eastAsia" w:ascii="仿宋" w:hAnsi="仿宋" w:eastAsia="仿宋" w:cs="宋体"/>
          <w:color w:val="auto"/>
          <w:kern w:val="0"/>
          <w:sz w:val="32"/>
          <w:szCs w:val="32"/>
          <w:highlight w:val="none"/>
        </w:rPr>
        <w:t>示范区分局</w:t>
      </w:r>
    </w:p>
    <w:p>
      <w:pPr>
        <w:numPr>
          <w:ilvl w:val="0"/>
          <w:numId w:val="0"/>
        </w:numPr>
        <w:adjustRightInd w:val="0"/>
        <w:snapToGrid w:val="0"/>
        <w:spacing w:line="620" w:lineRule="exact"/>
        <w:ind w:left="0" w:leftChars="0"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10.</w:t>
      </w:r>
      <w:r>
        <w:rPr>
          <w:rFonts w:hint="eastAsia" w:ascii="仿宋" w:hAnsi="仿宋" w:eastAsia="仿宋" w:cs="宋体"/>
          <w:color w:val="auto"/>
          <w:kern w:val="0"/>
          <w:sz w:val="32"/>
          <w:szCs w:val="32"/>
          <w:highlight w:val="none"/>
        </w:rPr>
        <w:t>许昌市</w:t>
      </w:r>
      <w:r>
        <w:rPr>
          <w:rFonts w:hint="eastAsia" w:ascii="仿宋_GB2312" w:hAnsi="仿宋_GB2312" w:eastAsia="仿宋_GB2312" w:cs="仿宋_GB2312"/>
          <w:color w:val="auto"/>
          <w:kern w:val="0"/>
          <w:sz w:val="32"/>
          <w:szCs w:val="32"/>
          <w:highlight w:val="none"/>
          <w:lang w:val="en-US" w:eastAsia="zh-CN"/>
        </w:rPr>
        <w:t>市场监督管理</w:t>
      </w:r>
      <w:r>
        <w:rPr>
          <w:rFonts w:hint="eastAsia" w:ascii="仿宋" w:hAnsi="仿宋" w:eastAsia="仿宋" w:cs="宋体"/>
          <w:color w:val="auto"/>
          <w:kern w:val="0"/>
          <w:sz w:val="32"/>
          <w:szCs w:val="32"/>
          <w:highlight w:val="none"/>
        </w:rPr>
        <w:t>局东城</w:t>
      </w:r>
      <w:r>
        <w:rPr>
          <w:rFonts w:hint="eastAsia" w:ascii="仿宋" w:hAnsi="仿宋" w:eastAsia="仿宋" w:cs="宋体"/>
          <w:color w:val="auto"/>
          <w:kern w:val="0"/>
          <w:sz w:val="32"/>
          <w:szCs w:val="32"/>
          <w:highlight w:val="none"/>
          <w:lang w:val="en-US" w:eastAsia="zh-CN"/>
        </w:rPr>
        <w:t>区</w:t>
      </w:r>
      <w:r>
        <w:rPr>
          <w:rFonts w:hint="eastAsia" w:ascii="仿宋" w:hAnsi="仿宋" w:eastAsia="仿宋" w:cs="宋体"/>
          <w:color w:val="auto"/>
          <w:kern w:val="0"/>
          <w:sz w:val="32"/>
          <w:szCs w:val="32"/>
          <w:highlight w:val="none"/>
        </w:rPr>
        <w:t>分局</w:t>
      </w:r>
    </w:p>
    <w:p>
      <w:pPr>
        <w:adjustRightInd w:val="0"/>
        <w:snapToGrid w:val="0"/>
        <w:spacing w:line="620" w:lineRule="exact"/>
        <w:ind w:left="0" w:leftChars="0" w:firstLine="640"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eastAsia="仿宋_GB2312"/>
          <w:color w:val="auto"/>
          <w:sz w:val="32"/>
          <w:szCs w:val="32"/>
          <w:highlight w:val="none"/>
        </w:rPr>
        <w:t>许昌市纤维检验</w:t>
      </w:r>
      <w:r>
        <w:rPr>
          <w:rFonts w:hint="eastAsia" w:ascii="仿宋_GB2312" w:hAnsi="仿宋_GB2312" w:eastAsia="仿宋_GB2312" w:cs="仿宋_GB2312"/>
          <w:color w:val="auto"/>
          <w:kern w:val="0"/>
          <w:sz w:val="32"/>
          <w:szCs w:val="32"/>
          <w:highlight w:val="none"/>
          <w:lang w:val="en-US" w:eastAsia="zh-CN" w:bidi="ar-SA"/>
        </w:rPr>
        <w:t>所</w:t>
      </w:r>
    </w:p>
    <w:p>
      <w:pPr>
        <w:adjustRightInd w:val="0"/>
        <w:snapToGrid w:val="0"/>
        <w:spacing w:line="620" w:lineRule="exact"/>
        <w:ind w:left="0" w:leftChars="0" w:firstLine="640" w:firstLineChars="200"/>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 w:eastAsia="仿宋_GB2312"/>
          <w:color w:val="auto"/>
          <w:sz w:val="32"/>
          <w:szCs w:val="32"/>
          <w:highlight w:val="none"/>
        </w:rPr>
        <w:t>许昌市质量技术监督检验测试中心</w:t>
      </w:r>
    </w:p>
    <w:p>
      <w:pPr>
        <w:adjustRightInd w:val="0"/>
        <w:snapToGrid w:val="0"/>
        <w:spacing w:line="62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13.</w:t>
      </w:r>
      <w:r>
        <w:rPr>
          <w:rFonts w:hint="eastAsia" w:ascii="仿宋_GB2312" w:eastAsia="仿宋_GB2312" w:cs="仿宋_GB2312"/>
          <w:color w:val="auto"/>
          <w:sz w:val="32"/>
          <w:szCs w:val="32"/>
          <w:highlight w:val="none"/>
        </w:rPr>
        <w:t>许昌市质量技术监督局稽查支队</w:t>
      </w:r>
    </w:p>
    <w:p>
      <w:pPr>
        <w:adjustRightInd w:val="0"/>
        <w:snapToGrid w:val="0"/>
        <w:spacing w:line="62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14.许昌市</w:t>
      </w:r>
      <w:r>
        <w:rPr>
          <w:rFonts w:hint="eastAsia" w:ascii="仿宋_GB2312" w:hAnsi="仿宋_GB2312" w:eastAsia="仿宋_GB2312" w:cs="仿宋_GB2312"/>
          <w:color w:val="auto"/>
          <w:sz w:val="32"/>
          <w:szCs w:val="32"/>
          <w:highlight w:val="none"/>
        </w:rPr>
        <w:t>食品药品检验检测中心</w:t>
      </w:r>
    </w:p>
    <w:p>
      <w:pPr>
        <w:numPr>
          <w:ilvl w:val="0"/>
          <w:numId w:val="0"/>
        </w:numPr>
        <w:adjustRightInd w:val="0"/>
        <w:snapToGrid w:val="0"/>
        <w:spacing w:line="62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en-US" w:eastAsia="zh-CN"/>
        </w:rPr>
        <w:t>许昌市食品药品监督管理和信息投诉举报中心</w:t>
      </w:r>
    </w:p>
    <w:p>
      <w:pPr>
        <w:adjustRightInd w:val="0"/>
        <w:snapToGrid w:val="0"/>
        <w:spacing w:line="620" w:lineRule="exact"/>
        <w:ind w:left="0" w:leftChars="0" w:firstLine="640" w:firstLineChars="200"/>
        <w:rPr>
          <w:rFonts w:hint="eastAsia" w:ascii="仿宋" w:hAnsi="仿宋" w:eastAsia="仿宋"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val="en-US" w:eastAsia="zh-CN"/>
        </w:rPr>
        <w:t>许昌市知识产权维权保护中心</w:t>
      </w:r>
    </w:p>
    <w:p>
      <w:pPr>
        <w:numPr>
          <w:ilvl w:val="0"/>
          <w:numId w:val="0"/>
        </w:numPr>
        <w:adjustRightInd w:val="0"/>
        <w:snapToGrid w:val="0"/>
        <w:spacing w:line="62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eastAsia="zh-CN"/>
        </w:rPr>
        <w:t>许昌市价格监督检查局</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7"/>
        <w:gridCol w:w="811"/>
        <w:gridCol w:w="1490"/>
        <w:gridCol w:w="4345"/>
        <w:gridCol w:w="811"/>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13,933.68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13,988.13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13,971.27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16,904.89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2,982.19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16,953.46</w:t>
            </w:r>
          </w:p>
        </w:tc>
      </w:tr>
    </w:tbl>
    <w:p>
      <w:pPr>
        <w:keepNext w:val="0"/>
        <w:keepLines w:val="0"/>
        <w:widowControl w:val="0"/>
        <w:suppressLineNumbers w:val="0"/>
        <w:spacing w:before="0" w:beforeAutospacing="0" w:after="0" w:afterAutospacing="0"/>
        <w:ind w:left="0" w:right="0"/>
        <w:jc w:val="both"/>
        <w:rPr>
          <w:color w:val="auto"/>
          <w:highlight w:val="none"/>
        </w:rPr>
      </w:pPr>
      <w:r>
        <w:rPr>
          <w:rFonts w:hint="eastAsia" w:ascii="宋体" w:hAnsi="宋体" w:eastAsia="宋体" w:cs="宋体"/>
          <w:i w:val="0"/>
          <w:iCs w:val="0"/>
          <w:color w:val="auto"/>
          <w:kern w:val="0"/>
          <w:sz w:val="22"/>
          <w:szCs w:val="22"/>
          <w:highlight w:val="none"/>
          <w:lang w:val="en-US" w:eastAsia="zh-CN" w:bidi="ar"/>
        </w:rPr>
        <w:t>注：本表反映部门本年度的总收支和年末结转结余情况。本表金额转换为万元时，因四舍五入可能存在尾差。</w:t>
      </w:r>
    </w:p>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222"/>
        <w:gridCol w:w="222"/>
        <w:gridCol w:w="3956"/>
        <w:gridCol w:w="1214"/>
        <w:gridCol w:w="1214"/>
        <w:gridCol w:w="706"/>
        <w:gridCol w:w="736"/>
        <w:gridCol w:w="736"/>
        <w:gridCol w:w="73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8"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8"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2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4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34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34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34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34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5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12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4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4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4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4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1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13,971.27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13,933.68</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11,239.54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11,201.95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发展与改革事务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20114</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知识产权事务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65.97</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2011401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65.97</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市场监督管理事务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11,112.40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11,074.81</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8,393.00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8,371.48</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2013802</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137.86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137.86</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2013850</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2,095.53</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2,079.45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2013899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其他市场监督管理事务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486.01</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486.01</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1,862.55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1,862.55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1,728.44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1,728.44</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1,055.25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1,055.25</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176.02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176.02</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497.17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497.17</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419.73</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419.73</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419.73</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419.73</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186.70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186.70</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53.43</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53.43</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5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179.60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179.60</w:t>
            </w: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4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222"/>
        <w:gridCol w:w="222"/>
        <w:gridCol w:w="3956"/>
        <w:gridCol w:w="1340"/>
        <w:gridCol w:w="1437"/>
        <w:gridCol w:w="1321"/>
        <w:gridCol w:w="621"/>
        <w:gridCol w:w="622"/>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2"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5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2"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5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4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54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50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6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26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57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25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4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5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4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5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4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4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0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7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16,904.89</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14,648.39</w:t>
            </w: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2,256.50</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13,988.13</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12,181.07</w:t>
            </w: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1,807.05</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发展与改革事务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20114</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知识产权事务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2011401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市场监督管理事务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13,852.56</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12,045.50</w:t>
            </w: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1,807.05</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9,208.41</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9,208.41</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2013802</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828.10</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828.10</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2013805</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市场秩序执法</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2.57</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2.57</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2013812</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药品事务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2013850</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2,837.09</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2,837.09</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2013899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其他市场监督管理事务</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972.29</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972.29</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4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0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1,859.19</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1,859.19</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1,104.76</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1,104.76</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195.99</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195.99</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558.44</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558.44</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206.83</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206.83</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66.78</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66.78</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200.40</w:t>
            </w:r>
          </w:p>
        </w:tc>
        <w:tc>
          <w:tcPr>
            <w:tcW w:w="54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200.40</w:t>
            </w:r>
          </w:p>
        </w:tc>
        <w:tc>
          <w:tcPr>
            <w:tcW w:w="50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注：本表反映部门本年度各项支出情况。本表金额转换为万元时，因四舍五入可能存在尾差。</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471"/>
        <w:gridCol w:w="1386"/>
        <w:gridCol w:w="3516"/>
        <w:gridCol w:w="471"/>
        <w:gridCol w:w="1206"/>
        <w:gridCol w:w="1384"/>
        <w:gridCol w:w="1010"/>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4"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8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84"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1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8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4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250"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8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9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22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1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9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36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5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4"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9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1"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1"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6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13,933.68</w:t>
            </w: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13,927.57</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13,927.57</w:t>
            </w: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13,933.68</w:t>
            </w: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16,844.33</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16,844.33</w:t>
            </w: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2,910.66</w:t>
            </w: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2,910.66</w:t>
            </w:r>
          </w:p>
        </w:tc>
        <w:tc>
          <w:tcPr>
            <w:tcW w:w="122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1"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16,844.33</w:t>
            </w:r>
          </w:p>
        </w:tc>
        <w:tc>
          <w:tcPr>
            <w:tcW w:w="122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16,844.33</w:t>
            </w:r>
          </w:p>
        </w:tc>
        <w:tc>
          <w:tcPr>
            <w:tcW w:w="4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16,844.33</w:t>
            </w:r>
          </w:p>
        </w:tc>
        <w:tc>
          <w:tcPr>
            <w:tcW w:w="36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9"/>
        <w:gridCol w:w="266"/>
        <w:gridCol w:w="269"/>
        <w:gridCol w:w="4805"/>
        <w:gridCol w:w="1633"/>
        <w:gridCol w:w="1633"/>
        <w:gridCol w:w="2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09"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69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7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57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7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39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7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9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7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16,844.33</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14,589.90</w:t>
            </w: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2,254.43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13,927.57</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12,122.58</w:t>
            </w: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发展与改革事务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2010401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12.32</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20114</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知识产权事务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2011401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71.50</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市场监督管理事务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13,792.00</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11,987.01</w:t>
            </w: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9,166.00</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9,166.00</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2013802</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828.10</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2013805</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市场秩序执法</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2013812</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药品事务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2013850</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2,821.02</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2,821.02</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2013899</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其他市场监督管理事务</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970.29</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科学技术支出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其他科学技术支出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2069999</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其他科学技术支出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5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1,993.30</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1,859.19</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1,859.19</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1,104.76</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1,104.76</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195.99</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195.99</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558.44</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558.44</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474.02</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206.83</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206.83</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66.78</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66.78</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16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200.40</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200.40</w:t>
            </w:r>
          </w:p>
        </w:tc>
        <w:tc>
          <w:tcPr>
            <w:tcW w:w="75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注：本表反映部门本年度一般公共预算财政拨款支出情况。</w:t>
            </w:r>
            <w:r>
              <w:rPr>
                <w:rFonts w:hint="eastAsia" w:ascii="宋体" w:hAnsi="宋体" w:eastAsia="宋体" w:cs="宋体"/>
                <w:i w:val="0"/>
                <w:color w:val="auto"/>
                <w:kern w:val="0"/>
                <w:sz w:val="22"/>
                <w:szCs w:val="22"/>
                <w:highlight w:val="none"/>
                <w:lang w:val="en-US" w:eastAsia="zh-CN" w:bidi="ar"/>
              </w:rPr>
              <w:t>本表金额转换为万元时，因四舍五入可能存在尾差。</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925"/>
        <w:gridCol w:w="1260"/>
        <w:gridCol w:w="795"/>
        <w:gridCol w:w="2370"/>
        <w:gridCol w:w="1170"/>
        <w:gridCol w:w="810"/>
        <w:gridCol w:w="2820"/>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1"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03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3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44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3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2"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9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2"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67"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3232"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03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4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2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83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1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28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99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2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3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9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11,411.20</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1,713.72</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2,885.14</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229.49</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3,887.87</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45.86</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1,797.87</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3.72</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42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337.70</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8.88</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42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628.44</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107.57</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42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43.98</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312.86</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18.80</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230.01</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141.77</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14.56</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79.88</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622.17</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256.60</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682.47</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29.69</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1,455.05</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5.18</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102.47</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13.05</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1,199.18</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5.21</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134.11</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13.60</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14.72</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86.12</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51.75</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82.20</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128.91</w:t>
            </w:r>
          </w:p>
        </w:tc>
        <w:tc>
          <w:tcPr>
            <w:tcW w:w="28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99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316.60</w:t>
            </w:r>
          </w:p>
        </w:tc>
        <w:tc>
          <w:tcPr>
            <w:tcW w:w="2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9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103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41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9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3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4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8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83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41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40.97</w:t>
            </w:r>
          </w:p>
        </w:tc>
        <w:tc>
          <w:tcPr>
            <w:tcW w:w="2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9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44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12,866.25</w:t>
            </w:r>
          </w:p>
        </w:tc>
        <w:tc>
          <w:tcPr>
            <w:tcW w:w="2809"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42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6"/>
        <w:gridCol w:w="1073"/>
        <w:gridCol w:w="1073"/>
        <w:gridCol w:w="625"/>
        <w:gridCol w:w="1076"/>
        <w:gridCol w:w="969"/>
        <w:gridCol w:w="1074"/>
        <w:gridCol w:w="1074"/>
        <w:gridCol w:w="1074"/>
        <w:gridCol w:w="626"/>
        <w:gridCol w:w="1077"/>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7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1"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7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5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2343"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0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055"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36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40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0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055"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4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3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36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4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6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7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266.75</w:t>
            </w: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251.12</w:t>
            </w:r>
          </w:p>
        </w:tc>
        <w:tc>
          <w:tcPr>
            <w:tcW w:w="2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251.12</w:t>
            </w:r>
          </w:p>
        </w:tc>
        <w:tc>
          <w:tcPr>
            <w:tcW w:w="36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15.63</w:t>
            </w: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134.25</w:t>
            </w: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129.04</w:t>
            </w:r>
          </w:p>
        </w:tc>
        <w:tc>
          <w:tcPr>
            <w:tcW w:w="2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129.04</w:t>
            </w:r>
          </w:p>
        </w:tc>
        <w:tc>
          <w:tcPr>
            <w:tcW w:w="47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1"/>
        <w:gridCol w:w="277"/>
        <w:gridCol w:w="278"/>
        <w:gridCol w:w="1375"/>
        <w:gridCol w:w="1327"/>
        <w:gridCol w:w="1327"/>
        <w:gridCol w:w="1327"/>
        <w:gridCol w:w="1327"/>
        <w:gridCol w:w="1327"/>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部门：许昌市市场监督管理局</w:t>
            </w:r>
          </w:p>
        </w:tc>
        <w:tc>
          <w:tcPr>
            <w:tcW w:w="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2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6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46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140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73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8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7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27"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27"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说明：我部门没有政府性基金收入，也没有使用政府性基金安排的支出，故本表无数据。</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left="0" w:leftChars="0"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w:t>
      </w:r>
      <w:r>
        <w:rPr>
          <w:rFonts w:hint="eastAsia" w:ascii="仿宋_GB2312" w:hAnsi="仿宋_GB2312" w:eastAsia="仿宋_GB2312"/>
          <w:color w:val="auto"/>
          <w:sz w:val="32"/>
          <w:szCs w:val="24"/>
          <w:highlight w:val="none"/>
        </w:rPr>
        <w:t>为16,953.46万元。与上年度相比，收、支总计各减少2,472.22万元，下降12.73%。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充分合理利用存量资金，年底无结转资金</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left="0" w:leftChars="0"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rPr>
        <w:t>2021年度收入合计13,971.27万元，其中：财政拨款收入13,933.68万元，占99.73%；上级补助收入</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%；事业收入</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rPr>
        <w:t>%；经营收入</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%；附属单位上缴收入</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万元，占0%；其他收入37.6万元，占0.27%。</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2021年度支出合计16,904.89万元，其中：基本支出14,648.39万元，占86.65%；项目支出2,256.5万元，占13.35%；上缴上级支出</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%；经营支出</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%；对附属单位补助支出</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2021年度财政拨款收、支总计均为16,844.33万元。与上年度相比，财政拨款收、支总计各减少2,292.61万元，下降11.98%。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充分合理利用存量资金，年底无结转资金</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left="0" w:leftChars="0"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2021年度一般公共预算财政拨款支出16,844.33万元，占支出合计的99.64%。与上年度相比，一般公共预算财政拨款支出减少88.42万元，下降0.52%。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充分合理利用存量资金，年底无结转资金</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w:t>
      </w:r>
      <w:r>
        <w:rPr>
          <w:rFonts w:hint="eastAsia" w:ascii="仿宋_GB2312" w:hAnsi="仿宋_GB2312" w:eastAsia="仿宋_GB2312" w:cs="仿宋_GB2312"/>
          <w:color w:val="auto"/>
          <w:sz w:val="32"/>
          <w:szCs w:val="32"/>
          <w:highlight w:val="none"/>
          <w:lang w:val="en-US" w:eastAsia="zh-CN"/>
        </w:rPr>
        <w:t>16844.33</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一般公共服务（类）支出13927.57万元，占82.68%；科学技术（类）支出449.45万元，占2.67%；社会保障和就业（类）支出1993.30万元，占11.83%；卫生健康（类）支出474.02万元，占2.81%</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13344.93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16844.33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126.22</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1．一般公共服务支出（类）发展与改革事务（款）行政运行（项）。</w:t>
      </w:r>
      <w:r>
        <w:rPr>
          <w:rFonts w:hint="eastAsia" w:ascii="仿宋_GB2312" w:hAnsi="仿宋_GB2312" w:eastAsia="仿宋_GB2312" w:cs="仿宋_GB2312"/>
          <w:color w:val="auto"/>
          <w:sz w:val="32"/>
          <w:szCs w:val="32"/>
          <w:highlight w:val="none"/>
          <w:lang w:val="en-US" w:eastAsia="zh-CN"/>
        </w:rPr>
        <w:t>年初预算为0万元，支出决算为12.32万元。决算数与年初预算数存在差异的主要原因是财政追加经费支出，年初无此预算。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2．一般公共服务支出（类）知识产权事务（款）行政运行（项）。</w:t>
      </w:r>
      <w:r>
        <w:rPr>
          <w:rFonts w:hint="eastAsia" w:ascii="仿宋_GB2312" w:hAnsi="仿宋_GB2312" w:eastAsia="仿宋_GB2312" w:cs="仿宋_GB2312"/>
          <w:color w:val="auto"/>
          <w:sz w:val="32"/>
          <w:szCs w:val="32"/>
          <w:highlight w:val="none"/>
          <w:lang w:val="en-US" w:eastAsia="zh-CN"/>
        </w:rPr>
        <w:t>年初预算为0万元，支出决算为71.50万元。决算数与年初预算数存在差异的主要原因是正常增资等因素财政追加部分人员经费。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年初预算为51.75万元，支出决算为51.75万元，完成年初预算的100%。决算数与年初预算数不存在差异。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一般公共服务支出（类）市场监督管理事务（款）行政运行（项）。</w:t>
      </w:r>
      <w:r>
        <w:rPr>
          <w:rFonts w:hint="eastAsia" w:ascii="仿宋_GB2312" w:hAnsi="仿宋_GB2312" w:eastAsia="仿宋_GB2312" w:cs="仿宋_GB2312"/>
          <w:color w:val="auto"/>
          <w:sz w:val="32"/>
          <w:szCs w:val="32"/>
          <w:highlight w:val="none"/>
          <w:lang w:val="en-US" w:eastAsia="zh-CN"/>
        </w:rPr>
        <w:t>年初预算为8837.38万元，支出决算为9166万元，完成年初预算的103.72%。决算数与年初预算数存在差异的主要原因是一是使用上年结转资金支出，二是正常增资等因素财政追加部分人员经费。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en-US" w:eastAsia="zh-CN"/>
        </w:rPr>
        <w:t>一般公共服务支出（类）市场监督管理事务（款）一般行政管理事务（项）。</w:t>
      </w:r>
      <w:r>
        <w:rPr>
          <w:rFonts w:hint="eastAsia" w:ascii="仿宋_GB2312" w:hAnsi="仿宋_GB2312" w:eastAsia="仿宋_GB2312" w:cs="仿宋_GB2312"/>
          <w:color w:val="auto"/>
          <w:sz w:val="32"/>
          <w:szCs w:val="32"/>
          <w:highlight w:val="none"/>
          <w:lang w:val="en-US" w:eastAsia="zh-CN"/>
        </w:rPr>
        <w:t>年初预算为0万元，支出决算为828.10万元。决算数与年初预算数存在差异的主要原因是一是财政追加经费支出预算，二是使用上年结转资金支出。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一般公共服务支出（类）市场监督管理事务（款）市场秩序执法（项）。</w:t>
      </w:r>
      <w:r>
        <w:rPr>
          <w:rFonts w:hint="eastAsia" w:ascii="仿宋_GB2312" w:hAnsi="仿宋_GB2312" w:eastAsia="仿宋_GB2312" w:cs="仿宋_GB2312"/>
          <w:color w:val="auto"/>
          <w:sz w:val="32"/>
          <w:szCs w:val="32"/>
          <w:highlight w:val="none"/>
          <w:lang w:val="en-US" w:eastAsia="zh-CN"/>
        </w:rPr>
        <w:t>年初预算为0万元，支出决算为2.50万元。决算数与年初预算数存在差异的主要原因是使用上年结转资金支出，年初无此预算。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en-US" w:eastAsia="zh-CN"/>
        </w:rPr>
        <w:t>一般公共服务支出（类）市场监督管理事务（款）药品事务（项）。</w:t>
      </w:r>
      <w:r>
        <w:rPr>
          <w:rFonts w:hint="eastAsia" w:ascii="仿宋_GB2312" w:hAnsi="仿宋_GB2312" w:eastAsia="仿宋_GB2312" w:cs="仿宋_GB2312"/>
          <w:color w:val="auto"/>
          <w:sz w:val="32"/>
          <w:szCs w:val="32"/>
          <w:highlight w:val="none"/>
          <w:lang w:val="en-US" w:eastAsia="zh-CN"/>
        </w:rPr>
        <w:t>年初预算为0万元，支出决算为4.09万元。决算数与年初预算数存在差异的主要原因是使用上年结转资金支出，年初无此预算。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val="en-US" w:eastAsia="zh-CN"/>
        </w:rPr>
        <w:t>一般公共服务支出（类）市场监督管理事务（款）事业运行（项）。</w:t>
      </w:r>
      <w:r>
        <w:rPr>
          <w:rFonts w:hint="eastAsia" w:ascii="仿宋_GB2312" w:hAnsi="仿宋_GB2312" w:eastAsia="仿宋_GB2312" w:cs="仿宋_GB2312"/>
          <w:color w:val="auto"/>
          <w:sz w:val="32"/>
          <w:szCs w:val="32"/>
          <w:highlight w:val="none"/>
          <w:lang w:val="en-US" w:eastAsia="zh-CN"/>
        </w:rPr>
        <w:t>年初预算为2056.84万元，支出决算为2821.02万元，完成年初预算的137.15%。决算数与年初预算数存在差异的主要原因是一是财政追加经费支出预算，二是使用上年结转资金支出。</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lang w:val="en-US" w:eastAsia="zh-CN"/>
        </w:rPr>
        <w:t>一般公共服务支出（类）市场监督管理事务（款）其他市场监督管理事务（项）。</w:t>
      </w:r>
      <w:r>
        <w:rPr>
          <w:rFonts w:hint="eastAsia" w:ascii="仿宋_GB2312" w:hAnsi="仿宋_GB2312" w:eastAsia="仿宋_GB2312" w:cs="仿宋_GB2312"/>
          <w:color w:val="auto"/>
          <w:sz w:val="32"/>
          <w:szCs w:val="32"/>
          <w:highlight w:val="none"/>
          <w:lang w:val="en-US" w:eastAsia="zh-CN"/>
        </w:rPr>
        <w:t>年初预算为126.80万元，支出决算为970.29万元，完成年初预算的765.21%。决算数与年初预算数存在差异的主要原因是一是财政追加经费支出预算，二是使用上年结转资金支出。</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lang w:val="en-US" w:eastAsia="zh-CN"/>
        </w:rPr>
        <w:t>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年初预算为0万元，支出决算为449.45万元。决算数与年初预算数存在差异的主要原因是财政追加经费支出预算，年初预算无此项。</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年初预算为1051.61万元，支出决算为1104.76万元，完成年初预算的105.05%。决算数与年初预算数存在差异的主要原因是在职人员转退休致使经费支出有变动。</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年初预算为195.48万元，支出决算为195.99万元，完成年初预算的100.26%。决算数与年初预算数存在差异的主要原因是在职人员转退休、人员自然减员，相应经费支出减少。</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年初预算为544.73万元，支出决算为558.44万元，完成年初预算的102.52%。决算数与年初预算数存在差异的主要原因是养老缴费基数调整致使经费支出超年初预算数。</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年初预算为0万元，支出决算为134.11万元。决算数与年初预算数存在差异的主要原因是人员自然减员，财政追加抚恤金。</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年初预算为212.37万元，支出决算为206.83万元，完成年初预算的97.39%。决算数与年初预算数存在差异的主要原因是人员在职转退休导致医保缴费较年初预算减少。</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年初预算为65.04万元，支出决算为66.78万元，完成年初预算的102.67%。决算数与年初预算数存在差异的主要原因是医保缴费基数调整致使经费支出超年初预算数。</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卫生健康支出（类）行政事业单位医疗（款）公务员医疗补助缴费（项）。</w:t>
      </w:r>
      <w:r>
        <w:rPr>
          <w:rFonts w:hint="eastAsia" w:ascii="仿宋_GB2312" w:hAnsi="仿宋_GB2312" w:eastAsia="仿宋_GB2312" w:cs="仿宋_GB2312"/>
          <w:color w:val="auto"/>
          <w:sz w:val="32"/>
          <w:szCs w:val="32"/>
          <w:highlight w:val="none"/>
          <w:lang w:val="en-US" w:eastAsia="zh-CN"/>
        </w:rPr>
        <w:t>年初预算为202.26万元，支出决算为200.40万元，完成年初预算的99.08%。决算数与年初预算数存在差异的主要原因是人员在职转退休导致医保缴费较年初预算减少。</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rPr>
        <w:t>14,589.9</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rPr>
        <w:t>12,866.25</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住房公积金、医疗费、</w:t>
      </w:r>
      <w:r>
        <w:rPr>
          <w:rFonts w:hint="eastAsia" w:ascii="仿宋_GB2312" w:hAnsi="仿宋_GB2312" w:eastAsia="仿宋_GB2312" w:cs="仿宋_GB2312"/>
          <w:color w:val="auto"/>
          <w:sz w:val="32"/>
          <w:szCs w:val="32"/>
          <w:highlight w:val="none"/>
        </w:rPr>
        <w:t>其他工资福利支出、离休费、退休费、抚恤金、生活补助、医疗费</w:t>
      </w:r>
      <w:r>
        <w:rPr>
          <w:rFonts w:hint="eastAsia" w:ascii="仿宋_GB2312" w:hAnsi="仿宋_GB2312" w:eastAsia="仿宋_GB2312" w:cs="仿宋_GB2312"/>
          <w:color w:val="auto"/>
          <w:sz w:val="32"/>
          <w:szCs w:val="32"/>
          <w:highlight w:val="none"/>
          <w:lang w:val="en-US" w:eastAsia="zh-CN"/>
        </w:rPr>
        <w:t>补助</w:t>
      </w:r>
      <w:r>
        <w:rPr>
          <w:rFonts w:hint="eastAsia" w:ascii="仿宋_GB2312" w:hAnsi="仿宋_GB2312" w:eastAsia="仿宋_GB2312" w:cs="仿宋_GB2312"/>
          <w:color w:val="auto"/>
          <w:sz w:val="32"/>
          <w:szCs w:val="32"/>
          <w:highlight w:val="none"/>
        </w:rPr>
        <w:t>、奖励金；公用经费</w:t>
      </w:r>
      <w:r>
        <w:rPr>
          <w:rFonts w:hint="eastAsia" w:ascii="仿宋_GB2312" w:hAnsi="仿宋_GB2312" w:eastAsia="仿宋_GB2312"/>
          <w:color w:val="auto"/>
          <w:sz w:val="32"/>
          <w:szCs w:val="24"/>
          <w:highlight w:val="none"/>
        </w:rPr>
        <w:t>1,723.65</w:t>
      </w:r>
      <w:r>
        <w:rPr>
          <w:rFonts w:hint="eastAsia" w:ascii="仿宋_GB2312" w:hAnsi="仿宋_GB2312" w:eastAsia="仿宋_GB2312" w:cs="仿宋_GB2312"/>
          <w:color w:val="auto"/>
          <w:sz w:val="32"/>
          <w:szCs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left="0" w:leftChars="0"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olor w:val="auto"/>
          <w:sz w:val="32"/>
          <w:szCs w:val="24"/>
          <w:highlight w:val="none"/>
        </w:rPr>
        <w:t>266.75万元，支出决算为134.25万元，完成预算的50.33%。</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各单位严格执行中央八项规定，从严控制“三公”经费管理，压缩经费支出</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w:t>
      </w:r>
      <w:r>
        <w:rPr>
          <w:rFonts w:hint="eastAsia" w:ascii="仿宋_GB2312" w:hAnsi="仿宋_GB2312" w:eastAsia="仿宋_GB2312"/>
          <w:color w:val="auto"/>
          <w:sz w:val="32"/>
          <w:szCs w:val="24"/>
          <w:highlight w:val="none"/>
        </w:rPr>
        <w:t>因公出国（境）费支出决算</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万元，占</w:t>
      </w:r>
      <w:r>
        <w:rPr>
          <w:rFonts w:hint="eastAsia" w:ascii="仿宋_GB2312" w:hAnsi="仿宋_GB2312" w:eastAsia="仿宋_GB2312"/>
          <w:color w:val="auto"/>
          <w:sz w:val="32"/>
          <w:szCs w:val="24"/>
          <w:highlight w:val="none"/>
          <w:lang w:eastAsia="zh-CN"/>
        </w:rPr>
        <w:t>0</w:t>
      </w:r>
      <w:r>
        <w:rPr>
          <w:rFonts w:hint="eastAsia" w:ascii="仿宋_GB2312" w:hAnsi="仿宋_GB2312" w:eastAsia="仿宋_GB2312"/>
          <w:color w:val="auto"/>
          <w:sz w:val="32"/>
          <w:szCs w:val="24"/>
          <w:highlight w:val="none"/>
        </w:rPr>
        <w:t>%；公务用车购置及运行费支出决算129.04万元，完成预算的51.39%，占96.12%；公务接待费支出决算5.21万元，完成预算的33.35%，占3.88%；</w:t>
      </w:r>
      <w:r>
        <w:rPr>
          <w:rFonts w:hint="eastAsia" w:ascii="仿宋_GB2312" w:hAnsi="仿宋_GB2312" w:eastAsia="仿宋_GB2312" w:cs="仿宋_GB2312"/>
          <w:color w:val="auto"/>
          <w:sz w:val="32"/>
          <w:szCs w:val="32"/>
          <w:highlight w:val="none"/>
        </w:rPr>
        <w:t>具体情况如下：</w:t>
      </w:r>
    </w:p>
    <w:p>
      <w:pPr>
        <w:widowControl/>
        <w:numPr>
          <w:ilvl w:val="0"/>
          <w:numId w:val="0"/>
        </w:numPr>
        <w:spacing w:line="590" w:lineRule="exact"/>
        <w:ind w:firstLine="643" w:firstLineChars="20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b/>
          <w:color w:val="auto"/>
          <w:sz w:val="32"/>
          <w:szCs w:val="24"/>
          <w:highlight w:val="none"/>
          <w:lang w:val="en-US" w:eastAsia="zh-CN"/>
        </w:rPr>
        <w:t>1.</w:t>
      </w:r>
      <w:r>
        <w:rPr>
          <w:rFonts w:hint="eastAsia" w:ascii="仿宋_GB2312" w:hAnsi="仿宋_GB2312" w:eastAsia="仿宋_GB2312"/>
          <w:b/>
          <w:color w:val="auto"/>
          <w:sz w:val="32"/>
          <w:szCs w:val="24"/>
          <w:highlight w:val="none"/>
          <w:lang w:val="en-US"/>
        </w:rPr>
        <w:t>因公出国（境）费</w:t>
      </w:r>
      <w:r>
        <w:rPr>
          <w:rFonts w:hint="eastAsia" w:ascii="仿宋_GB2312" w:hAnsi="仿宋_GB2312" w:eastAsia="仿宋_GB2312"/>
          <w:color w:val="auto"/>
          <w:sz w:val="32"/>
          <w:szCs w:val="24"/>
          <w:highlight w:val="none"/>
          <w:lang w:val="en-US"/>
        </w:rPr>
        <w:t>预算为0万元，支出决算为0万元。决算数与预算数不存在差异</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rPr>
        <w:t>251.12万元，支出决算为129.04万元，完成预算的51.39%</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各单位严格执行中央八项规定，从严控制“三公”经费管理，加强公务用车管理，压缩经费支出</w:t>
      </w:r>
      <w:r>
        <w:rPr>
          <w:rFonts w:hint="eastAsia" w:ascii="仿宋_GB2312" w:hAnsi="仿宋_GB2312" w:eastAsia="仿宋_GB2312" w:cs="仿宋_GB2312"/>
          <w:color w:val="auto"/>
          <w:sz w:val="32"/>
          <w:szCs w:val="32"/>
          <w:highlight w:val="none"/>
        </w:rPr>
        <w:t>。其中：</w:t>
      </w:r>
    </w:p>
    <w:p>
      <w:pPr>
        <w:widowControl/>
        <w:spacing w:line="590" w:lineRule="exact"/>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olor w:val="auto"/>
          <w:sz w:val="32"/>
          <w:szCs w:val="24"/>
          <w:highlight w:val="none"/>
        </w:rPr>
        <w:t>129.04</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单位公务用车燃料费、维修费、过路过桥费、保险费等支出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119辆</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rPr>
        <w:t>15.63万元，支出决算为5.21万元，完成预算的33.35%。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各单位严格执行中央八项规定，从严控制“三公”经费管理，加强公务接待管理，压缩经费支出</w:t>
      </w:r>
      <w:r>
        <w:rPr>
          <w:rFonts w:hint="eastAsia" w:ascii="仿宋_GB2312" w:hAnsi="仿宋_GB2312" w:eastAsia="仿宋_GB2312" w:cs="仿宋_GB2312"/>
          <w:color w:val="auto"/>
          <w:sz w:val="32"/>
          <w:szCs w:val="32"/>
          <w:highlight w:val="none"/>
        </w:rPr>
        <w:t>。其中：</w:t>
      </w:r>
    </w:p>
    <w:p>
      <w:pPr>
        <w:widowControl/>
        <w:spacing w:line="590" w:lineRule="exact"/>
        <w:ind w:left="0" w:leftChars="0"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5.21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单位按规定开支的各类公务接待</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78</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499</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val="en-US" w:eastAsia="zh-CN"/>
        </w:rPr>
        <w:t>情况说明：</w:t>
      </w:r>
      <w:r>
        <w:rPr>
          <w:rFonts w:hint="eastAsia" w:ascii="仿宋_GB2312" w:hAnsi="仿宋_GB2312" w:eastAsia="仿宋_GB2312" w:cs="仿宋_GB2312"/>
          <w:color w:val="auto"/>
          <w:sz w:val="32"/>
          <w:szCs w:val="32"/>
          <w:highlight w:val="none"/>
        </w:rPr>
        <w:t>我部门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没有政府性基金收入，也没有使用政府性基金安排的支出。</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1559.88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1199.42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76.89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充分合理利用存量资金，年底无结转资金</w:t>
      </w:r>
      <w:r>
        <w:rPr>
          <w:rFonts w:hint="eastAsia" w:ascii="仿宋_GB2312" w:hAnsi="仿宋_GB2312" w:eastAsia="仿宋_GB2312" w:cs="仿宋_GB2312"/>
          <w:color w:val="auto"/>
          <w:sz w:val="32"/>
          <w:szCs w:val="32"/>
          <w:highlight w:val="none"/>
        </w:rPr>
        <w:t>。</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658.76</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658.76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olor w:val="auto"/>
          <w:sz w:val="32"/>
          <w:szCs w:val="24"/>
          <w:highlight w:val="none"/>
        </w:rPr>
        <w:t>授予中小企业合同金额580.79万元，占政府采购支出总额的88.16%,其中：授予小微企业合同金额580.79万元，占政府采购支出总额的88.16%。</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left="0" w:leftChars="0"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119</w:t>
      </w:r>
      <w:r>
        <w:rPr>
          <w:rFonts w:hint="eastAsia" w:ascii="仿宋_GB2312" w:hAnsi="仿宋_GB2312" w:eastAsia="仿宋_GB2312" w:cs="仿宋_GB2312"/>
          <w:color w:val="auto"/>
          <w:sz w:val="32"/>
          <w:szCs w:val="32"/>
          <w:highlight w:val="none"/>
        </w:rPr>
        <w:t>辆，其中：</w:t>
      </w:r>
      <w:r>
        <w:rPr>
          <w:rFonts w:hint="eastAsia" w:ascii="仿宋_GB2312" w:hAnsi="仿宋_GB2312" w:eastAsia="仿宋_GB2312"/>
          <w:color w:val="auto"/>
          <w:sz w:val="32"/>
          <w:szCs w:val="24"/>
          <w:highlight w:val="none"/>
        </w:rPr>
        <w:t>省级领导干部用车0辆、主要领导干部用车0辆、机要通信用车</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rPr>
        <w:t>辆、应急保障车0辆、执法执勤用车47辆、特种专业技术用车21辆、离退休干部用车</w:t>
      </w:r>
      <w:r>
        <w:rPr>
          <w:rFonts w:hint="eastAsia" w:ascii="仿宋_GB2312" w:hAnsi="仿宋_GB2312" w:eastAsia="仿宋_GB2312"/>
          <w:color w:val="auto"/>
          <w:sz w:val="32"/>
          <w:szCs w:val="24"/>
          <w:highlight w:val="none"/>
          <w:lang w:val="en-US" w:eastAsia="zh-CN"/>
        </w:rPr>
        <w:t>2</w:t>
      </w:r>
      <w:r>
        <w:rPr>
          <w:rFonts w:hint="eastAsia" w:ascii="仿宋_GB2312" w:hAnsi="仿宋_GB2312" w:eastAsia="仿宋_GB2312"/>
          <w:color w:val="auto"/>
          <w:sz w:val="32"/>
          <w:szCs w:val="24"/>
          <w:highlight w:val="none"/>
        </w:rPr>
        <w:t>辆、其他用车42辆；单位价值50万元以上通用设备46台（套），单位价值100万元以上专用设备4台（套）。</w:t>
      </w:r>
    </w:p>
    <w:p>
      <w:pPr>
        <w:widowControl/>
        <w:spacing w:line="590" w:lineRule="exact"/>
        <w:ind w:left="0" w:leftChars="0"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许昌市人民政府关于全面实施预算绩效管理的实施意见》（许发〔2021〕13号）文件要求，对本部门整体支出和项目支出开展全过程预算绩效管理。按照“全方位、全过程、全覆盖”预算绩效管理要求，我局对 2021 年度部门整体绩效和所有的项目资金开展了绩效运行监控和绩效评价，绩效评价覆盖率100%。各单位进一步增强绩效意识，不断规范预算管理，强化预算执行过程控制，提高资金使用绩效。绩效意识进一步增强。进一步加强绩效意识的学习，明确“用钱要问效、无效要问责”的绩效要求，强化支出主体的绩效责任。资金使用绩效进一步提高。通过开展绩效评价工作，各单位一方面更加注重节约，主动压缩经费开支，另一方面更加注重强化工作效率，进而从整体上提高财政资金使用绩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〕1号）等文件精神，我部门对本部门整体绩效目标和项目支出绩效目标进行了自评。一是部门整体绩效自评情况，</w:t>
      </w:r>
      <w:r>
        <w:rPr>
          <w:rFonts w:hint="eastAsia" w:ascii="仿宋_GB2312" w:hAnsi="仿宋_GB2312" w:eastAsia="仿宋_GB2312" w:cs="仿宋_GB2312"/>
          <w:i w:val="0"/>
          <w:iCs w:val="0"/>
          <w:color w:val="auto"/>
          <w:kern w:val="2"/>
          <w:sz w:val="32"/>
          <w:szCs w:val="32"/>
          <w:highlight w:val="none"/>
          <w:u w:val="none" w:color="auto"/>
          <w:lang w:val="en-US" w:eastAsia="zh-CN" w:bidi="ar-SA"/>
        </w:rPr>
        <w:t>严格履行预算绩效管理主体责任，以绩效目标为导向，做好绩效运行监控，提升绩效自评质量，不断提高绩效管理工作水平，充分发挥财政资金使用效益，年初合理制定部门整体绩效目标，对照绩效指标逐项打分，部门整体绩效得分96分，总评结果是优。</w:t>
      </w:r>
      <w:r>
        <w:rPr>
          <w:rFonts w:hint="eastAsia" w:ascii="仿宋_GB2312" w:hAnsi="仿宋_GB2312" w:eastAsia="仿宋_GB2312" w:cs="仿宋_GB2312"/>
          <w:color w:val="auto"/>
          <w:sz w:val="32"/>
          <w:szCs w:val="32"/>
          <w:highlight w:val="none"/>
          <w:lang w:val="en-US" w:eastAsia="zh-CN"/>
        </w:rPr>
        <w:t>二是项目绩效自评情况。我部门共有5个项目批复了绩效目标。其中：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许昌市市场监督管理局2个，项目金额31.60万元；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许昌市食品药品检验检测中心2个，项目金额49.20万元；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许昌市纤维检验所1个，项目金额46万元.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94.30分。其中：7个项目评价等级为“优”、3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许昌市财政局和我部门共选取我部门食品安全抽检经费项目等共1个项目开展财政重点评价。其中：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食品安全抽检经费项目评价得分：76.20分，等次为“中”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irZkB5AEAAM8DAAAO&#10;AAAAAAAAAAEAIAAAAB4BAABkcnMvZTJvRG9jLnhtbFBLBQYAAAAABgAGAFkBAAB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MXbT3eUBAADPAwAA&#10;DgAAAAAAAAABACAAAAAeAQAAZHJzL2Uyb0RvYy54bWx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454B"/>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A765F8"/>
    <w:rsid w:val="03C75F80"/>
    <w:rsid w:val="0478364D"/>
    <w:rsid w:val="04DC1141"/>
    <w:rsid w:val="053D4C0D"/>
    <w:rsid w:val="0557532E"/>
    <w:rsid w:val="06135F9E"/>
    <w:rsid w:val="06DC70DB"/>
    <w:rsid w:val="0799329C"/>
    <w:rsid w:val="08397436"/>
    <w:rsid w:val="086F16A7"/>
    <w:rsid w:val="0A0F7225"/>
    <w:rsid w:val="0A2B7D82"/>
    <w:rsid w:val="0ADC40E9"/>
    <w:rsid w:val="0AE607F4"/>
    <w:rsid w:val="0B386127"/>
    <w:rsid w:val="0B451598"/>
    <w:rsid w:val="0BEC73F4"/>
    <w:rsid w:val="0C392698"/>
    <w:rsid w:val="10BD36F6"/>
    <w:rsid w:val="10D63C7F"/>
    <w:rsid w:val="11BF0649"/>
    <w:rsid w:val="123E3E08"/>
    <w:rsid w:val="133212F4"/>
    <w:rsid w:val="13D22E22"/>
    <w:rsid w:val="161C2DFF"/>
    <w:rsid w:val="16373578"/>
    <w:rsid w:val="16D3336B"/>
    <w:rsid w:val="17200028"/>
    <w:rsid w:val="17806C36"/>
    <w:rsid w:val="17A74F62"/>
    <w:rsid w:val="186A5C2F"/>
    <w:rsid w:val="18A47774"/>
    <w:rsid w:val="1A690A80"/>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1F05DB"/>
    <w:rsid w:val="255D43C8"/>
    <w:rsid w:val="25747CA9"/>
    <w:rsid w:val="26714EF8"/>
    <w:rsid w:val="26876BDD"/>
    <w:rsid w:val="2714632A"/>
    <w:rsid w:val="27541E73"/>
    <w:rsid w:val="27B0539E"/>
    <w:rsid w:val="290F626F"/>
    <w:rsid w:val="29365CF8"/>
    <w:rsid w:val="299469B3"/>
    <w:rsid w:val="2A805789"/>
    <w:rsid w:val="2ADC0D75"/>
    <w:rsid w:val="2B4A0E52"/>
    <w:rsid w:val="2BDD3482"/>
    <w:rsid w:val="2C975890"/>
    <w:rsid w:val="2D234A1A"/>
    <w:rsid w:val="2DEF21BB"/>
    <w:rsid w:val="2E4A2F05"/>
    <w:rsid w:val="2ECC1061"/>
    <w:rsid w:val="2FA476AD"/>
    <w:rsid w:val="303F7540"/>
    <w:rsid w:val="30E51DD2"/>
    <w:rsid w:val="31DD00BF"/>
    <w:rsid w:val="3293174C"/>
    <w:rsid w:val="32BB38D4"/>
    <w:rsid w:val="32C9376D"/>
    <w:rsid w:val="33780472"/>
    <w:rsid w:val="33AF0905"/>
    <w:rsid w:val="355932F4"/>
    <w:rsid w:val="35611882"/>
    <w:rsid w:val="36746FC3"/>
    <w:rsid w:val="368763AE"/>
    <w:rsid w:val="395D59E7"/>
    <w:rsid w:val="39A93932"/>
    <w:rsid w:val="39F540C2"/>
    <w:rsid w:val="3A915562"/>
    <w:rsid w:val="3B2C55F5"/>
    <w:rsid w:val="3B8D4765"/>
    <w:rsid w:val="3C000DBA"/>
    <w:rsid w:val="3DC045D3"/>
    <w:rsid w:val="3E504FFB"/>
    <w:rsid w:val="3E615CD0"/>
    <w:rsid w:val="3E9C47F6"/>
    <w:rsid w:val="3F8B0112"/>
    <w:rsid w:val="3FAB3095"/>
    <w:rsid w:val="3FE45947"/>
    <w:rsid w:val="41242965"/>
    <w:rsid w:val="42D361CE"/>
    <w:rsid w:val="435671EA"/>
    <w:rsid w:val="440809E9"/>
    <w:rsid w:val="442407A6"/>
    <w:rsid w:val="44805EA1"/>
    <w:rsid w:val="45710696"/>
    <w:rsid w:val="46142B1B"/>
    <w:rsid w:val="47E60DD0"/>
    <w:rsid w:val="486F5815"/>
    <w:rsid w:val="48735039"/>
    <w:rsid w:val="492C684B"/>
    <w:rsid w:val="49500594"/>
    <w:rsid w:val="49E7604E"/>
    <w:rsid w:val="4BF67CDD"/>
    <w:rsid w:val="4D173441"/>
    <w:rsid w:val="4D603DD6"/>
    <w:rsid w:val="4EBF010F"/>
    <w:rsid w:val="4F471EB0"/>
    <w:rsid w:val="51331326"/>
    <w:rsid w:val="51740A7F"/>
    <w:rsid w:val="51A5541E"/>
    <w:rsid w:val="51A65F78"/>
    <w:rsid w:val="51C96242"/>
    <w:rsid w:val="52A94909"/>
    <w:rsid w:val="53153FDC"/>
    <w:rsid w:val="53906AE1"/>
    <w:rsid w:val="54F46F60"/>
    <w:rsid w:val="55A37BEA"/>
    <w:rsid w:val="56012201"/>
    <w:rsid w:val="56362CD2"/>
    <w:rsid w:val="5784687B"/>
    <w:rsid w:val="57846959"/>
    <w:rsid w:val="578E6A87"/>
    <w:rsid w:val="5AC2203A"/>
    <w:rsid w:val="5CBB3334"/>
    <w:rsid w:val="5D115FAF"/>
    <w:rsid w:val="5E835FE4"/>
    <w:rsid w:val="5F047EDE"/>
    <w:rsid w:val="62811722"/>
    <w:rsid w:val="62E75A72"/>
    <w:rsid w:val="64571880"/>
    <w:rsid w:val="649125B6"/>
    <w:rsid w:val="652F4C1A"/>
    <w:rsid w:val="666D37F1"/>
    <w:rsid w:val="66BA7A5D"/>
    <w:rsid w:val="67087D8F"/>
    <w:rsid w:val="671F687E"/>
    <w:rsid w:val="67F415F8"/>
    <w:rsid w:val="682640D1"/>
    <w:rsid w:val="684B73E5"/>
    <w:rsid w:val="69343C9E"/>
    <w:rsid w:val="694344E1"/>
    <w:rsid w:val="6A047A2A"/>
    <w:rsid w:val="6D4C349C"/>
    <w:rsid w:val="6EFB7548"/>
    <w:rsid w:val="6F3831C3"/>
    <w:rsid w:val="6F8B71C1"/>
    <w:rsid w:val="7013160A"/>
    <w:rsid w:val="70753482"/>
    <w:rsid w:val="707B522A"/>
    <w:rsid w:val="73194D05"/>
    <w:rsid w:val="73A83B0E"/>
    <w:rsid w:val="744D3EF9"/>
    <w:rsid w:val="74794411"/>
    <w:rsid w:val="75867C40"/>
    <w:rsid w:val="75B10B26"/>
    <w:rsid w:val="76432199"/>
    <w:rsid w:val="76F44829"/>
    <w:rsid w:val="77A267C0"/>
    <w:rsid w:val="78882278"/>
    <w:rsid w:val="78B118A6"/>
    <w:rsid w:val="79135044"/>
    <w:rsid w:val="79A02335"/>
    <w:rsid w:val="7A7D0F99"/>
    <w:rsid w:val="7E4A0E7C"/>
    <w:rsid w:val="7EFD449D"/>
    <w:rsid w:val="F9FFDD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w:basedOn w:val="1"/>
    <w:qFormat/>
    <w:uiPriority w:val="0"/>
    <w:pPr>
      <w:spacing w:after="120" w:afterLines="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spacing w:after="0" w:afterLines="0"/>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4"/>
    <w:semiHidden/>
    <w:qFormat/>
    <w:uiPriority w:val="99"/>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40</Pages>
  <Words>12707</Words>
  <Characters>15718</Characters>
  <Lines>60</Lines>
  <Paragraphs>16</Paragraphs>
  <TotalTime>13</TotalTime>
  <ScaleCrop>false</ScaleCrop>
  <LinksUpToDate>false</LinksUpToDate>
  <CharactersWithSpaces>16004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2023-05-15T00:15:00Z</cp:lastPrinted>
  <dcterms:modified xsi:type="dcterms:W3CDTF">2023-09-17T11:15:27Z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49FB8519DB90459AA79B264499C41241_13</vt:lpwstr>
  </property>
</Properties>
</file>