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许昌市工商业联合会部门决算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许昌市工商业联合会概况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许昌市工商业联合会概况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keepNext w:val="0"/>
        <w:keepLines w:val="0"/>
        <w:pageBreakBefore w:val="0"/>
        <w:kinsoku/>
        <w:wordWrap/>
        <w:overflowPunct/>
        <w:topLinePunct w:val="0"/>
        <w:autoSpaceDE/>
        <w:autoSpaceDN/>
        <w:bidi w:val="0"/>
        <w:adjustRightInd w:val="0"/>
        <w:snapToGrid w:val="0"/>
        <w:spacing w:line="600" w:lineRule="exact"/>
        <w:ind w:left="-21" w:leftChars="-10" w:firstLine="640" w:firstLineChars="200"/>
        <w:textAlignment w:val="auto"/>
        <w:rPr>
          <w:rFonts w:ascii="仿宋_GB2312" w:eastAsia="仿宋_GB2312"/>
          <w:sz w:val="32"/>
          <w:szCs w:val="32"/>
        </w:rPr>
      </w:pPr>
      <w:r>
        <w:rPr>
          <w:rFonts w:hint="eastAsia" w:ascii="仿宋_GB2312" w:eastAsia="仿宋_GB2312"/>
          <w:sz w:val="32"/>
          <w:szCs w:val="32"/>
        </w:rPr>
        <w:t>（一）加强民主监督，搞好调查研究，积极参政议政。</w:t>
      </w:r>
    </w:p>
    <w:p>
      <w:pPr>
        <w:keepNext w:val="0"/>
        <w:keepLines w:val="0"/>
        <w:pageBreakBefore w:val="0"/>
        <w:kinsoku/>
        <w:wordWrap/>
        <w:overflowPunct/>
        <w:topLinePunct w:val="0"/>
        <w:autoSpaceDE/>
        <w:autoSpaceDN/>
        <w:bidi w:val="0"/>
        <w:adjustRightInd w:val="0"/>
        <w:snapToGrid w:val="0"/>
        <w:spacing w:line="600" w:lineRule="exact"/>
        <w:ind w:left="-21" w:leftChars="-10" w:firstLine="640" w:firstLineChars="200"/>
        <w:textAlignment w:val="auto"/>
        <w:rPr>
          <w:rFonts w:hint="eastAsia" w:ascii="仿宋_GB2312" w:eastAsia="仿宋_GB2312"/>
          <w:sz w:val="32"/>
          <w:szCs w:val="32"/>
        </w:rPr>
      </w:pPr>
      <w:r>
        <w:rPr>
          <w:rFonts w:hint="eastAsia" w:ascii="仿宋_GB2312" w:eastAsia="仿宋_GB2312"/>
          <w:sz w:val="32"/>
          <w:szCs w:val="32"/>
        </w:rPr>
        <w:t>（二）</w:t>
      </w:r>
      <w:r>
        <w:rPr>
          <w:rFonts w:hint="default" w:ascii="仿宋_GB2312" w:eastAsia="仿宋_GB2312"/>
          <w:sz w:val="32"/>
          <w:szCs w:val="32"/>
          <w:lang w:val="en"/>
        </w:rPr>
        <w:t xml:space="preserve"> </w:t>
      </w:r>
      <w:r>
        <w:rPr>
          <w:rFonts w:hint="eastAsia" w:ascii="仿宋_GB2312" w:eastAsia="仿宋_GB2312"/>
          <w:sz w:val="32"/>
          <w:szCs w:val="32"/>
        </w:rPr>
        <w:t>做好非公有制经济代表人士政治安排的推荐工作。</w:t>
      </w:r>
    </w:p>
    <w:p>
      <w:pPr>
        <w:keepNext w:val="0"/>
        <w:keepLines w:val="0"/>
        <w:pageBreakBefore w:val="0"/>
        <w:kinsoku/>
        <w:wordWrap/>
        <w:overflowPunct/>
        <w:topLinePunct w:val="0"/>
        <w:autoSpaceDE/>
        <w:autoSpaceDN/>
        <w:bidi w:val="0"/>
        <w:adjustRightInd w:val="0"/>
        <w:snapToGrid w:val="0"/>
        <w:spacing w:line="600" w:lineRule="exact"/>
        <w:ind w:left="-21" w:leftChars="-10" w:firstLine="640" w:firstLineChars="200"/>
        <w:textAlignment w:val="auto"/>
        <w:rPr>
          <w:rFonts w:ascii="仿宋_GB2312" w:eastAsia="仿宋_GB2312"/>
          <w:sz w:val="32"/>
          <w:szCs w:val="32"/>
        </w:rPr>
      </w:pPr>
      <w:r>
        <w:rPr>
          <w:rFonts w:hint="eastAsia" w:ascii="仿宋_GB2312" w:eastAsia="仿宋_GB2312"/>
          <w:sz w:val="32"/>
          <w:szCs w:val="32"/>
        </w:rPr>
        <w:t>（三）发展会员和建立基层商会、同业公会、行业协会等商会组织工作。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（四）协助开展会员和非公有制企业的党、团、工、妇等工作。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（五）为会员和非公有制经济人士提供信息和科技、管理、法律、会计、审计、融资、咨询等服务。</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outlineLvl w:val="1"/>
        <w:rPr>
          <w:rFonts w:hint="eastAsia" w:ascii="仿宋_GB2312" w:eastAsia="仿宋_GB2312"/>
          <w:sz w:val="32"/>
          <w:szCs w:val="32"/>
        </w:rPr>
      </w:pPr>
      <w:r>
        <w:rPr>
          <w:rFonts w:hint="eastAsia" w:ascii="仿宋_GB2312" w:eastAsia="仿宋_GB2312"/>
          <w:sz w:val="32"/>
          <w:szCs w:val="32"/>
        </w:rPr>
        <w:t>（六）承办市委、市政府交办的其他事宜。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keepNext w:val="0"/>
        <w:keepLines w:val="0"/>
        <w:pageBreakBefore w:val="0"/>
        <w:kinsoku/>
        <w:wordWrap/>
        <w:overflowPunct/>
        <w:topLinePunct w:val="0"/>
        <w:autoSpaceDE/>
        <w:autoSpaceDN/>
        <w:bidi w:val="0"/>
        <w:adjustRightInd w:val="0"/>
        <w:snapToGrid w:val="0"/>
        <w:spacing w:line="600" w:lineRule="exact"/>
        <w:ind w:left="-21" w:leftChars="-10" w:firstLine="640" w:firstLineChars="200"/>
        <w:textAlignment w:val="auto"/>
        <w:rPr>
          <w:rFonts w:hint="eastAsia" w:ascii="仿宋_GB2312" w:eastAsia="仿宋_GB2312"/>
          <w:sz w:val="32"/>
          <w:szCs w:val="32"/>
        </w:rPr>
      </w:pPr>
      <w:r>
        <w:rPr>
          <w:rFonts w:hint="eastAsia" w:ascii="仿宋_GB2312" w:eastAsia="仿宋_GB2312"/>
          <w:sz w:val="32"/>
          <w:szCs w:val="32"/>
        </w:rPr>
        <w:t>许昌市工商业联合会内设机构3个，包括：办公室、组宣部、经济联络部。</w:t>
      </w:r>
    </w:p>
    <w:p>
      <w:pPr>
        <w:keepNext w:val="0"/>
        <w:keepLines w:val="0"/>
        <w:pageBreakBefore w:val="0"/>
        <w:kinsoku/>
        <w:wordWrap/>
        <w:overflowPunct/>
        <w:topLinePunct w:val="0"/>
        <w:autoSpaceDE/>
        <w:autoSpaceDN/>
        <w:bidi w:val="0"/>
        <w:adjustRightInd w:val="0"/>
        <w:snapToGrid w:val="0"/>
        <w:spacing w:line="600" w:lineRule="exact"/>
        <w:ind w:left="-21" w:leftChars="-10" w:firstLine="640" w:firstLineChars="200"/>
        <w:textAlignment w:val="auto"/>
        <w:rPr>
          <w:rFonts w:hint="eastAsia" w:ascii="仿宋_GB2312" w:eastAsia="仿宋_GB2312"/>
          <w:sz w:val="32"/>
          <w:szCs w:val="32"/>
        </w:rPr>
      </w:pPr>
      <w:r>
        <w:rPr>
          <w:rFonts w:hint="eastAsia" w:ascii="仿宋_GB2312" w:eastAsia="仿宋_GB2312"/>
          <w:sz w:val="32"/>
          <w:szCs w:val="32"/>
        </w:rPr>
        <w:t>从决算单位构成看，许昌市工商业联合会部门决算包括：本级决算</w:t>
      </w:r>
      <w:r>
        <w:rPr>
          <w:rFonts w:hint="eastAsia" w:ascii="仿宋_GB2312" w:eastAsia="仿宋_GB2312"/>
          <w:sz w:val="32"/>
          <w:szCs w:val="32"/>
          <w:lang w:eastAsia="zh-CN"/>
        </w:rPr>
        <w:t>（</w:t>
      </w:r>
      <w:r>
        <w:rPr>
          <w:rFonts w:hint="eastAsia" w:ascii="仿宋_GB2312" w:eastAsia="仿宋_GB2312"/>
          <w:sz w:val="32"/>
          <w:szCs w:val="32"/>
          <w:lang w:val="en-US" w:eastAsia="zh-CN"/>
        </w:rPr>
        <w:t>1个</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sz w:val="32"/>
          <w:szCs w:val="32"/>
        </w:rPr>
      </w:pPr>
      <w:r>
        <w:rPr>
          <w:rFonts w:hint="eastAsia" w:ascii="仿宋_GB2312" w:eastAsia="仿宋_GB2312"/>
          <w:sz w:val="32"/>
          <w:szCs w:val="32"/>
        </w:rPr>
        <w:t>纳入本部门202</w:t>
      </w:r>
      <w:r>
        <w:rPr>
          <w:rFonts w:hint="default" w:ascii="仿宋_GB2312" w:eastAsia="仿宋_GB2312"/>
          <w:sz w:val="32"/>
          <w:szCs w:val="32"/>
          <w:lang w:val="en"/>
        </w:rPr>
        <w:t>1</w:t>
      </w:r>
      <w:r>
        <w:rPr>
          <w:rFonts w:hint="eastAsia" w:ascii="仿宋_GB2312" w:eastAsia="仿宋_GB2312"/>
          <w:sz w:val="32"/>
          <w:szCs w:val="32"/>
        </w:rPr>
        <w:t>年度部门决算编制范围的单位共1个，具体是：</w:t>
      </w:r>
    </w:p>
    <w:p>
      <w:pPr>
        <w:keepNext w:val="0"/>
        <w:keepLines w:val="0"/>
        <w:pageBreakBefore w:val="0"/>
        <w:kinsoku/>
        <w:wordWrap/>
        <w:overflowPunct/>
        <w:topLinePunct w:val="0"/>
        <w:autoSpaceDE/>
        <w:autoSpaceDN/>
        <w:bidi w:val="0"/>
        <w:adjustRightInd w:val="0"/>
        <w:snapToGrid w:val="0"/>
        <w:spacing w:line="600" w:lineRule="exact"/>
        <w:ind w:left="-21" w:leftChars="-10" w:firstLine="640" w:firstLineChars="200"/>
        <w:textAlignment w:val="auto"/>
        <w:rPr>
          <w:rFonts w:hint="eastAsia" w:ascii="仿宋_GB2312" w:eastAsia="仿宋_GB2312"/>
          <w:sz w:val="32"/>
          <w:szCs w:val="32"/>
        </w:rPr>
      </w:pPr>
      <w:r>
        <w:rPr>
          <w:rFonts w:hint="eastAsia" w:ascii="仿宋_GB2312" w:eastAsia="仿宋_GB2312"/>
          <w:sz w:val="32"/>
          <w:szCs w:val="32"/>
        </w:rPr>
        <w:t>许昌市工商业联合会</w:t>
      </w:r>
    </w:p>
    <w:p>
      <w:pPr>
        <w:keepNext w:val="0"/>
        <w:keepLines w:val="0"/>
        <w:pageBreakBefore w:val="0"/>
        <w:kinsoku/>
        <w:wordWrap/>
        <w:overflowPunct/>
        <w:topLinePunct w:val="0"/>
        <w:autoSpaceDE/>
        <w:autoSpaceDN/>
        <w:bidi w:val="0"/>
        <w:adjustRightInd w:val="0"/>
        <w:snapToGrid w:val="0"/>
        <w:spacing w:line="600" w:lineRule="exact"/>
        <w:ind w:left="-21" w:leftChars="-10" w:firstLine="640" w:firstLineChars="200"/>
        <w:textAlignment w:val="auto"/>
        <w:rPr>
          <w:rFonts w:hint="eastAsia" w:ascii="仿宋_GB2312" w:eastAsia="仿宋_GB2312"/>
          <w:sz w:val="32"/>
          <w:szCs w:val="32"/>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Theme="minorEastAsia" w:hAnsiTheme="minorEastAsia" w:eastAsiaTheme="minorEastAsia" w:cstheme="minorEastAsia"/>
                <w:color w:val="000000"/>
                <w:kern w:val="0"/>
                <w:sz w:val="32"/>
                <w:szCs w:val="32"/>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部门：许昌市工商业联合会</w:t>
            </w:r>
          </w:p>
        </w:tc>
        <w:tc>
          <w:tcPr>
            <w:tcW w:w="825"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 w:bidi="ar"/>
              </w:rPr>
            </w:pPr>
            <w:r>
              <w:rPr>
                <w:rFonts w:hint="default" w:ascii="宋体" w:hAnsi="宋体" w:eastAsia="宋体" w:cs="宋体"/>
                <w:color w:val="000000"/>
                <w:kern w:val="0"/>
                <w:sz w:val="18"/>
                <w:szCs w:val="18"/>
                <w:lang w:val="en" w:bidi="ar"/>
              </w:rPr>
              <w:t xml:space="preserve">   </w:t>
            </w: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ind w:firstLine="720" w:firstLineChars="40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支出</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199.93</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190.89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二、政府性基金</w:t>
            </w:r>
            <w:r>
              <w:rPr>
                <w:rFonts w:ascii="宋体" w:hAnsi="宋体" w:cs="宋体"/>
                <w:color w:val="000000"/>
                <w:kern w:val="0"/>
                <w:sz w:val="22"/>
                <w:szCs w:val="22"/>
                <w:lang w:bidi="ar"/>
              </w:rPr>
              <w:t>预算财政拨款</w:t>
            </w:r>
            <w:r>
              <w:rPr>
                <w:rFonts w:hint="eastAsia" w:ascii="宋体" w:hAnsi="宋体" w:cs="宋体"/>
                <w:color w:val="000000"/>
                <w:kern w:val="0"/>
                <w:sz w:val="22"/>
                <w:szCs w:val="22"/>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三、国有资本</w:t>
            </w:r>
            <w:r>
              <w:rPr>
                <w:rFonts w:ascii="宋体" w:hAnsi="宋体" w:cs="宋体"/>
                <w:color w:val="000000"/>
                <w:kern w:val="0"/>
                <w:sz w:val="22"/>
                <w:szCs w:val="22"/>
                <w:lang w:bidi="ar"/>
              </w:rPr>
              <w:t>经营预算财政拨款</w:t>
            </w:r>
            <w:r>
              <w:rPr>
                <w:rFonts w:hint="eastAsia" w:ascii="宋体" w:hAnsi="宋体" w:cs="宋体"/>
                <w:color w:val="000000"/>
                <w:kern w:val="0"/>
                <w:sz w:val="22"/>
                <w:szCs w:val="22"/>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七、社会保障和就业支出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ab/>
            </w:r>
            <w:r>
              <w:rPr>
                <w:rFonts w:ascii="宋体" w:hAnsi="宋体" w:eastAsia="宋体" w:cs="宋体"/>
                <w:color w:val="000000"/>
                <w:sz w:val="22"/>
                <w:szCs w:val="22"/>
              </w:rPr>
              <w:t>35.39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八、卫生健康支出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11.34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199.93</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237.62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使用非</w:t>
            </w:r>
            <w:r>
              <w:rPr>
                <w:rFonts w:ascii="宋体" w:hAnsi="宋体" w:cs="宋体"/>
                <w:color w:val="000000"/>
                <w:kern w:val="0"/>
                <w:sz w:val="22"/>
                <w:szCs w:val="22"/>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37.69</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p>
        </w:tc>
      </w:tr>
      <w:tr>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237.62</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237.62</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0" w:type="dxa"/>
        <w:tblInd w:w="0" w:type="dxa"/>
        <w:tblLayout w:type="fixed"/>
        <w:tblCellMar>
          <w:top w:w="0" w:type="dxa"/>
          <w:left w:w="0" w:type="dxa"/>
          <w:bottom w:w="0" w:type="dxa"/>
          <w:right w:w="0" w:type="dxa"/>
        </w:tblCellMar>
      </w:tblPr>
      <w:tblGrid>
        <w:gridCol w:w="1400"/>
        <w:gridCol w:w="196"/>
        <w:gridCol w:w="366"/>
        <w:gridCol w:w="992"/>
        <w:gridCol w:w="992"/>
        <w:gridCol w:w="994"/>
        <w:gridCol w:w="992"/>
        <w:gridCol w:w="992"/>
        <w:gridCol w:w="1301"/>
        <w:gridCol w:w="992"/>
        <w:gridCol w:w="1609"/>
        <w:gridCol w:w="1301"/>
        <w:gridCol w:w="1319"/>
        <w:gridCol w:w="394"/>
      </w:tblGrid>
      <w:tr>
        <w:tblPrEx>
          <w:tblCellMar>
            <w:top w:w="0" w:type="dxa"/>
            <w:left w:w="0" w:type="dxa"/>
            <w:bottom w:w="0" w:type="dxa"/>
            <w:right w:w="0" w:type="dxa"/>
          </w:tblCellMar>
        </w:tblPrEx>
        <w:trPr>
          <w:gridAfter w:val="1"/>
          <w:wAfter w:w="394" w:type="dxa"/>
          <w:trHeight w:val="613" w:hRule="atLeast"/>
        </w:trPr>
        <w:tc>
          <w:tcPr>
            <w:tcW w:w="13446" w:type="dxa"/>
            <w:gridSpan w:val="13"/>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default" w:ascii="华文中宋" w:hAnsi="华文中宋" w:eastAsia="华文中宋" w:cs="华文中宋"/>
                <w:color w:val="000000"/>
                <w:kern w:val="0"/>
                <w:sz w:val="32"/>
                <w:szCs w:val="32"/>
                <w:lang w:val="en" w:bidi="ar"/>
              </w:rPr>
              <w:t xml:space="preserve"> </w:t>
            </w: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gridAfter w:val="1"/>
          <w:wAfter w:w="394" w:type="dxa"/>
          <w:trHeight w:val="90" w:hRule="atLeast"/>
        </w:trPr>
        <w:tc>
          <w:tcPr>
            <w:tcW w:w="1596"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36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978"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1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gridAfter w:val="1"/>
          <w:wAfter w:w="394" w:type="dxa"/>
          <w:trHeight w:val="344" w:hRule="atLeast"/>
        </w:trPr>
        <w:tc>
          <w:tcPr>
            <w:tcW w:w="4940"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lang w:bidi="ar"/>
              </w:rPr>
              <w:t>部门：许昌市工商业联合会</w:t>
            </w: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01"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1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94" w:type="dxa"/>
          <w:trHeight w:val="333" w:hRule="atLeast"/>
        </w:trPr>
        <w:tc>
          <w:tcPr>
            <w:tcW w:w="4940" w:type="dxa"/>
            <w:gridSpan w:val="6"/>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    目</w:t>
            </w:r>
          </w:p>
        </w:tc>
        <w:tc>
          <w:tcPr>
            <w:tcW w:w="992"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本年收入合计</w:t>
            </w:r>
          </w:p>
        </w:tc>
        <w:tc>
          <w:tcPr>
            <w:tcW w:w="992"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财政拨款收入</w:t>
            </w:r>
          </w:p>
        </w:tc>
        <w:tc>
          <w:tcPr>
            <w:tcW w:w="1301"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上级补助收入</w:t>
            </w:r>
          </w:p>
        </w:tc>
        <w:tc>
          <w:tcPr>
            <w:tcW w:w="992"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事业收入</w:t>
            </w:r>
          </w:p>
        </w:tc>
        <w:tc>
          <w:tcPr>
            <w:tcW w:w="160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经营收入</w:t>
            </w:r>
          </w:p>
        </w:tc>
        <w:tc>
          <w:tcPr>
            <w:tcW w:w="1301"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附属单位上缴收入</w:t>
            </w:r>
          </w:p>
        </w:tc>
        <w:tc>
          <w:tcPr>
            <w:tcW w:w="131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0" w:type="dxa"/>
            <w:bottom w:w="0" w:type="dxa"/>
            <w:right w:w="0" w:type="dxa"/>
          </w:tblCellMar>
        </w:tblPrEx>
        <w:trPr>
          <w:gridAfter w:val="1"/>
          <w:wAfter w:w="394" w:type="dxa"/>
          <w:trHeight w:val="333" w:hRule="atLeast"/>
        </w:trPr>
        <w:tc>
          <w:tcPr>
            <w:tcW w:w="1962" w:type="dxa"/>
            <w:gridSpan w:val="3"/>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科目编码</w:t>
            </w:r>
          </w:p>
        </w:tc>
        <w:tc>
          <w:tcPr>
            <w:tcW w:w="297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33" w:hRule="atLeast"/>
        </w:trPr>
        <w:tc>
          <w:tcPr>
            <w:tcW w:w="1962" w:type="dxa"/>
            <w:gridSpan w:val="3"/>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7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23" w:hRule="atLeast"/>
        </w:trPr>
        <w:tc>
          <w:tcPr>
            <w:tcW w:w="4940" w:type="dxa"/>
            <w:gridSpan w:val="6"/>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1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gridAfter w:val="1"/>
          <w:wAfter w:w="394" w:type="dxa"/>
          <w:trHeight w:val="380" w:hRule="atLeast"/>
        </w:trPr>
        <w:tc>
          <w:tcPr>
            <w:tcW w:w="4940" w:type="dxa"/>
            <w:gridSpan w:val="6"/>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199.93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199.93</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79"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172.39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172.39</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53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20128</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171.49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171.49</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9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2012801</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88.36</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88.36</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9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2012899</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其他民主党派及工商联事务支出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83.13</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8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群众团体事务</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8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2012906</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工会事务</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0.90</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53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18.53</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53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18.53</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53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9.94</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679"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8.59</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8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9.02</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9.02</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8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9.02</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9.02</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8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380" w:hRule="atLeast"/>
        </w:trPr>
        <w:tc>
          <w:tcPr>
            <w:tcW w:w="19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1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394" w:type="dxa"/>
          <w:trHeight w:val="412" w:hRule="atLeast"/>
        </w:trPr>
        <w:tc>
          <w:tcPr>
            <w:tcW w:w="13446" w:type="dxa"/>
            <w:gridSpan w:val="13"/>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r>
        <w:tblPrEx>
          <w:tblCellMar>
            <w:top w:w="0" w:type="dxa"/>
            <w:left w:w="0" w:type="dxa"/>
            <w:bottom w:w="0" w:type="dxa"/>
            <w:right w:w="0" w:type="dxa"/>
          </w:tblCellMar>
        </w:tblPrEx>
        <w:trPr>
          <w:trHeight w:val="1106" w:hRule="atLeast"/>
        </w:trPr>
        <w:tc>
          <w:tcPr>
            <w:tcW w:w="13840"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华文中宋" w:hAnsi="华文中宋" w:eastAsia="华文中宋" w:cs="华文中宋"/>
                <w:color w:val="000000"/>
                <w:kern w:val="0"/>
                <w:sz w:val="32"/>
                <w:szCs w:val="32"/>
                <w:lang w:val="en-US" w:eastAsia="zh-CN" w:bidi="ar"/>
              </w:rPr>
              <w:t>支出决算表</w:t>
            </w:r>
          </w:p>
        </w:tc>
      </w:tr>
      <w:tr>
        <w:tblPrEx>
          <w:tblCellMar>
            <w:top w:w="0" w:type="dxa"/>
            <w:left w:w="0" w:type="dxa"/>
            <w:bottom w:w="0" w:type="dxa"/>
            <w:right w:w="0" w:type="dxa"/>
          </w:tblCellMar>
        </w:tblPrEx>
        <w:trPr>
          <w:trHeight w:val="314" w:hRule="atLeast"/>
        </w:trPr>
        <w:tc>
          <w:tcPr>
            <w:tcW w:w="1962"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6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14" w:hRule="atLeast"/>
        </w:trPr>
        <w:tc>
          <w:tcPr>
            <w:tcW w:w="2954" w:type="dxa"/>
            <w:gridSpan w:val="4"/>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rPr>
            </w:pPr>
            <w:r>
              <w:rPr>
                <w:rFonts w:hint="eastAsia" w:ascii="宋体" w:hAnsi="宋体" w:cs="宋体"/>
                <w:color w:val="000000"/>
                <w:kern w:val="0"/>
                <w:sz w:val="20"/>
                <w:szCs w:val="20"/>
                <w:lang w:bidi="ar"/>
              </w:rPr>
              <w:t>部门：许昌市工商业联合会</w:t>
            </w: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2"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3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6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333" w:hRule="atLeast"/>
        </w:trPr>
        <w:tc>
          <w:tcPr>
            <w:tcW w:w="3946" w:type="dxa"/>
            <w:gridSpan w:val="5"/>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本年支出合计</w:t>
            </w:r>
          </w:p>
        </w:tc>
        <w:tc>
          <w:tcPr>
            <w:tcW w:w="992"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基本支出</w:t>
            </w:r>
          </w:p>
        </w:tc>
        <w:tc>
          <w:tcPr>
            <w:tcW w:w="992"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项目支出</w:t>
            </w:r>
          </w:p>
        </w:tc>
        <w:tc>
          <w:tcPr>
            <w:tcW w:w="229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上缴上级支出</w:t>
            </w:r>
          </w:p>
        </w:tc>
        <w:tc>
          <w:tcPr>
            <w:tcW w:w="160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经营支出</w:t>
            </w:r>
          </w:p>
        </w:tc>
        <w:tc>
          <w:tcPr>
            <w:tcW w:w="3014"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对附属单位补助支出</w:t>
            </w:r>
          </w:p>
        </w:tc>
      </w:tr>
      <w:tr>
        <w:tblPrEx>
          <w:tblCellMar>
            <w:top w:w="0" w:type="dxa"/>
            <w:left w:w="0" w:type="dxa"/>
            <w:bottom w:w="0" w:type="dxa"/>
            <w:right w:w="0" w:type="dxa"/>
          </w:tblCellMar>
        </w:tblPrEx>
        <w:trPr>
          <w:trHeight w:val="333" w:hRule="atLeast"/>
        </w:trPr>
        <w:tc>
          <w:tcPr>
            <w:tcW w:w="1400" w:type="dxa"/>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功能分类</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科目编码</w:t>
            </w:r>
          </w:p>
        </w:tc>
        <w:tc>
          <w:tcPr>
            <w:tcW w:w="2546"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22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3014"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12" w:hRule="atLeast"/>
        </w:trPr>
        <w:tc>
          <w:tcPr>
            <w:tcW w:w="1400" w:type="dxa"/>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2546"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99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22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c>
          <w:tcPr>
            <w:tcW w:w="3014"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323" w:hRule="atLeast"/>
        </w:trPr>
        <w:tc>
          <w:tcPr>
            <w:tcW w:w="3946"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014"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tblPrEx>
          <w:tblCellMar>
            <w:top w:w="0" w:type="dxa"/>
            <w:left w:w="0" w:type="dxa"/>
            <w:bottom w:w="0" w:type="dxa"/>
            <w:right w:w="0" w:type="dxa"/>
          </w:tblCellMar>
        </w:tblPrEx>
        <w:trPr>
          <w:trHeight w:val="380" w:hRule="atLeast"/>
        </w:trPr>
        <w:tc>
          <w:tcPr>
            <w:tcW w:w="3946" w:type="dxa"/>
            <w:gridSpan w:val="5"/>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b/>
                <w:bCs/>
                <w:color w:val="000000"/>
                <w:kern w:val="0"/>
                <w:sz w:val="22"/>
                <w:szCs w:val="22"/>
                <w:lang w:bidi="ar"/>
              </w:rPr>
              <w:t>237.62</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b/>
                <w:bCs/>
                <w:color w:val="000000"/>
                <w:kern w:val="0"/>
                <w:sz w:val="22"/>
                <w:szCs w:val="22"/>
                <w:lang w:bidi="ar"/>
              </w:rPr>
              <w:t>237.62</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一般公共服务支出</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190.89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190.89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20128</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民主党派及工商联事务</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189.99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189.99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2012801</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行政运行</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105.63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105.63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2012802</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一般行政管理事务</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1.24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1.24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1036"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2012899</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其他民主党派及工商联事务支出</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83.13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83.13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20129</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群众团体事务</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0.90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0.90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2012906</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工会事务</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0.90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0.90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社会保障和就业支出</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35.39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35.39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行政事业单位养老支出</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35.39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35.39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2080501</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行政单位离退休</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24.62</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24.62</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2080505</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机关事业单位基本养老保险缴费支出</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10.77</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10.77</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210</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卫生健康支出</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11.34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11.34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21011</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行政事业单位医疗</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11.34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11.34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83" w:hRule="atLeast"/>
        </w:trPr>
        <w:tc>
          <w:tcPr>
            <w:tcW w:w="1400"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2101101</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行政单位医疗</w:t>
            </w:r>
          </w:p>
        </w:tc>
        <w:tc>
          <w:tcPr>
            <w:tcW w:w="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5.71</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lang w:bidi="ar"/>
              </w:rPr>
              <w:t>5.71</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22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3014"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706" w:hRule="atLeast"/>
        </w:trPr>
        <w:tc>
          <w:tcPr>
            <w:tcW w:w="13840"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szCs w:val="22"/>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3" w:type="dxa"/>
        <w:tblInd w:w="0" w:type="dxa"/>
        <w:tblLayout w:type="fixed"/>
        <w:tblCellMar>
          <w:top w:w="0" w:type="dxa"/>
          <w:left w:w="0" w:type="dxa"/>
          <w:bottom w:w="0" w:type="dxa"/>
          <w:right w:w="0" w:type="dxa"/>
        </w:tblCellMar>
      </w:tblPr>
      <w:tblGrid>
        <w:gridCol w:w="3417"/>
        <w:gridCol w:w="1002"/>
        <w:gridCol w:w="1505"/>
        <w:gridCol w:w="2596"/>
        <w:gridCol w:w="685"/>
        <w:gridCol w:w="875"/>
        <w:gridCol w:w="1275"/>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00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0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8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7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公开04表</w:t>
            </w:r>
          </w:p>
        </w:tc>
      </w:tr>
      <w:tr>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部门：许昌市工商业联合会</w:t>
            </w:r>
          </w:p>
        </w:tc>
        <w:tc>
          <w:tcPr>
            <w:tcW w:w="100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0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8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7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项    目</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行次</w:t>
            </w: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项    目</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行次</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sz w:val="22"/>
                <w:szCs w:val="22"/>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栏    次</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栏    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一、一般公共预算财政拨款</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199.93</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一、一般公共服务支出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15</w:t>
            </w:r>
          </w:p>
        </w:tc>
        <w:tc>
          <w:tcPr>
            <w:tcW w:w="8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190.89</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190.89</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二、政府性基金预算财政拨款</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二、外交支出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16</w:t>
            </w:r>
          </w:p>
        </w:tc>
        <w:tc>
          <w:tcPr>
            <w:tcW w:w="8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三、国有资本经营预算财政拨款</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三、国防支出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17</w:t>
            </w:r>
          </w:p>
        </w:tc>
        <w:tc>
          <w:tcPr>
            <w:tcW w:w="8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四、公共安全支出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18</w:t>
            </w:r>
          </w:p>
        </w:tc>
        <w:tc>
          <w:tcPr>
            <w:tcW w:w="8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五、教育支出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19</w:t>
            </w:r>
          </w:p>
        </w:tc>
        <w:tc>
          <w:tcPr>
            <w:tcW w:w="8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6</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六、科学技术支出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20</w:t>
            </w:r>
          </w:p>
        </w:tc>
        <w:tc>
          <w:tcPr>
            <w:tcW w:w="8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7</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七、社会保障和就业支出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21</w:t>
            </w:r>
          </w:p>
        </w:tc>
        <w:tc>
          <w:tcPr>
            <w:tcW w:w="8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35.39</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35.39</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8</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八、卫生健康支出</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22</w:t>
            </w:r>
          </w:p>
        </w:tc>
        <w:tc>
          <w:tcPr>
            <w:tcW w:w="875"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11.34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11.34</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本年收入合计</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9</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199.93</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本年支出合计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23</w:t>
            </w:r>
          </w:p>
        </w:tc>
        <w:tc>
          <w:tcPr>
            <w:tcW w:w="875"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237.62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237.62</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b/>
                <w:color w:val="000000"/>
                <w:sz w:val="22"/>
                <w:szCs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Theme="minorEastAsia" w:hAnsiTheme="minorEastAsia" w:eastAsiaTheme="minorEastAsia" w:cstheme="minorEastAsia"/>
                <w:b/>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年初财政拨款结转和结余</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37.69</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年末财政拨款结转和结余</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24</w:t>
            </w:r>
          </w:p>
        </w:tc>
        <w:tc>
          <w:tcPr>
            <w:tcW w:w="875"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一般公共预算财政拨款</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37.69</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25</w:t>
            </w:r>
          </w:p>
        </w:tc>
        <w:tc>
          <w:tcPr>
            <w:tcW w:w="875"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政府性基金预算财政拨款</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12</w:t>
            </w:r>
          </w:p>
        </w:tc>
        <w:tc>
          <w:tcPr>
            <w:tcW w:w="15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26</w:t>
            </w:r>
          </w:p>
        </w:tc>
        <w:tc>
          <w:tcPr>
            <w:tcW w:w="875"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1058" w:type="dxa"/>
            <w:tcBorders>
              <w:top w:val="single" w:color="000000" w:sz="4" w:space="0"/>
              <w:left w:val="nil"/>
              <w:bottom w:val="nil"/>
              <w:right w:val="single" w:color="000000" w:sz="8" w:space="0"/>
            </w:tcBorders>
            <w:noWrap w:val="0"/>
            <w:vAlign w:val="top"/>
          </w:tcPr>
          <w:p>
            <w:pPr>
              <w:rPr>
                <w:rFonts w:hint="eastAsia" w:asciiTheme="minorEastAsia" w:hAnsiTheme="minorEastAsia" w:eastAsiaTheme="minorEastAsia" w:cstheme="minorEastAsia"/>
                <w:color w:val="000000"/>
                <w:sz w:val="22"/>
                <w:szCs w:val="22"/>
              </w:rPr>
            </w:pPr>
          </w:p>
        </w:tc>
      </w:tr>
      <w:tr>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5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875"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505"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237.62</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875"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237.62</w:t>
            </w: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237.62</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szCs w:val="22"/>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lang w:bidi="ar"/>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726"/>
        <w:gridCol w:w="216"/>
        <w:gridCol w:w="240"/>
        <w:gridCol w:w="2457"/>
        <w:gridCol w:w="3449"/>
        <w:gridCol w:w="3449"/>
        <w:gridCol w:w="3451"/>
      </w:tblGrid>
      <w:tr>
        <w:tblPrEx>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45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45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16"/>
                <w:rFonts w:hint="default"/>
                <w:lang w:bidi="ar"/>
              </w:rPr>
              <w:t>5表</w:t>
            </w:r>
          </w:p>
        </w:tc>
      </w:tr>
      <w:tr>
        <w:tblPrEx>
          <w:tblCellMar>
            <w:top w:w="0" w:type="dxa"/>
            <w:left w:w="0" w:type="dxa"/>
            <w:bottom w:w="0" w:type="dxa"/>
            <w:right w:w="0" w:type="dxa"/>
          </w:tblCellMar>
        </w:tblPrEx>
        <w:trPr>
          <w:trHeight w:val="300" w:hRule="atLeast"/>
        </w:trPr>
        <w:tc>
          <w:tcPr>
            <w:tcW w:w="942"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24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457" w:type="dxa"/>
            <w:tcBorders>
              <w:top w:val="nil"/>
              <w:left w:val="nil"/>
              <w:bottom w:val="nil"/>
              <w:right w:val="nil"/>
            </w:tcBorders>
            <w:shd w:val="clear" w:color="auto" w:fill="FFFFFF"/>
            <w:noWrap w:val="0"/>
            <w:tcMar>
              <w:top w:w="15" w:type="dxa"/>
              <w:left w:w="15" w:type="dxa"/>
              <w:right w:w="15" w:type="dxa"/>
            </w:tcMar>
            <w:vAlign w:val="center"/>
          </w:tcPr>
          <w:p>
            <w:pPr>
              <w:jc w:val="both"/>
              <w:rPr>
                <w:rFonts w:hint="eastAsia" w:ascii="宋体" w:hAnsi="宋体" w:cs="宋体"/>
                <w:color w:val="000000"/>
                <w:sz w:val="20"/>
                <w:szCs w:val="20"/>
              </w:rPr>
            </w:pPr>
            <w:r>
              <w:rPr>
                <w:rFonts w:hint="eastAsia" w:ascii="宋体" w:hAnsi="宋体" w:cs="宋体"/>
                <w:color w:val="000000"/>
                <w:sz w:val="20"/>
                <w:szCs w:val="20"/>
              </w:rPr>
              <w:t>许昌市工商业联合会</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rPr>
          <w:trHeight w:val="405" w:hRule="atLeast"/>
        </w:trPr>
        <w:tc>
          <w:tcPr>
            <w:tcW w:w="3639" w:type="dxa"/>
            <w:gridSpan w:val="4"/>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项 </w:t>
            </w:r>
            <w:r>
              <w:rPr>
                <w:rStyle w:val="13"/>
                <w:rFonts w:hint="default"/>
                <w:sz w:val="22"/>
                <w:szCs w:val="22"/>
                <w:lang w:bidi="ar"/>
              </w:rPr>
              <w:t xml:space="preserve">   </w:t>
            </w:r>
            <w:r>
              <w:rPr>
                <w:rStyle w:val="15"/>
                <w:rFonts w:hint="default"/>
                <w:sz w:val="22"/>
                <w:szCs w:val="22"/>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本年支出</w:t>
            </w:r>
          </w:p>
        </w:tc>
      </w:tr>
      <w:tr>
        <w:trPr>
          <w:trHeight w:val="495" w:hRule="atLeast"/>
        </w:trPr>
        <w:tc>
          <w:tcPr>
            <w:tcW w:w="1182"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功能分类</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科目编码</w:t>
            </w:r>
          </w:p>
        </w:tc>
        <w:tc>
          <w:tcPr>
            <w:tcW w:w="24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项目支出</w:t>
            </w:r>
          </w:p>
        </w:tc>
      </w:tr>
      <w:tr>
        <w:trPr>
          <w:trHeight w:val="360" w:hRule="atLeast"/>
        </w:trPr>
        <w:tc>
          <w:tcPr>
            <w:tcW w:w="1182"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rPr>
          <w:trHeight w:val="450" w:hRule="atLeast"/>
        </w:trPr>
        <w:tc>
          <w:tcPr>
            <w:tcW w:w="1182"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r>
      <w:tr>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b/>
                <w:bCs/>
                <w:color w:val="000000"/>
                <w:kern w:val="0"/>
                <w:sz w:val="22"/>
                <w:szCs w:val="22"/>
                <w:lang w:bidi="ar"/>
              </w:rPr>
              <w:t>237.62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b/>
                <w:bCs/>
                <w:color w:val="000000"/>
                <w:kern w:val="0"/>
                <w:sz w:val="22"/>
                <w:szCs w:val="22"/>
                <w:lang w:bidi="ar"/>
              </w:rPr>
              <w:t>237.62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c>
          <w:tcPr>
            <w:tcW w:w="2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190.89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190.89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20128</w:t>
            </w:r>
          </w:p>
        </w:tc>
        <w:tc>
          <w:tcPr>
            <w:tcW w:w="2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民主党派及工商联事务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189.99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189.99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2012801</w:t>
            </w:r>
          </w:p>
        </w:tc>
        <w:tc>
          <w:tcPr>
            <w:tcW w:w="2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行政运行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105.63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105.63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2012802</w:t>
            </w:r>
          </w:p>
        </w:tc>
        <w:tc>
          <w:tcPr>
            <w:tcW w:w="2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一般行政管理事务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2012899</w:t>
            </w:r>
          </w:p>
        </w:tc>
        <w:tc>
          <w:tcPr>
            <w:tcW w:w="2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其他民主党派及工商联事务支出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83.13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83.13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20129</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群众团体事务</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0.90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0.90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2012906</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工会事务</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0.90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0.90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社会保障和就业支出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35.39</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35.39</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20805</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行政事业单位养老支出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35.39</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35.39</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2080501</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行政单位离退休</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24.62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24.62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2080505</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10.77</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10.77</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210</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卫生健康支出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21011</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行政事业单位医疗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2101101</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行政单位医疗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5.71</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2101103</w:t>
            </w: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公务员医疗补助</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5.63</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5.63</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rPr>
          <w:trHeight w:val="450" w:hRule="atLeast"/>
        </w:trPr>
        <w:tc>
          <w:tcPr>
            <w:tcW w:w="1182"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245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rPr>
          <w:trHeight w:val="645" w:hRule="atLeast"/>
        </w:trPr>
        <w:tc>
          <w:tcPr>
            <w:tcW w:w="13988" w:type="dxa"/>
            <w:gridSpan w:val="7"/>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ar"/>
              </w:rPr>
              <w:t>部门</w:t>
            </w:r>
            <w:r>
              <w:rPr>
                <w:rFonts w:ascii="Arial" w:hAnsi="Arial" w:cs="Arial"/>
                <w:color w:val="000000"/>
                <w:kern w:val="0"/>
                <w:sz w:val="20"/>
                <w:szCs w:val="20"/>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hint="eastAsia" w:ascii="Arial" w:hAnsi="Arial" w:cs="Arial"/>
                <w:color w:val="000000"/>
                <w:sz w:val="20"/>
                <w:szCs w:val="20"/>
              </w:rPr>
              <w:t>许昌市工商业联合会</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188.99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16.46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77.69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3.39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20.21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56.77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10.77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0.16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5.73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5.82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0.12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3.16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10.40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0.85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0.75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32.17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1.10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32.17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rPr>
            </w:pPr>
          </w:p>
        </w:tc>
      </w:tr>
      <w:tr>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221.16</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16.46</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注：本表反映部门本年度一般公共预算财政拨款基本支出明细情况。本表金额转换为万元时，因四舍五入可能存在尾差。</w:t>
            </w:r>
          </w:p>
        </w:tc>
      </w:tr>
    </w:tbl>
    <w:p>
      <w:pPr>
        <w:rPr>
          <w:rFonts w:hint="eastAsia" w:asciiTheme="minorEastAsia" w:hAnsiTheme="minorEastAsia" w:eastAsiaTheme="minorEastAsia" w:cstheme="minorEastAsia"/>
          <w:sz w:val="22"/>
          <w:szCs w:val="2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部门：许昌市工商业联合会</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ordWrap w:val="0"/>
              <w:jc w:val="right"/>
              <w:rPr>
                <w:rFonts w:hint="default" w:ascii="宋体" w:hAnsi="宋体" w:eastAsia="宋体" w:cs="宋体"/>
                <w:color w:val="000000"/>
                <w:sz w:val="22"/>
                <w:szCs w:val="22"/>
                <w:lang w:val="en"/>
              </w:rPr>
            </w:pPr>
            <w:r>
              <w:rPr>
                <w:rFonts w:ascii="宋体" w:hAnsi="宋体" w:eastAsia="宋体" w:cs="宋体"/>
                <w:color w:val="000000"/>
                <w:sz w:val="22"/>
                <w:szCs w:val="22"/>
              </w:rPr>
              <w:t>4</w:t>
            </w:r>
            <w:r>
              <w:rPr>
                <w:rFonts w:hint="default" w:ascii="宋体" w:hAnsi="宋体" w:eastAsia="宋体" w:cs="宋体"/>
                <w:color w:val="000000"/>
                <w:sz w:val="22"/>
                <w:szCs w:val="22"/>
                <w:lang w:val="en"/>
              </w:rPr>
              <w:t>.35</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ordWrap w:val="0"/>
              <w:jc w:val="right"/>
              <w:rPr>
                <w:rFonts w:hint="eastAsia" w:ascii="宋体" w:hAnsi="宋体" w:eastAsia="宋体" w:cs="宋体"/>
                <w:color w:val="000000"/>
                <w:sz w:val="22"/>
                <w:szCs w:val="22"/>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lang w:val="en-US" w:eastAsia="zh-CN"/>
              </w:rPr>
            </w:pPr>
            <w:r>
              <w:rPr>
                <w:rFonts w:ascii="宋体" w:hAnsi="宋体" w:cs="宋体"/>
                <w:color w:val="000000"/>
                <w:sz w:val="22"/>
                <w:szCs w:val="22"/>
              </w:rPr>
              <w:t>4</w:t>
            </w:r>
            <w:r>
              <w:rPr>
                <w:rFonts w:hint="eastAsia" w:ascii="宋体" w:hAnsi="宋体" w:cs="宋体"/>
                <w:color w:val="000000"/>
                <w:sz w:val="22"/>
                <w:szCs w:val="22"/>
                <w:lang w:val="en-US" w:eastAsia="zh-CN"/>
              </w:rPr>
              <w:t>.00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ordWrap w:val="0"/>
              <w:jc w:val="right"/>
              <w:rPr>
                <w:rFonts w:hint="default" w:ascii="宋体" w:hAnsi="宋体" w:cs="宋体"/>
                <w:color w:val="000000"/>
                <w:sz w:val="22"/>
                <w:szCs w:val="22"/>
                <w:lang w:val="en"/>
              </w:rPr>
            </w:pPr>
            <w:r>
              <w:rPr>
                <w:rFonts w:ascii="宋体" w:hAnsi="宋体" w:eastAsia="宋体" w:cs="宋体"/>
                <w:color w:val="000000"/>
                <w:sz w:val="22"/>
                <w:szCs w:val="22"/>
              </w:rPr>
              <w:t>0.35</w:t>
            </w:r>
            <w:r>
              <w:rPr>
                <w:rFonts w:hint="default" w:ascii="宋体" w:hAnsi="宋体" w:eastAsia="宋体" w:cs="宋体"/>
                <w:color w:val="000000"/>
                <w:sz w:val="22"/>
                <w:szCs w:val="22"/>
                <w:lang w:val="en"/>
              </w:rPr>
              <w:t xml:space="preserve">   </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lang w:val="en-US" w:eastAsia="zh-CN"/>
              </w:rPr>
            </w:pPr>
            <w:r>
              <w:rPr>
                <w:rFonts w:ascii="宋体" w:hAnsi="宋体" w:cs="宋体"/>
                <w:color w:val="000000"/>
                <w:sz w:val="22"/>
                <w:szCs w:val="22"/>
              </w:rPr>
              <w:t>2.4</w:t>
            </w:r>
            <w:r>
              <w:rPr>
                <w:rFonts w:hint="eastAsia" w:ascii="宋体" w:hAnsi="宋体" w:cs="宋体"/>
                <w:color w:val="000000"/>
                <w:sz w:val="22"/>
                <w:szCs w:val="22"/>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lang w:val="en-US" w:eastAsia="zh-CN"/>
              </w:rPr>
            </w:pPr>
            <w:r>
              <w:rPr>
                <w:rFonts w:ascii="宋体" w:hAnsi="宋体" w:cs="宋体"/>
                <w:color w:val="000000"/>
                <w:sz w:val="22"/>
                <w:szCs w:val="22"/>
              </w:rPr>
              <w:t>2.4</w:t>
            </w:r>
            <w:r>
              <w:rPr>
                <w:rFonts w:hint="eastAsia" w:ascii="宋体" w:hAnsi="宋体" w:cs="宋体"/>
                <w:color w:val="000000"/>
                <w:sz w:val="22"/>
                <w:szCs w:val="22"/>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ascii="宋体" w:hAnsi="宋体" w:cs="宋体"/>
                <w:color w:val="000000"/>
                <w:sz w:val="22"/>
                <w:szCs w:val="22"/>
              </w:rPr>
            </w:pPr>
            <w:r>
              <w:rPr>
                <w:rFonts w:ascii="宋体" w:hAnsi="宋体" w:cs="宋体"/>
                <w:color w:val="000000"/>
                <w:sz w:val="22"/>
                <w:szCs w:val="22"/>
              </w:rPr>
              <w:t>2.4</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rPr>
            </w:pPr>
          </w:p>
        </w:tc>
      </w:tr>
      <w:tr>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部门：许昌市工商业联合会</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功能分类</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注：本表反映部门本年度政府性基金预算财政拨款收入、支出及结转和结余情况。</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说明：我部门没有政府性基金收入，也没有使用政府性基金安排的支出，故本表无数据。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highlight w:val="none"/>
        </w:rPr>
        <w:t>2021年度收、支总计均为237.62万元</w:t>
      </w:r>
      <w:r>
        <w:rPr>
          <w:rFonts w:hint="eastAsia" w:ascii="仿宋_GB2312" w:hAnsi="仿宋_GB2312" w:eastAsia="仿宋_GB2312"/>
          <w:sz w:val="32"/>
          <w:szCs w:val="24"/>
        </w:rPr>
        <w:t>。与上年度相比，收、支总计各减少14.20万元，</w:t>
      </w:r>
      <w:r>
        <w:rPr>
          <w:rFonts w:hint="eastAsia" w:ascii="仿宋_GB2312" w:hAnsi="仿宋_GB2312" w:eastAsia="仿宋_GB2312" w:cs="Times New Roman"/>
          <w:sz w:val="32"/>
          <w:szCs w:val="24"/>
        </w:rPr>
        <w:t>下降</w:t>
      </w:r>
      <w:r>
        <w:rPr>
          <w:rFonts w:hint="eastAsia" w:ascii="仿宋_GB2312" w:hAnsi="仿宋_GB2312" w:eastAsia="仿宋_GB2312" w:cs="Times New Roman"/>
          <w:sz w:val="32"/>
          <w:szCs w:val="24"/>
          <w:lang w:val="en-US" w:eastAsia="zh-CN"/>
        </w:rPr>
        <w:t>5.64</w:t>
      </w:r>
      <w:r>
        <w:rPr>
          <w:rFonts w:hint="eastAsia" w:ascii="仿宋_GB2312" w:hAnsi="仿宋_GB2312" w:eastAsia="仿宋_GB2312" w:cs="Times New Roman"/>
          <w:sz w:val="32"/>
          <w:szCs w:val="24"/>
        </w:rPr>
        <w:t>%。</w:t>
      </w:r>
      <w:r>
        <w:rPr>
          <w:rFonts w:hint="eastAsia" w:ascii="仿宋_GB2312" w:hAnsi="仿宋_GB2312" w:eastAsia="仿宋_GB2312"/>
          <w:sz w:val="32"/>
          <w:szCs w:val="24"/>
        </w:rPr>
        <w:t>主要原因是</w:t>
      </w:r>
      <w:r>
        <w:rPr>
          <w:rFonts w:hint="eastAsia" w:ascii="仿宋_GB2312" w:hAnsi="仿宋_GB2312" w:eastAsia="仿宋_GB2312"/>
          <w:sz w:val="32"/>
          <w:szCs w:val="24"/>
          <w:lang w:val="en-US" w:eastAsia="zh-CN"/>
        </w:rPr>
        <w:t>人员经费调整和厉行节约，严格经费管理</w:t>
      </w:r>
      <w:r>
        <w:rPr>
          <w:rFonts w:hint="eastAsia" w:ascii="仿宋_GB2312" w:hAnsi="仿宋_GB2312" w:eastAsia="仿宋_GB2312"/>
          <w:sz w:val="32"/>
          <w:szCs w:val="24"/>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sz w:val="32"/>
          <w:szCs w:val="24"/>
        </w:rPr>
        <w:t>2021年度</w:t>
      </w:r>
      <w:r>
        <w:rPr>
          <w:rFonts w:hint="eastAsia" w:ascii="仿宋_GB2312" w:hAnsi="仿宋_GB2312" w:eastAsia="仿宋_GB2312"/>
          <w:sz w:val="32"/>
          <w:szCs w:val="24"/>
          <w:highlight w:val="none"/>
        </w:rPr>
        <w:t>收入合计199.93万元，其中：财政拨款收入199.93</w:t>
      </w:r>
      <w:r>
        <w:rPr>
          <w:rFonts w:hint="eastAsia" w:ascii="仿宋_GB2312" w:hAnsi="仿宋_GB2312" w:eastAsia="仿宋_GB2312"/>
          <w:sz w:val="32"/>
          <w:szCs w:val="24"/>
        </w:rPr>
        <w:t>万元，占100%；上级补助收入0万元；事业收入0万元，；经营收入0万元；附属单位上缴收入0万元；其他收入0万元。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outlineLvl w:val="1"/>
        <w:rPr>
          <w:rFonts w:hint="eastAsia" w:ascii="仿宋_GB2312" w:hAnsi="仿宋_GB2312" w:eastAsia="仿宋_GB2312"/>
          <w:sz w:val="32"/>
          <w:szCs w:val="24"/>
        </w:rPr>
      </w:pPr>
      <w:r>
        <w:rPr>
          <w:rFonts w:hint="eastAsia" w:ascii="仿宋_GB2312" w:hAnsi="仿宋_GB2312" w:eastAsia="仿宋_GB2312"/>
          <w:sz w:val="32"/>
          <w:szCs w:val="24"/>
        </w:rPr>
        <w:t>2021年度支出合计237.62万元，其中：基本支出237.62万元，占100%；项目支出0万元；上缴上级支出0万元；经营支出0万元；对附属单位补助支出0万元。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outlineLvl w:val="1"/>
        <w:rPr>
          <w:rFonts w:hint="eastAsia" w:ascii="仿宋_GB2312" w:hAnsi="仿宋_GB2312" w:eastAsia="仿宋_GB2312"/>
          <w:sz w:val="32"/>
          <w:szCs w:val="24"/>
        </w:rPr>
      </w:pPr>
      <w:r>
        <w:rPr>
          <w:rFonts w:hint="eastAsia" w:ascii="仿宋_GB2312" w:hAnsi="仿宋_GB2312" w:eastAsia="仿宋_GB2312"/>
          <w:sz w:val="32"/>
          <w:szCs w:val="24"/>
        </w:rPr>
        <w:t>2021年度财政拨款收、支总计均为237.62万元。与上年度相比，财政拨款收、支总计各减少</w:t>
      </w:r>
      <w:r>
        <w:rPr>
          <w:rFonts w:hint="eastAsia" w:ascii="仿宋_GB2312" w:hAnsi="仿宋_GB2312" w:eastAsia="仿宋_GB2312"/>
          <w:sz w:val="32"/>
          <w:szCs w:val="24"/>
          <w:highlight w:val="none"/>
        </w:rPr>
        <w:t>14.2</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rPr>
        <w:t>万元，</w:t>
      </w:r>
      <w:r>
        <w:rPr>
          <w:rFonts w:hint="eastAsia" w:ascii="仿宋_GB2312" w:hAnsi="仿宋_GB2312" w:eastAsia="仿宋_GB2312" w:cs="Times New Roman"/>
          <w:sz w:val="32"/>
          <w:szCs w:val="24"/>
        </w:rPr>
        <w:t>下降</w:t>
      </w:r>
      <w:r>
        <w:rPr>
          <w:rFonts w:hint="eastAsia" w:ascii="仿宋_GB2312" w:hAnsi="仿宋_GB2312" w:eastAsia="仿宋_GB2312" w:cs="Times New Roman"/>
          <w:sz w:val="32"/>
          <w:szCs w:val="24"/>
          <w:lang w:val="en-US" w:eastAsia="zh-CN"/>
        </w:rPr>
        <w:t>5.64</w:t>
      </w:r>
      <w:r>
        <w:rPr>
          <w:rFonts w:hint="eastAsia" w:ascii="仿宋_GB2312" w:hAnsi="仿宋_GB2312" w:eastAsia="仿宋_GB2312" w:cs="Times New Roman"/>
          <w:sz w:val="32"/>
          <w:szCs w:val="24"/>
        </w:rPr>
        <w:t>%。</w:t>
      </w:r>
      <w:r>
        <w:rPr>
          <w:rFonts w:hint="eastAsia" w:ascii="仿宋_GB2312" w:hAnsi="仿宋_GB2312" w:eastAsia="仿宋_GB2312"/>
          <w:sz w:val="32"/>
          <w:szCs w:val="24"/>
        </w:rPr>
        <w:t>主要原因是</w:t>
      </w:r>
      <w:r>
        <w:rPr>
          <w:rFonts w:hint="eastAsia" w:ascii="仿宋_GB2312" w:hAnsi="仿宋_GB2312" w:eastAsia="仿宋_GB2312"/>
          <w:sz w:val="32"/>
          <w:szCs w:val="24"/>
          <w:lang w:val="en-US" w:eastAsia="zh-CN"/>
        </w:rPr>
        <w:t>人员经费调整和厉行节约，严格经费管理</w:t>
      </w:r>
      <w:r>
        <w:rPr>
          <w:rFonts w:hint="eastAsia" w:ascii="仿宋_GB2312" w:hAnsi="仿宋_GB2312" w:eastAsia="仿宋_GB2312"/>
          <w:sz w:val="32"/>
          <w:szCs w:val="24"/>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ascii="仿宋_GB2312" w:hAnsi="仿宋_GB2312" w:eastAsia="仿宋_GB2312" w:cs="仿宋_GB2312"/>
          <w:sz w:val="32"/>
          <w:szCs w:val="32"/>
          <w:highlight w:val="none"/>
        </w:rPr>
        <w:t>237.62</w:t>
      </w:r>
      <w:r>
        <w:rPr>
          <w:rFonts w:hint="eastAsia" w:ascii="仿宋_GB2312" w:hAnsi="仿宋_GB2312" w:eastAsia="仿宋_GB2312" w:cs="仿宋_GB2312"/>
          <w:sz w:val="32"/>
          <w:szCs w:val="32"/>
          <w:highlight w:val="none"/>
        </w:rPr>
        <w:t>万元，占支出合计的100%。与上年度相比，一般公共预算财政拨款支出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40.78万元，</w:t>
      </w:r>
      <w:r>
        <w:rPr>
          <w:rFonts w:hint="eastAsia" w:ascii="仿宋_GB2312" w:hAnsi="仿宋_GB2312" w:eastAsia="仿宋_GB2312" w:cs="仿宋_GB2312"/>
          <w:sz w:val="32"/>
          <w:szCs w:val="32"/>
          <w:highlight w:val="none"/>
          <w:lang w:eastAsia="zh-CN"/>
        </w:rPr>
        <w:t>上升</w:t>
      </w:r>
      <w:r>
        <w:rPr>
          <w:rFonts w:hint="eastAsia" w:ascii="仿宋_GB2312" w:hAnsi="仿宋_GB2312" w:eastAsia="仿宋_GB2312" w:cs="仿宋_GB2312"/>
          <w:sz w:val="32"/>
          <w:szCs w:val="32"/>
          <w:highlight w:val="none"/>
        </w:rPr>
        <w:t>20</w:t>
      </w:r>
      <w:r>
        <w:rPr>
          <w:rFonts w:ascii="仿宋_GB2312" w:hAnsi="仿宋_GB2312" w:eastAsia="仿宋_GB2312" w:cs="仿宋_GB2312"/>
          <w:sz w:val="32"/>
          <w:szCs w:val="32"/>
          <w:highlight w:val="none"/>
        </w:rPr>
        <w:t>.72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人员调整和严格经费管控，压缩不必要的开支</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sz w:val="32"/>
          <w:szCs w:val="24"/>
        </w:rPr>
        <w:t>2021年度一般公共预算财政拨款支出237.62万元，主要用于以下方面：</w:t>
      </w:r>
      <w:r>
        <w:rPr>
          <w:rFonts w:hint="eastAsia" w:ascii="仿宋_GB2312" w:hAnsi="仿宋_GB2312" w:eastAsia="仿宋_GB2312" w:cs="仿宋_GB2312"/>
          <w:sz w:val="32"/>
          <w:szCs w:val="32"/>
        </w:rPr>
        <w:t>一般公共服务（类）支出</w:t>
      </w:r>
      <w:r>
        <w:rPr>
          <w:rFonts w:ascii="仿宋_GB2312" w:hAnsi="仿宋_GB2312" w:eastAsia="仿宋_GB2312" w:cs="仿宋_GB2312"/>
          <w:sz w:val="32"/>
          <w:szCs w:val="32"/>
        </w:rPr>
        <w:t>190.89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80.33</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35.39</w:t>
      </w:r>
      <w:r>
        <w:rPr>
          <w:rFonts w:hint="eastAsia" w:ascii="仿宋_GB2312" w:hAnsi="仿宋_GB2312" w:eastAsia="仿宋_GB2312" w:cs="仿宋_GB2312"/>
          <w:sz w:val="32"/>
          <w:szCs w:val="32"/>
        </w:rPr>
        <w:t>万元，占14.</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%；卫生健康(类）支出</w:t>
      </w:r>
      <w:r>
        <w:rPr>
          <w:rFonts w:ascii="仿宋_GB2312" w:hAnsi="仿宋_GB2312" w:eastAsia="仿宋_GB2312" w:cs="仿宋_GB2312"/>
          <w:sz w:val="32"/>
          <w:szCs w:val="32"/>
        </w:rPr>
        <w:t>11.34</w:t>
      </w:r>
      <w:r>
        <w:rPr>
          <w:rFonts w:hint="eastAsia" w:ascii="仿宋_GB2312" w:hAnsi="仿宋_GB2312" w:eastAsia="仿宋_GB2312" w:cs="仿宋_GB2312"/>
          <w:sz w:val="32"/>
          <w:szCs w:val="32"/>
        </w:rPr>
        <w:t>万元，占4.</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spacing w:line="590" w:lineRule="exact"/>
        <w:ind w:firstLine="640"/>
        <w:rPr>
          <w:rFonts w:eastAsia="Times New Roman"/>
          <w:sz w:val="32"/>
          <w:szCs w:val="24"/>
        </w:rPr>
      </w:pPr>
      <w:r>
        <w:rPr>
          <w:rFonts w:hint="eastAsia" w:ascii="仿宋_GB2312" w:hAnsi="仿宋_GB2312" w:eastAsia="仿宋_GB2312"/>
          <w:sz w:val="32"/>
          <w:szCs w:val="24"/>
        </w:rPr>
        <w:t>2021年度一般公共预算财政拨款支出年初预算为215.71万元，支出决算为237.62万元，完成年初预算的110.16%。其中：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1．一般公共服务支出（类）民主党派及工商联事务（款）行政运行（项）。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44.46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105.63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37.5</w:t>
      </w:r>
      <w:r>
        <w:rPr>
          <w:rFonts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。决算数与年初预算数存在差异的主要原因是人员调整，经费变动。</w:t>
      </w:r>
    </w:p>
    <w:p>
      <w:pPr>
        <w:widowControl/>
        <w:spacing w:line="36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2.一般公共服务支出（类）民主党派及工商联事务（款）一般行政管理事务（项）。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1.24</w:t>
      </w:r>
      <w:r>
        <w:rPr>
          <w:rFonts w:hint="eastAsia" w:ascii="仿宋_GB2312" w:hAnsi="仿宋_GB2312" w:eastAsia="仿宋_GB2312" w:cs="仿宋_GB2312"/>
          <w:sz w:val="32"/>
          <w:szCs w:val="32"/>
        </w:rPr>
        <w:t>万元。决算数与年初预算数存在差异的主要原因是经费标准调整和人员职务调整。</w:t>
      </w:r>
    </w:p>
    <w:p>
      <w:pPr>
        <w:widowControl/>
        <w:spacing w:line="360" w:lineRule="auto"/>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3．一般公共服务支出（类）民主党派及工商联事务（款）其他民主党派及工商联事务支出（项）。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124.45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83.13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66.</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%。决算数与年初预算数存在差异的主要原因是经费标准调整和人员职务调整</w:t>
      </w:r>
      <w:r>
        <w:rPr>
          <w:rFonts w:hint="eastAsia" w:ascii="仿宋_GB2312" w:hAnsi="仿宋_GB2312" w:eastAsia="仿宋_GB2312" w:cs="仿宋_GB2312"/>
          <w:sz w:val="32"/>
          <w:szCs w:val="32"/>
          <w:lang w:eastAsia="zh-CN"/>
        </w:rPr>
        <w:t>。</w:t>
      </w:r>
    </w:p>
    <w:p>
      <w:pPr>
        <w:widowControl/>
        <w:spacing w:line="360" w:lineRule="auto"/>
        <w:ind w:firstLine="640" w:firstLineChars="200"/>
        <w:rPr>
          <w:rFonts w:hint="eastAsia" w:ascii="仿宋_GB2312" w:hAnsi="仿宋_GB2312" w:eastAsia="仿宋_GB2312" w:cs="仿宋_GB2312"/>
          <w:sz w:val="32"/>
          <w:szCs w:val="32"/>
        </w:rPr>
      </w:pPr>
    </w:p>
    <w:p>
      <w:pPr>
        <w:widowControl/>
        <w:spacing w:line="590" w:lineRule="exact"/>
        <w:ind w:firstLine="642"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年初预算为0.9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万元，支出决算为0.9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万元，完成年初预算的100%。决算数与年初预算数不存在差异。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．社会保障和就业支出（类）行政事业单位养老支出（款）行政单位离退休（项）。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24.53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24.62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highlight w:val="none"/>
          <w:lang w:val="en-US" w:eastAsia="zh-CN"/>
        </w:rPr>
        <w:t>100.3</w:t>
      </w:r>
      <w:r>
        <w:rPr>
          <w:rFonts w:hint="default" w:ascii="仿宋_GB2312" w:hAnsi="仿宋_GB2312" w:eastAsia="仿宋_GB2312" w:cs="仿宋_GB2312"/>
          <w:sz w:val="32"/>
          <w:szCs w:val="32"/>
          <w:highlight w:val="none"/>
          <w:lang w:val="en"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根据规定继续使用上</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结转资金</w:t>
      </w:r>
      <w:r>
        <w:rPr>
          <w:rFonts w:hint="eastAsia" w:ascii="仿宋_GB2312" w:hAnsi="仿宋_GB2312" w:eastAsia="仿宋_GB2312" w:cs="仿宋_GB2312"/>
          <w:sz w:val="32"/>
          <w:szCs w:val="32"/>
        </w:rPr>
        <w:t>弥补</w:t>
      </w:r>
      <w:r>
        <w:rPr>
          <w:rFonts w:hint="eastAsia" w:ascii="仿宋_GB2312" w:hAnsi="仿宋_GB2312" w:eastAsia="仿宋_GB2312" w:cs="仿宋_GB2312"/>
          <w:sz w:val="32"/>
          <w:szCs w:val="32"/>
          <w:lang w:val="en-US" w:eastAsia="zh-CN"/>
        </w:rPr>
        <w:t>预算差额</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年初预算为10.</w:t>
      </w:r>
      <w:r>
        <w:rPr>
          <w:rFonts w:ascii="仿宋_GB2312" w:hAnsi="仿宋_GB2312" w:eastAsia="仿宋_GB2312" w:cs="仿宋_GB2312"/>
          <w:sz w:val="32"/>
          <w:szCs w:val="32"/>
        </w:rPr>
        <w:t>77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10.77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5.43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5.71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105.16</w:t>
      </w:r>
      <w:r>
        <w:rPr>
          <w:rFonts w:hint="eastAsia" w:ascii="仿宋_GB2312" w:hAnsi="仿宋_GB2312" w:eastAsia="仿宋_GB2312" w:cs="仿宋_GB2312"/>
          <w:sz w:val="32"/>
          <w:szCs w:val="32"/>
        </w:rPr>
        <w:t>%。决算数与年初预算数存在差异的主要原因是基数调整。</w:t>
      </w:r>
    </w:p>
    <w:p>
      <w:pPr>
        <w:spacing w:line="590" w:lineRule="exact"/>
        <w:ind w:firstLine="640"/>
        <w:rPr>
          <w:rFonts w:hint="eastAsia" w:ascii="宋体" w:hAnsi="宋体"/>
          <w:kern w:val="0"/>
          <w:sz w:val="18"/>
          <w:szCs w:val="24"/>
          <w:lang w:val="zh-CN"/>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年初预算为5.</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5.63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108.90</w:t>
      </w:r>
      <w:r>
        <w:rPr>
          <w:rFonts w:hint="eastAsia" w:ascii="仿宋_GB2312" w:hAnsi="仿宋_GB2312" w:eastAsia="仿宋_GB2312" w:cs="仿宋_GB2312"/>
          <w:sz w:val="32"/>
          <w:szCs w:val="32"/>
        </w:rPr>
        <w:t>%。决算数与年初预算数存在差异的主要原因是人员调动和基数调整</w:t>
      </w:r>
      <w:r>
        <w:rPr>
          <w:rFonts w:hint="eastAsia" w:ascii="仿宋_GB2312" w:hAnsi="仿宋_GB2312" w:eastAsia="仿宋_GB2312"/>
          <w:sz w:val="32"/>
          <w:szCs w:val="24"/>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2021年度一般公共预算财政拨款基本支出237.62万元。其中：人员经费221.16万元，主要包括：基本工资、津贴补贴、奖金、机关事业单位基本养老保险缴费、</w:t>
      </w:r>
      <w:r>
        <w:rPr>
          <w:rFonts w:hint="eastAsia" w:ascii="仿宋_GB2312" w:hAnsi="仿宋_GB2312" w:eastAsia="仿宋_GB2312" w:cs="仿宋_GB2312"/>
          <w:sz w:val="32"/>
          <w:szCs w:val="32"/>
          <w:lang w:eastAsia="zh-CN"/>
        </w:rPr>
        <w:t>职工基本医疗保险缴费、公务员医疗补助缴费、</w:t>
      </w:r>
      <w:r>
        <w:rPr>
          <w:rFonts w:hint="eastAsia" w:ascii="仿宋_GB2312" w:hAnsi="仿宋_GB2312" w:eastAsia="仿宋_GB2312" w:cs="仿宋_GB2312"/>
          <w:sz w:val="32"/>
          <w:szCs w:val="32"/>
        </w:rPr>
        <w:t>住房公积金、医疗费、其他工资福利支出、退休费；公用经费16.46万元，主要包括：办公费、水费、邮电费、物业管理费、差旅费、会议费、培训费、工会经费、福利费、公务用车运行维护费、其他交通费用。</w:t>
      </w:r>
    </w:p>
    <w:p>
      <w:pPr>
        <w:widowControl/>
        <w:numPr>
          <w:ilvl w:val="0"/>
          <w:numId w:val="2"/>
        </w:numPr>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一般公共预算财政拨款“三公”经费支出决算情况说明</w:t>
      </w:r>
    </w:p>
    <w:p>
      <w:pPr>
        <w:widowControl/>
        <w:numPr>
          <w:ilvl w:val="0"/>
          <w:numId w:val="0"/>
        </w:numPr>
        <w:spacing w:line="590" w:lineRule="exact"/>
        <w:ind w:firstLine="642" w:firstLineChars="200"/>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ascii="仿宋_GB2312" w:hAnsi="仿宋_GB2312" w:eastAsia="仿宋_GB2312" w:cs="仿宋_GB2312"/>
          <w:sz w:val="32"/>
          <w:szCs w:val="32"/>
          <w:highlight w:val="none"/>
        </w:rPr>
        <w:t>4.</w:t>
      </w:r>
      <w:r>
        <w:rPr>
          <w:rFonts w:hint="default" w:ascii="仿宋_GB2312" w:hAnsi="仿宋_GB2312" w:eastAsia="仿宋_GB2312" w:cs="仿宋_GB2312"/>
          <w:sz w:val="32"/>
          <w:szCs w:val="32"/>
          <w:highlight w:val="none"/>
          <w:lang w:val="en"/>
        </w:rPr>
        <w:t>35</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0万元，完成预算的</w:t>
      </w:r>
      <w:r>
        <w:rPr>
          <w:rFonts w:hint="default" w:ascii="仿宋_GB2312" w:hAnsi="仿宋_GB2312" w:eastAsia="仿宋_GB2312" w:cs="仿宋_GB2312"/>
          <w:sz w:val="32"/>
          <w:szCs w:val="32"/>
          <w:highlight w:val="none"/>
          <w:lang w:val="en"/>
        </w:rPr>
        <w:t>55.17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年度“三公”经费支出决算数与预算数存在差异的主要原因是厉行节约，压缩不必要的开支。</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0万元，完成预算的</w:t>
      </w:r>
      <w:r>
        <w:rPr>
          <w:rFonts w:hint="default" w:ascii="仿宋_GB2312" w:hAnsi="仿宋_GB2312" w:eastAsia="仿宋_GB2312" w:cs="仿宋_GB2312"/>
          <w:sz w:val="32"/>
          <w:szCs w:val="32"/>
          <w:highlight w:val="none"/>
          <w:lang w:val="en"/>
        </w:rPr>
        <w:t>55.17</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%；公务接待费支出决算0万元，完成预算的0%，占0%。具体情况如下：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bookmarkStart w:id="0" w:name="_GoBack"/>
      <w:bookmarkEnd w:id="0"/>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0万元，完成预算的</w:t>
      </w:r>
      <w:r>
        <w:rPr>
          <w:rFonts w:hint="default" w:ascii="仿宋_GB2312" w:hAnsi="仿宋_GB2312" w:eastAsia="仿宋_GB2312" w:cs="仿宋_GB2312"/>
          <w:sz w:val="32"/>
          <w:szCs w:val="32"/>
          <w:lang w:val="en"/>
        </w:rPr>
        <w:t>60</w:t>
      </w:r>
      <w:r>
        <w:rPr>
          <w:rFonts w:hint="eastAsia" w:ascii="仿宋_GB2312" w:hAnsi="仿宋_GB2312" w:eastAsia="仿宋_GB2312" w:cs="仿宋_GB2312"/>
          <w:sz w:val="32"/>
          <w:szCs w:val="32"/>
        </w:rPr>
        <w:t>%。决算数与预算数存在差异的主要原因是厉行节约，压缩不必要的开支。其中：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0万元。主要用于车辆维修保养、路桥费、保险费。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highlight w:val="none"/>
        </w:rPr>
        <w:t>0.35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万元，完成预算的0%。决算数与预算数存在差异的主要原因是厉行节约，压缩不必要的开支。其中：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个、来访外宾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w:t>
      </w:r>
      <w:r>
        <w:rPr>
          <w:rFonts w:hint="eastAsia" w:ascii="仿宋_GB2312" w:hAnsi="仿宋_GB2312" w:eastAsia="仿宋_GB2312" w:cs="仿宋_GB2312"/>
          <w:sz w:val="32"/>
          <w:szCs w:val="32"/>
          <w:lang w:eastAsia="zh-CN"/>
        </w:rPr>
        <w:t>。情况说明：我部门</w:t>
      </w:r>
      <w:r>
        <w:rPr>
          <w:rFonts w:hint="eastAsia" w:ascii="仿宋_GB2312" w:hAnsi="仿宋_GB2312" w:eastAsia="仿宋_GB2312" w:cs="仿宋_GB2312"/>
          <w:sz w:val="32"/>
          <w:szCs w:val="32"/>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w:t>
      </w:r>
      <w:r>
        <w:rPr>
          <w:rFonts w:ascii="仿宋_GB2312" w:hAnsi="仿宋_GB2312" w:eastAsia="仿宋_GB2312" w:cs="仿宋_GB2312"/>
          <w:sz w:val="32"/>
          <w:szCs w:val="32"/>
        </w:rPr>
        <w:t>25.84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16.46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63.70</w:t>
      </w:r>
      <w:r>
        <w:rPr>
          <w:rFonts w:hint="eastAsia" w:ascii="仿宋_GB2312" w:hAnsi="仿宋_GB2312" w:eastAsia="仿宋_GB2312" w:cs="仿宋_GB2312"/>
          <w:sz w:val="32"/>
          <w:szCs w:val="32"/>
        </w:rPr>
        <w:t>%。决算数与年初预算数存在差异的主要原因是厉行节约，开源节流，减少不必要的支出。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辆，其中：省级领导干部用车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辆、执法执勤用车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辆、特种专业技术用车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辆、离退休干部用车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辆；单位价值50万元以上通用设备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台（套），单位价值100万元以上专用设备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481" w:firstLineChars="15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纳入预算绩效管理的支出总额为</w:t>
      </w:r>
      <w:r>
        <w:rPr>
          <w:rFonts w:ascii="仿宋_GB2312" w:hAnsi="仿宋_GB2312" w:eastAsia="仿宋_GB2312" w:cs="仿宋_GB2312"/>
          <w:sz w:val="32"/>
          <w:szCs w:val="32"/>
        </w:rPr>
        <w:t>237.62</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237.62</w:t>
      </w:r>
      <w:r>
        <w:rPr>
          <w:rFonts w:hint="eastAsia" w:ascii="仿宋_GB2312" w:hAnsi="仿宋_GB2312" w:eastAsia="仿宋_GB2312" w:cs="仿宋_GB2312"/>
          <w:sz w:val="32"/>
          <w:szCs w:val="32"/>
        </w:rPr>
        <w:t>万元；支出项目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个，支出金额0万元。开展项目绩效自评项目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个，自评金额0万元；纳入重点绩效评价</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个，评价金额0万元。</w:t>
      </w:r>
    </w:p>
    <w:p>
      <w:pPr>
        <w:widowControl/>
        <w:spacing w:line="360" w:lineRule="auto"/>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〕1号）等文件精神，我部门对本部门整体绩效目标和项目支出绩效目标进行了自评。一是部门整体绩效自评情况绩效评价有效落实，指导经费开支合规，经费管理使用合理。二是项目绩效自评情况。我部门共有</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个项目批复了绩效目标，项目资金0万元。</w:t>
      </w:r>
    </w:p>
    <w:p>
      <w:pPr>
        <w:widowControl/>
        <w:spacing w:line="360" w:lineRule="auto"/>
        <w:ind w:firstLine="481" w:firstLineChars="15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55A63"/>
    <w:multiLevelType w:val="singleLevel"/>
    <w:tmpl w:val="B0755A63"/>
    <w:lvl w:ilvl="0" w:tentative="0">
      <w:start w:val="7"/>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mEzMzc4Y2YyYzRlM2M4MTE1NGEwYmIzMjc3Nz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1D80"/>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5E6ABD"/>
    <w:rsid w:val="005F2140"/>
    <w:rsid w:val="00607D67"/>
    <w:rsid w:val="006228C4"/>
    <w:rsid w:val="00636C37"/>
    <w:rsid w:val="006512DD"/>
    <w:rsid w:val="00656BEF"/>
    <w:rsid w:val="00656D75"/>
    <w:rsid w:val="00657E86"/>
    <w:rsid w:val="00673EF7"/>
    <w:rsid w:val="006841E9"/>
    <w:rsid w:val="0069449E"/>
    <w:rsid w:val="0069498D"/>
    <w:rsid w:val="006C07F0"/>
    <w:rsid w:val="006C3A96"/>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56A98"/>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A1731"/>
    <w:rsid w:val="009B75AC"/>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1D66"/>
    <w:rsid w:val="00B249F3"/>
    <w:rsid w:val="00B649BE"/>
    <w:rsid w:val="00B653A5"/>
    <w:rsid w:val="00B710DD"/>
    <w:rsid w:val="00BD53C6"/>
    <w:rsid w:val="00BE174D"/>
    <w:rsid w:val="00BE5A85"/>
    <w:rsid w:val="00BF4E6A"/>
    <w:rsid w:val="00BF5718"/>
    <w:rsid w:val="00C13474"/>
    <w:rsid w:val="00C3106E"/>
    <w:rsid w:val="00C60609"/>
    <w:rsid w:val="00C95CC1"/>
    <w:rsid w:val="00CA3F44"/>
    <w:rsid w:val="00CB03ED"/>
    <w:rsid w:val="00CE212D"/>
    <w:rsid w:val="00CE4B38"/>
    <w:rsid w:val="00CF4950"/>
    <w:rsid w:val="00D1321A"/>
    <w:rsid w:val="00D30ADF"/>
    <w:rsid w:val="00D33CF8"/>
    <w:rsid w:val="00D6315E"/>
    <w:rsid w:val="00D652C2"/>
    <w:rsid w:val="00D74EE2"/>
    <w:rsid w:val="00D83E19"/>
    <w:rsid w:val="00D86CAD"/>
    <w:rsid w:val="00DA00C9"/>
    <w:rsid w:val="00DB200E"/>
    <w:rsid w:val="00DB65F5"/>
    <w:rsid w:val="00E01C3E"/>
    <w:rsid w:val="00E02149"/>
    <w:rsid w:val="00E13099"/>
    <w:rsid w:val="00E4339F"/>
    <w:rsid w:val="00E60B05"/>
    <w:rsid w:val="00E629EA"/>
    <w:rsid w:val="00E6777C"/>
    <w:rsid w:val="00EB05A3"/>
    <w:rsid w:val="00ED38B7"/>
    <w:rsid w:val="00EE051D"/>
    <w:rsid w:val="00F0131A"/>
    <w:rsid w:val="00F14C17"/>
    <w:rsid w:val="00F17041"/>
    <w:rsid w:val="00F218CF"/>
    <w:rsid w:val="00F44937"/>
    <w:rsid w:val="00F44D9E"/>
    <w:rsid w:val="00F61A47"/>
    <w:rsid w:val="00F84422"/>
    <w:rsid w:val="00F95455"/>
    <w:rsid w:val="00FA574D"/>
    <w:rsid w:val="00FC2588"/>
    <w:rsid w:val="00FE7AD9"/>
    <w:rsid w:val="01322275"/>
    <w:rsid w:val="01DC6F05"/>
    <w:rsid w:val="02A3489A"/>
    <w:rsid w:val="02CA138D"/>
    <w:rsid w:val="02CE4078"/>
    <w:rsid w:val="033646FC"/>
    <w:rsid w:val="03C75F80"/>
    <w:rsid w:val="0478364D"/>
    <w:rsid w:val="04B81729"/>
    <w:rsid w:val="053D4C0D"/>
    <w:rsid w:val="0557532E"/>
    <w:rsid w:val="066B7E3B"/>
    <w:rsid w:val="0799329C"/>
    <w:rsid w:val="08127A9B"/>
    <w:rsid w:val="08397436"/>
    <w:rsid w:val="086F16A7"/>
    <w:rsid w:val="0A0F7225"/>
    <w:rsid w:val="0A2B7D82"/>
    <w:rsid w:val="0ADC40E9"/>
    <w:rsid w:val="0AE607F4"/>
    <w:rsid w:val="0B386127"/>
    <w:rsid w:val="0B451598"/>
    <w:rsid w:val="0BEC73F4"/>
    <w:rsid w:val="0C392698"/>
    <w:rsid w:val="0CCF1DBB"/>
    <w:rsid w:val="10757E5D"/>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5E3FCA"/>
    <w:rsid w:val="1F67AA61"/>
    <w:rsid w:val="20210932"/>
    <w:rsid w:val="202448E0"/>
    <w:rsid w:val="20F614FE"/>
    <w:rsid w:val="21302EEA"/>
    <w:rsid w:val="22376FB5"/>
    <w:rsid w:val="22750198"/>
    <w:rsid w:val="23C1702E"/>
    <w:rsid w:val="23E152D7"/>
    <w:rsid w:val="23EE2489"/>
    <w:rsid w:val="23F411FA"/>
    <w:rsid w:val="255D43C8"/>
    <w:rsid w:val="26714EF8"/>
    <w:rsid w:val="26876BDD"/>
    <w:rsid w:val="2714632A"/>
    <w:rsid w:val="273829A9"/>
    <w:rsid w:val="27541E73"/>
    <w:rsid w:val="27B0539E"/>
    <w:rsid w:val="29365CF8"/>
    <w:rsid w:val="299469B3"/>
    <w:rsid w:val="2A805789"/>
    <w:rsid w:val="2ADC0D75"/>
    <w:rsid w:val="2B4A0E52"/>
    <w:rsid w:val="2C975890"/>
    <w:rsid w:val="2DEF21BB"/>
    <w:rsid w:val="2E4A2F05"/>
    <w:rsid w:val="2ECC1061"/>
    <w:rsid w:val="2F994916"/>
    <w:rsid w:val="2FA476AD"/>
    <w:rsid w:val="2FFE7885"/>
    <w:rsid w:val="303F7540"/>
    <w:rsid w:val="31DD00BF"/>
    <w:rsid w:val="3293174C"/>
    <w:rsid w:val="32BB38D4"/>
    <w:rsid w:val="32C9376D"/>
    <w:rsid w:val="33780472"/>
    <w:rsid w:val="33AF0905"/>
    <w:rsid w:val="33EFD699"/>
    <w:rsid w:val="355932F4"/>
    <w:rsid w:val="35611882"/>
    <w:rsid w:val="36746FC3"/>
    <w:rsid w:val="368763AE"/>
    <w:rsid w:val="376FB1CD"/>
    <w:rsid w:val="395D59E7"/>
    <w:rsid w:val="39A93932"/>
    <w:rsid w:val="3A915562"/>
    <w:rsid w:val="3AE60F0E"/>
    <w:rsid w:val="3B8D4765"/>
    <w:rsid w:val="3C000DBA"/>
    <w:rsid w:val="3DC045D3"/>
    <w:rsid w:val="3E344619"/>
    <w:rsid w:val="3E504FFB"/>
    <w:rsid w:val="3E615CD0"/>
    <w:rsid w:val="3E9C47F6"/>
    <w:rsid w:val="3F8B0112"/>
    <w:rsid w:val="3FAB3095"/>
    <w:rsid w:val="3FE45947"/>
    <w:rsid w:val="41242965"/>
    <w:rsid w:val="435671EA"/>
    <w:rsid w:val="440809E9"/>
    <w:rsid w:val="442407A6"/>
    <w:rsid w:val="44805EA1"/>
    <w:rsid w:val="44A21E9C"/>
    <w:rsid w:val="45710696"/>
    <w:rsid w:val="46142B1B"/>
    <w:rsid w:val="47E60DD0"/>
    <w:rsid w:val="48735039"/>
    <w:rsid w:val="492C684B"/>
    <w:rsid w:val="49500594"/>
    <w:rsid w:val="49E7604E"/>
    <w:rsid w:val="4B88507A"/>
    <w:rsid w:val="4BF67CDD"/>
    <w:rsid w:val="4D173441"/>
    <w:rsid w:val="4D603DD6"/>
    <w:rsid w:val="4E731095"/>
    <w:rsid w:val="4EBF010F"/>
    <w:rsid w:val="4F471EB0"/>
    <w:rsid w:val="4FEF911A"/>
    <w:rsid w:val="51331326"/>
    <w:rsid w:val="51740A7F"/>
    <w:rsid w:val="51A5541E"/>
    <w:rsid w:val="51C96242"/>
    <w:rsid w:val="52863B7B"/>
    <w:rsid w:val="53906AE1"/>
    <w:rsid w:val="54F46F60"/>
    <w:rsid w:val="55A37BEA"/>
    <w:rsid w:val="56362CD2"/>
    <w:rsid w:val="5784687B"/>
    <w:rsid w:val="57846959"/>
    <w:rsid w:val="578E6A87"/>
    <w:rsid w:val="5AC2203A"/>
    <w:rsid w:val="5CBB3334"/>
    <w:rsid w:val="5D115FAF"/>
    <w:rsid w:val="5DF9248C"/>
    <w:rsid w:val="5DFFAE8F"/>
    <w:rsid w:val="5EAF5ECD"/>
    <w:rsid w:val="5FFE499D"/>
    <w:rsid w:val="62811722"/>
    <w:rsid w:val="62E75A72"/>
    <w:rsid w:val="63514319"/>
    <w:rsid w:val="64571880"/>
    <w:rsid w:val="649125B6"/>
    <w:rsid w:val="652F4C1A"/>
    <w:rsid w:val="65701B2D"/>
    <w:rsid w:val="666D37F1"/>
    <w:rsid w:val="67087D8F"/>
    <w:rsid w:val="671F687E"/>
    <w:rsid w:val="67F415F8"/>
    <w:rsid w:val="682640D1"/>
    <w:rsid w:val="684B73E5"/>
    <w:rsid w:val="6A047A2A"/>
    <w:rsid w:val="6AE57055"/>
    <w:rsid w:val="6E7740AC"/>
    <w:rsid w:val="6EFB7548"/>
    <w:rsid w:val="6F3831C3"/>
    <w:rsid w:val="6F5BB1BD"/>
    <w:rsid w:val="6F8B71C1"/>
    <w:rsid w:val="6FE67322"/>
    <w:rsid w:val="70753482"/>
    <w:rsid w:val="707B522A"/>
    <w:rsid w:val="70FEE481"/>
    <w:rsid w:val="73194D05"/>
    <w:rsid w:val="73A83B0E"/>
    <w:rsid w:val="744D3EF9"/>
    <w:rsid w:val="74794411"/>
    <w:rsid w:val="75867C40"/>
    <w:rsid w:val="75B10B26"/>
    <w:rsid w:val="76432199"/>
    <w:rsid w:val="76F44829"/>
    <w:rsid w:val="77A267C0"/>
    <w:rsid w:val="77CF4D8A"/>
    <w:rsid w:val="77FE5126"/>
    <w:rsid w:val="78882278"/>
    <w:rsid w:val="78B118A6"/>
    <w:rsid w:val="79135044"/>
    <w:rsid w:val="7A7D0F99"/>
    <w:rsid w:val="7BFEC732"/>
    <w:rsid w:val="7BFF3AF5"/>
    <w:rsid w:val="7D97B497"/>
    <w:rsid w:val="7E4A0E7C"/>
    <w:rsid w:val="7EFD449D"/>
    <w:rsid w:val="7F7D4B20"/>
    <w:rsid w:val="7FEBADA0"/>
    <w:rsid w:val="7FF72788"/>
    <w:rsid w:val="7FFB1DFA"/>
    <w:rsid w:val="ADF77759"/>
    <w:rsid w:val="AFDDF812"/>
    <w:rsid w:val="B7ED5F72"/>
    <w:rsid w:val="BB9D490D"/>
    <w:rsid w:val="BF6E370A"/>
    <w:rsid w:val="BFDED14C"/>
    <w:rsid w:val="C75BE271"/>
    <w:rsid w:val="D353F9B0"/>
    <w:rsid w:val="D7F70DD2"/>
    <w:rsid w:val="DBA4C139"/>
    <w:rsid w:val="DFDF3BD8"/>
    <w:rsid w:val="EF948D44"/>
    <w:rsid w:val="FCEE2594"/>
    <w:rsid w:val="FF77B249"/>
    <w:rsid w:val="FF7F30D9"/>
    <w:rsid w:val="FF9B2A2A"/>
    <w:rsid w:val="FFDFB5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MS User</Company>
  <Pages>31</Pages>
  <Words>7413</Words>
  <Characters>8959</Characters>
  <Lines>1</Lines>
  <Paragraphs>1</Paragraphs>
  <TotalTime>354</TotalTime>
  <ScaleCrop>false</ScaleCrop>
  <LinksUpToDate>false</LinksUpToDate>
  <CharactersWithSpaces>9315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2007-12-02T11:41:00Z</dcterms:created>
  <dc:creator>管理者</dc:creator>
  <cp:lastModifiedBy>huanghe</cp:lastModifiedBy>
  <cp:lastPrinted>2023-02-16T17:39:00Z</cp:lastPrinted>
  <dcterms:modified xsi:type="dcterms:W3CDTF">2023-05-12T09:13:42Z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4B36F633154744C4BDB1632E57FE5D22_13</vt:lpwstr>
  </property>
</Properties>
</file>