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许昌春秋楼文物管理处</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许昌春秋楼文物管理处</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许昌春秋楼文物管理处概况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1、加强对文物本体春秋楼（含文庙）的保护和研究，传承和弘扬历史文化遗产。</w:t>
        <w:br/>
        <w:t xml:space="preserve">    2、主要承担文物保护职能，负责春秋楼管理与文物保护工作。</w:t>
        <w:br/>
        <w:t xml:space="preserve">    3、依托文物资源对外参观服务，促进许昌经济文化发展。</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许昌春秋楼文物管理处</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办公室、后勤保卫科、社务一科、社务二科、市场科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许昌春秋楼文物管理处</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许昌春秋楼文物管理处、许昌市灞陵桥文物管理处合并为许昌市文物保护利用中心，许昌春秋楼文物管理处仍以原单位公开单位决算，单位分别各自编报许昌春秋楼文物管理处、许昌市灞陵桥文物管理处两个单位的文本。</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许昌春秋楼文物管理处</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316.98</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269.90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45.34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11.92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13.52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316.98</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340.69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23.71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340.69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340.69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316.98</w:t>
            </w:r>
          </w:p>
        </w:tc>
        <w:tc>
          <w:tcPr>
            <w:tcW w:w="1440" w:type="dxa"/>
            <w:tcBorders/>
            <w:vAlign w:val="center"/>
          </w:tcPr>
          <w:p>
            <w:pPr>
              <w:jc w:val="right"/>
            </w:pPr>
            <w:r>
              <w:rPr>
                <w:rFonts w:ascii="宋体" w:eastAsia="宋体" w:hAnsi="宋体" w:cs="宋体"/>
                <w:b/>
                <w:i w:val="0"/>
                <w:color w:val="000000"/>
                <w:sz w:val="17"/>
              </w:rPr>
              <w:t xml:space="preserve">316.98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246.19</w:t>
            </w:r>
          </w:p>
        </w:tc>
        <w:tc>
          <w:tcPr>
            <w:tcW w:w="1440" w:type="dxa"/>
            <w:tcBorders/>
            <w:vAlign w:val="center"/>
          </w:tcPr>
          <w:p>
            <w:pPr>
              <w:jc w:val="right"/>
            </w:pPr>
            <w:r>
              <w:rPr>
                <w:rFonts w:ascii="宋体" w:eastAsia="宋体" w:hAnsi="宋体" w:cs="宋体"/>
                <w:b w:val="0"/>
                <w:i w:val="0"/>
                <w:color w:val="000000"/>
                <w:sz w:val="17"/>
              </w:rPr>
              <w:t xml:space="preserve">246.19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其他文化和旅游支出</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文物</w:t>
            </w:r>
          </w:p>
        </w:tc>
        <w:tc>
          <w:tcPr>
            <w:tcW w:w="1440" w:type="dxa"/>
            <w:tcBorders/>
            <w:vAlign w:val="center"/>
          </w:tcPr>
          <w:p>
            <w:pPr>
              <w:jc w:val="right"/>
            </w:pPr>
            <w:r>
              <w:rPr>
                <w:rFonts w:ascii="宋体" w:eastAsia="宋体" w:hAnsi="宋体" w:cs="宋体"/>
                <w:b w:val="0"/>
                <w:i w:val="0"/>
                <w:color w:val="000000"/>
                <w:sz w:val="17"/>
              </w:rPr>
              <w:t xml:space="preserve">236.19</w:t>
            </w:r>
          </w:p>
        </w:tc>
        <w:tc>
          <w:tcPr>
            <w:tcW w:w="1440" w:type="dxa"/>
            <w:tcBorders/>
            <w:vAlign w:val="center"/>
          </w:tcPr>
          <w:p>
            <w:pPr>
              <w:jc w:val="right"/>
            </w:pPr>
            <w:r>
              <w:rPr>
                <w:rFonts w:ascii="宋体" w:eastAsia="宋体" w:hAnsi="宋体" w:cs="宋体"/>
                <w:b w:val="0"/>
                <w:i w:val="0"/>
                <w:color w:val="000000"/>
                <w:sz w:val="17"/>
              </w:rPr>
              <w:t xml:space="preserve">236.19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文物保护</w:t>
            </w:r>
          </w:p>
        </w:tc>
        <w:tc>
          <w:tcPr>
            <w:tcW w:w="1440" w:type="dxa"/>
            <w:tcBorders/>
            <w:vAlign w:val="center"/>
          </w:tcPr>
          <w:p>
            <w:pPr>
              <w:jc w:val="right"/>
            </w:pPr>
            <w:r>
              <w:rPr>
                <w:rFonts w:ascii="宋体" w:eastAsia="宋体" w:hAnsi="宋体" w:cs="宋体"/>
                <w:b w:val="0"/>
                <w:i w:val="0"/>
                <w:color w:val="000000"/>
                <w:sz w:val="17"/>
              </w:rPr>
              <w:t xml:space="preserve">236.19</w:t>
            </w:r>
          </w:p>
        </w:tc>
        <w:tc>
          <w:tcPr>
            <w:tcW w:w="1440" w:type="dxa"/>
            <w:tcBorders/>
            <w:vAlign w:val="center"/>
          </w:tcPr>
          <w:p>
            <w:pPr>
              <w:jc w:val="right"/>
            </w:pPr>
            <w:r>
              <w:rPr>
                <w:rFonts w:ascii="宋体" w:eastAsia="宋体" w:hAnsi="宋体" w:cs="宋体"/>
                <w:b w:val="0"/>
                <w:i w:val="0"/>
                <w:color w:val="000000"/>
                <w:sz w:val="17"/>
              </w:rPr>
              <w:t xml:space="preserve">236.19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45.34</w:t>
            </w:r>
          </w:p>
        </w:tc>
        <w:tc>
          <w:tcPr>
            <w:tcW w:w="1440" w:type="dxa"/>
            <w:tcBorders/>
            <w:vAlign w:val="center"/>
          </w:tcPr>
          <w:p>
            <w:pPr>
              <w:jc w:val="right"/>
            </w:pPr>
            <w:r>
              <w:rPr>
                <w:rFonts w:ascii="宋体" w:eastAsia="宋体" w:hAnsi="宋体" w:cs="宋体"/>
                <w:b w:val="0"/>
                <w:i w:val="0"/>
                <w:color w:val="000000"/>
                <w:sz w:val="17"/>
              </w:rPr>
              <w:t xml:space="preserve">45.34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45.34</w:t>
            </w:r>
          </w:p>
        </w:tc>
        <w:tc>
          <w:tcPr>
            <w:tcW w:w="1440" w:type="dxa"/>
            <w:tcBorders/>
            <w:vAlign w:val="center"/>
          </w:tcPr>
          <w:p>
            <w:pPr>
              <w:jc w:val="right"/>
            </w:pPr>
            <w:r>
              <w:rPr>
                <w:rFonts w:ascii="宋体" w:eastAsia="宋体" w:hAnsi="宋体" w:cs="宋体"/>
                <w:b w:val="0"/>
                <w:i w:val="0"/>
                <w:color w:val="000000"/>
                <w:sz w:val="17"/>
              </w:rPr>
              <w:t xml:space="preserve">45.34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13.83</w:t>
            </w:r>
          </w:p>
        </w:tc>
        <w:tc>
          <w:tcPr>
            <w:tcW w:w="1440" w:type="dxa"/>
            <w:tcBorders/>
            <w:vAlign w:val="center"/>
          </w:tcPr>
          <w:p>
            <w:pPr>
              <w:jc w:val="right"/>
            </w:pPr>
            <w:r>
              <w:rPr>
                <w:rFonts w:ascii="宋体" w:eastAsia="宋体" w:hAnsi="宋体" w:cs="宋体"/>
                <w:b w:val="0"/>
                <w:i w:val="0"/>
                <w:color w:val="000000"/>
                <w:sz w:val="17"/>
              </w:rPr>
              <w:t xml:space="preserve">13.83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26.01</w:t>
            </w:r>
          </w:p>
        </w:tc>
        <w:tc>
          <w:tcPr>
            <w:tcW w:w="1440" w:type="dxa"/>
            <w:tcBorders/>
            <w:vAlign w:val="center"/>
          </w:tcPr>
          <w:p>
            <w:pPr>
              <w:jc w:val="right"/>
            </w:pPr>
            <w:r>
              <w:rPr>
                <w:rFonts w:ascii="宋体" w:eastAsia="宋体" w:hAnsi="宋体" w:cs="宋体"/>
                <w:b w:val="0"/>
                <w:i w:val="0"/>
                <w:color w:val="000000"/>
                <w:sz w:val="17"/>
              </w:rPr>
              <w:t xml:space="preserve">26.01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机关事业单位职业年金缴费支出</w:t>
            </w:r>
          </w:p>
        </w:tc>
        <w:tc>
          <w:tcPr>
            <w:tcW w:w="1440" w:type="dxa"/>
            <w:tcBorders/>
            <w:vAlign w:val="center"/>
          </w:tcPr>
          <w:p>
            <w:pPr>
              <w:jc w:val="right"/>
            </w:pPr>
            <w:r>
              <w:rPr>
                <w:rFonts w:ascii="宋体" w:eastAsia="宋体" w:hAnsi="宋体" w:cs="宋体"/>
                <w:b w:val="0"/>
                <w:i w:val="0"/>
                <w:color w:val="000000"/>
                <w:sz w:val="17"/>
              </w:rPr>
              <w:t xml:space="preserve">5.50</w:t>
            </w:r>
          </w:p>
        </w:tc>
        <w:tc>
          <w:tcPr>
            <w:tcW w:w="1440" w:type="dxa"/>
            <w:tcBorders/>
            <w:vAlign w:val="center"/>
          </w:tcPr>
          <w:p>
            <w:pPr>
              <w:jc w:val="right"/>
            </w:pPr>
            <w:r>
              <w:rPr>
                <w:rFonts w:ascii="宋体" w:eastAsia="宋体" w:hAnsi="宋体" w:cs="宋体"/>
                <w:b w:val="0"/>
                <w:i w:val="0"/>
                <w:color w:val="000000"/>
                <w:sz w:val="17"/>
              </w:rPr>
              <w:t xml:space="preserve">5.50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11.92</w:t>
            </w:r>
          </w:p>
        </w:tc>
        <w:tc>
          <w:tcPr>
            <w:tcW w:w="1440" w:type="dxa"/>
            <w:tcBorders/>
            <w:vAlign w:val="center"/>
          </w:tcPr>
          <w:p>
            <w:pPr>
              <w:jc w:val="right"/>
            </w:pPr>
            <w:r>
              <w:rPr>
                <w:rFonts w:ascii="宋体" w:eastAsia="宋体" w:hAnsi="宋体" w:cs="宋体"/>
                <w:b w:val="0"/>
                <w:i w:val="0"/>
                <w:color w:val="000000"/>
                <w:sz w:val="17"/>
              </w:rPr>
              <w:t xml:space="preserve">11.92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11.92</w:t>
            </w:r>
          </w:p>
        </w:tc>
        <w:tc>
          <w:tcPr>
            <w:tcW w:w="1440" w:type="dxa"/>
            <w:tcBorders/>
            <w:vAlign w:val="center"/>
          </w:tcPr>
          <w:p>
            <w:pPr>
              <w:jc w:val="right"/>
            </w:pPr>
            <w:r>
              <w:rPr>
                <w:rFonts w:ascii="宋体" w:eastAsia="宋体" w:hAnsi="宋体" w:cs="宋体"/>
                <w:b w:val="0"/>
                <w:i w:val="0"/>
                <w:color w:val="000000"/>
                <w:sz w:val="17"/>
              </w:rPr>
              <w:t xml:space="preserve">11.92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11.92</w:t>
            </w:r>
          </w:p>
        </w:tc>
        <w:tc>
          <w:tcPr>
            <w:tcW w:w="1440" w:type="dxa"/>
            <w:tcBorders/>
            <w:vAlign w:val="center"/>
          </w:tcPr>
          <w:p>
            <w:pPr>
              <w:jc w:val="right"/>
            </w:pPr>
            <w:r>
              <w:rPr>
                <w:rFonts w:ascii="宋体" w:eastAsia="宋体" w:hAnsi="宋体" w:cs="宋体"/>
                <w:b w:val="0"/>
                <w:i w:val="0"/>
                <w:color w:val="000000"/>
                <w:sz w:val="17"/>
              </w:rPr>
              <w:t xml:space="preserve">11.92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13.52</w:t>
            </w:r>
          </w:p>
        </w:tc>
        <w:tc>
          <w:tcPr>
            <w:tcW w:w="1440" w:type="dxa"/>
            <w:tcBorders/>
            <w:vAlign w:val="center"/>
          </w:tcPr>
          <w:p>
            <w:pPr>
              <w:jc w:val="right"/>
            </w:pPr>
            <w:r>
              <w:rPr>
                <w:rFonts w:ascii="宋体" w:eastAsia="宋体" w:hAnsi="宋体" w:cs="宋体"/>
                <w:b w:val="0"/>
                <w:i w:val="0"/>
                <w:color w:val="000000"/>
                <w:sz w:val="17"/>
              </w:rPr>
              <w:t xml:space="preserve">13.52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13.52</w:t>
            </w:r>
          </w:p>
        </w:tc>
        <w:tc>
          <w:tcPr>
            <w:tcW w:w="1440" w:type="dxa"/>
            <w:tcBorders/>
            <w:vAlign w:val="center"/>
          </w:tcPr>
          <w:p>
            <w:pPr>
              <w:jc w:val="right"/>
            </w:pPr>
            <w:r>
              <w:rPr>
                <w:rFonts w:ascii="宋体" w:eastAsia="宋体" w:hAnsi="宋体" w:cs="宋体"/>
                <w:b w:val="0"/>
                <w:i w:val="0"/>
                <w:color w:val="000000"/>
                <w:sz w:val="17"/>
              </w:rPr>
              <w:t xml:space="preserve">13.52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13.52</w:t>
            </w:r>
          </w:p>
        </w:tc>
        <w:tc>
          <w:tcPr>
            <w:tcW w:w="1440" w:type="dxa"/>
            <w:tcBorders/>
            <w:vAlign w:val="center"/>
          </w:tcPr>
          <w:p>
            <w:pPr>
              <w:jc w:val="right"/>
            </w:pPr>
            <w:r>
              <w:rPr>
                <w:rFonts w:ascii="宋体" w:eastAsia="宋体" w:hAnsi="宋体" w:cs="宋体"/>
                <w:b w:val="0"/>
                <w:i w:val="0"/>
                <w:color w:val="000000"/>
                <w:sz w:val="17"/>
              </w:rPr>
              <w:t xml:space="preserve">13.52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340.69</w:t>
            </w:r>
          </w:p>
        </w:tc>
        <w:tc>
          <w:tcPr>
            <w:tcW w:w="1600" w:type="dxa"/>
            <w:tcBorders/>
            <w:vAlign w:val="center"/>
          </w:tcPr>
          <w:p>
            <w:pPr>
              <w:jc w:val="right"/>
            </w:pPr>
            <w:r>
              <w:rPr>
                <w:rFonts w:ascii="宋体" w:eastAsia="宋体" w:hAnsi="宋体" w:cs="宋体"/>
                <w:b/>
                <w:i w:val="0"/>
                <w:color w:val="000000"/>
                <w:sz w:val="19"/>
              </w:rPr>
              <w:t xml:space="preserve">283.27</w:t>
            </w:r>
          </w:p>
        </w:tc>
        <w:tc>
          <w:tcPr>
            <w:tcW w:w="1600" w:type="dxa"/>
            <w:tcBorders/>
            <w:vAlign w:val="center"/>
          </w:tcPr>
          <w:p>
            <w:pPr>
              <w:jc w:val="right"/>
            </w:pPr>
            <w:r>
              <w:rPr>
                <w:rFonts w:ascii="宋体" w:eastAsia="宋体" w:hAnsi="宋体" w:cs="宋体"/>
                <w:b/>
                <w:i w:val="0"/>
                <w:color w:val="000000"/>
                <w:sz w:val="19"/>
              </w:rPr>
              <w:t xml:space="preserve">57.42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269.90</w:t>
            </w:r>
          </w:p>
        </w:tc>
        <w:tc>
          <w:tcPr>
            <w:tcW w:w="1600" w:type="dxa"/>
            <w:tcBorders/>
            <w:vAlign w:val="center"/>
          </w:tcPr>
          <w:p>
            <w:pPr>
              <w:jc w:val="right"/>
            </w:pPr>
            <w:r>
              <w:rPr>
                <w:rFonts w:ascii="宋体" w:eastAsia="宋体" w:hAnsi="宋体" w:cs="宋体"/>
                <w:b w:val="0"/>
                <w:i w:val="0"/>
                <w:color w:val="000000"/>
                <w:sz w:val="19"/>
              </w:rPr>
              <w:t xml:space="preserve">212.48</w:t>
            </w:r>
          </w:p>
        </w:tc>
        <w:tc>
          <w:tcPr>
            <w:tcW w:w="1600" w:type="dxa"/>
            <w:tcBorders/>
            <w:vAlign w:val="center"/>
          </w:tcPr>
          <w:p>
            <w:pPr>
              <w:jc w:val="right"/>
            </w:pPr>
            <w:r>
              <w:rPr>
                <w:rFonts w:ascii="宋体" w:eastAsia="宋体" w:hAnsi="宋体" w:cs="宋体"/>
                <w:b w:val="0"/>
                <w:i w:val="0"/>
                <w:color w:val="000000"/>
                <w:sz w:val="19"/>
              </w:rPr>
              <w:t xml:space="preserve">57.42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w:t>
            </w:r>
          </w:p>
        </w:tc>
        <w:tc>
          <w:tcPr>
            <w:tcW w:w="1600" w:type="dxa"/>
            <w:tcBorders/>
            <w:vAlign w:val="center"/>
          </w:tcPr>
          <w:p>
            <w:pPr>
              <w:jc w:val="right"/>
            </w:pPr>
            <w:r>
              <w:rPr>
                <w:rFonts w:ascii="宋体" w:eastAsia="宋体" w:hAnsi="宋体" w:cs="宋体"/>
                <w:b w:val="0"/>
                <w:i w:val="0"/>
                <w:color w:val="000000"/>
                <w:sz w:val="19"/>
              </w:rPr>
              <w:t xml:space="preserve">33.71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其他文化和旅游支出</w:t>
            </w:r>
          </w:p>
        </w:tc>
        <w:tc>
          <w:tcPr>
            <w:tcW w:w="1600" w:type="dxa"/>
            <w:tcBorders/>
            <w:vAlign w:val="center"/>
          </w:tcPr>
          <w:p>
            <w:pPr>
              <w:jc w:val="right"/>
            </w:pPr>
            <w:r>
              <w:rPr>
                <w:rFonts w:ascii="宋体" w:eastAsia="宋体" w:hAnsi="宋体" w:cs="宋体"/>
                <w:b w:val="0"/>
                <w:i w:val="0"/>
                <w:color w:val="000000"/>
                <w:sz w:val="19"/>
              </w:rPr>
              <w:t xml:space="preserve">33.71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文物</w:t>
            </w:r>
          </w:p>
        </w:tc>
        <w:tc>
          <w:tcPr>
            <w:tcW w:w="1600" w:type="dxa"/>
            <w:tcBorders/>
            <w:vAlign w:val="center"/>
          </w:tcPr>
          <w:p>
            <w:pPr>
              <w:jc w:val="right"/>
            </w:pPr>
            <w:r>
              <w:rPr>
                <w:rFonts w:ascii="宋体" w:eastAsia="宋体" w:hAnsi="宋体" w:cs="宋体"/>
                <w:b w:val="0"/>
                <w:i w:val="0"/>
                <w:color w:val="000000"/>
                <w:sz w:val="19"/>
              </w:rPr>
              <w:t xml:space="preserve">236.19</w:t>
            </w:r>
          </w:p>
        </w:tc>
        <w:tc>
          <w:tcPr>
            <w:tcW w:w="1600" w:type="dxa"/>
            <w:tcBorders/>
            <w:vAlign w:val="center"/>
          </w:tcPr>
          <w:p>
            <w:pPr>
              <w:jc w:val="right"/>
            </w:pPr>
            <w:r>
              <w:rPr>
                <w:rFonts w:ascii="宋体" w:eastAsia="宋体" w:hAnsi="宋体" w:cs="宋体"/>
                <w:b w:val="0"/>
                <w:i w:val="0"/>
                <w:color w:val="000000"/>
                <w:sz w:val="19"/>
              </w:rPr>
              <w:t xml:space="preserve">212.48</w:t>
            </w:r>
          </w:p>
        </w:tc>
        <w:tc>
          <w:tcPr>
            <w:tcW w:w="1600" w:type="dxa"/>
            <w:tcBorders/>
            <w:vAlign w:val="center"/>
          </w:tcPr>
          <w:p>
            <w:pPr>
              <w:jc w:val="right"/>
            </w:pPr>
            <w:r>
              <w:rPr>
                <w:rFonts w:ascii="宋体" w:eastAsia="宋体" w:hAnsi="宋体" w:cs="宋体"/>
                <w:b w:val="0"/>
                <w:i w:val="0"/>
                <w:color w:val="000000"/>
                <w:sz w:val="19"/>
              </w:rPr>
              <w:t xml:space="preserve">23.71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文物保护</w:t>
            </w:r>
          </w:p>
        </w:tc>
        <w:tc>
          <w:tcPr>
            <w:tcW w:w="1600" w:type="dxa"/>
            <w:tcBorders/>
            <w:vAlign w:val="center"/>
          </w:tcPr>
          <w:p>
            <w:pPr>
              <w:jc w:val="right"/>
            </w:pPr>
            <w:r>
              <w:rPr>
                <w:rFonts w:ascii="宋体" w:eastAsia="宋体" w:hAnsi="宋体" w:cs="宋体"/>
                <w:b w:val="0"/>
                <w:i w:val="0"/>
                <w:color w:val="000000"/>
                <w:sz w:val="19"/>
              </w:rPr>
              <w:t xml:space="preserve">236.19</w:t>
            </w:r>
          </w:p>
        </w:tc>
        <w:tc>
          <w:tcPr>
            <w:tcW w:w="1600" w:type="dxa"/>
            <w:tcBorders/>
            <w:vAlign w:val="center"/>
          </w:tcPr>
          <w:p>
            <w:pPr>
              <w:jc w:val="right"/>
            </w:pPr>
            <w:r>
              <w:rPr>
                <w:rFonts w:ascii="宋体" w:eastAsia="宋体" w:hAnsi="宋体" w:cs="宋体"/>
                <w:b w:val="0"/>
                <w:i w:val="0"/>
                <w:color w:val="000000"/>
                <w:sz w:val="19"/>
              </w:rPr>
              <w:t xml:space="preserve">212.48</w:t>
            </w:r>
          </w:p>
        </w:tc>
        <w:tc>
          <w:tcPr>
            <w:tcW w:w="1600" w:type="dxa"/>
            <w:tcBorders/>
            <w:vAlign w:val="center"/>
          </w:tcPr>
          <w:p>
            <w:pPr>
              <w:jc w:val="right"/>
            </w:pPr>
            <w:r>
              <w:rPr>
                <w:rFonts w:ascii="宋体" w:eastAsia="宋体" w:hAnsi="宋体" w:cs="宋体"/>
                <w:b w:val="0"/>
                <w:i w:val="0"/>
                <w:color w:val="000000"/>
                <w:sz w:val="19"/>
              </w:rPr>
              <w:t xml:space="preserve">23.71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45.34</w:t>
            </w:r>
          </w:p>
        </w:tc>
        <w:tc>
          <w:tcPr>
            <w:tcW w:w="1600" w:type="dxa"/>
            <w:tcBorders/>
            <w:vAlign w:val="center"/>
          </w:tcPr>
          <w:p>
            <w:pPr>
              <w:jc w:val="right"/>
            </w:pPr>
            <w:r>
              <w:rPr>
                <w:rFonts w:ascii="宋体" w:eastAsia="宋体" w:hAnsi="宋体" w:cs="宋体"/>
                <w:b w:val="0"/>
                <w:i w:val="0"/>
                <w:color w:val="000000"/>
                <w:sz w:val="19"/>
              </w:rPr>
              <w:t xml:space="preserve">45.34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45.34</w:t>
            </w:r>
          </w:p>
        </w:tc>
        <w:tc>
          <w:tcPr>
            <w:tcW w:w="1600" w:type="dxa"/>
            <w:tcBorders/>
            <w:vAlign w:val="center"/>
          </w:tcPr>
          <w:p>
            <w:pPr>
              <w:jc w:val="right"/>
            </w:pPr>
            <w:r>
              <w:rPr>
                <w:rFonts w:ascii="宋体" w:eastAsia="宋体" w:hAnsi="宋体" w:cs="宋体"/>
                <w:b w:val="0"/>
                <w:i w:val="0"/>
                <w:color w:val="000000"/>
                <w:sz w:val="19"/>
              </w:rPr>
              <w:t xml:space="preserve">45.34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13.83</w:t>
            </w:r>
          </w:p>
        </w:tc>
        <w:tc>
          <w:tcPr>
            <w:tcW w:w="1600" w:type="dxa"/>
            <w:tcBorders/>
            <w:vAlign w:val="center"/>
          </w:tcPr>
          <w:p>
            <w:pPr>
              <w:jc w:val="right"/>
            </w:pPr>
            <w:r>
              <w:rPr>
                <w:rFonts w:ascii="宋体" w:eastAsia="宋体" w:hAnsi="宋体" w:cs="宋体"/>
                <w:b w:val="0"/>
                <w:i w:val="0"/>
                <w:color w:val="000000"/>
                <w:sz w:val="19"/>
              </w:rPr>
              <w:t xml:space="preserve">13.83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26.01</w:t>
            </w:r>
          </w:p>
        </w:tc>
        <w:tc>
          <w:tcPr>
            <w:tcW w:w="1600" w:type="dxa"/>
            <w:tcBorders/>
            <w:vAlign w:val="center"/>
          </w:tcPr>
          <w:p>
            <w:pPr>
              <w:jc w:val="right"/>
            </w:pPr>
            <w:r>
              <w:rPr>
                <w:rFonts w:ascii="宋体" w:eastAsia="宋体" w:hAnsi="宋体" w:cs="宋体"/>
                <w:b w:val="0"/>
                <w:i w:val="0"/>
                <w:color w:val="000000"/>
                <w:sz w:val="19"/>
              </w:rPr>
              <w:t xml:space="preserve">26.01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机关事业单位职业年金缴费支出</w:t>
            </w:r>
          </w:p>
        </w:tc>
        <w:tc>
          <w:tcPr>
            <w:tcW w:w="1600" w:type="dxa"/>
            <w:tcBorders/>
            <w:vAlign w:val="center"/>
          </w:tcPr>
          <w:p>
            <w:pPr>
              <w:jc w:val="right"/>
            </w:pPr>
            <w:r>
              <w:rPr>
                <w:rFonts w:ascii="宋体" w:eastAsia="宋体" w:hAnsi="宋体" w:cs="宋体"/>
                <w:b w:val="0"/>
                <w:i w:val="0"/>
                <w:color w:val="000000"/>
                <w:sz w:val="19"/>
              </w:rPr>
              <w:t xml:space="preserve">5.50</w:t>
            </w:r>
          </w:p>
        </w:tc>
        <w:tc>
          <w:tcPr>
            <w:tcW w:w="1600" w:type="dxa"/>
            <w:tcBorders/>
            <w:vAlign w:val="center"/>
          </w:tcPr>
          <w:p>
            <w:pPr>
              <w:jc w:val="right"/>
            </w:pPr>
            <w:r>
              <w:rPr>
                <w:rFonts w:ascii="宋体" w:eastAsia="宋体" w:hAnsi="宋体" w:cs="宋体"/>
                <w:b w:val="0"/>
                <w:i w:val="0"/>
                <w:color w:val="000000"/>
                <w:sz w:val="19"/>
              </w:rPr>
              <w:t xml:space="preserve">5.50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11.92</w:t>
            </w:r>
          </w:p>
        </w:tc>
        <w:tc>
          <w:tcPr>
            <w:tcW w:w="1600" w:type="dxa"/>
            <w:tcBorders/>
            <w:vAlign w:val="center"/>
          </w:tcPr>
          <w:p>
            <w:pPr>
              <w:jc w:val="right"/>
            </w:pPr>
            <w:r>
              <w:rPr>
                <w:rFonts w:ascii="宋体" w:eastAsia="宋体" w:hAnsi="宋体" w:cs="宋体"/>
                <w:b w:val="0"/>
                <w:i w:val="0"/>
                <w:color w:val="000000"/>
                <w:sz w:val="19"/>
              </w:rPr>
              <w:t xml:space="preserve">11.92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11.92</w:t>
            </w:r>
          </w:p>
        </w:tc>
        <w:tc>
          <w:tcPr>
            <w:tcW w:w="1600" w:type="dxa"/>
            <w:tcBorders/>
            <w:vAlign w:val="center"/>
          </w:tcPr>
          <w:p>
            <w:pPr>
              <w:jc w:val="right"/>
            </w:pPr>
            <w:r>
              <w:rPr>
                <w:rFonts w:ascii="宋体" w:eastAsia="宋体" w:hAnsi="宋体" w:cs="宋体"/>
                <w:b w:val="0"/>
                <w:i w:val="0"/>
                <w:color w:val="000000"/>
                <w:sz w:val="19"/>
              </w:rPr>
              <w:t xml:space="preserve">11.92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11.92</w:t>
            </w:r>
          </w:p>
        </w:tc>
        <w:tc>
          <w:tcPr>
            <w:tcW w:w="1600" w:type="dxa"/>
            <w:tcBorders/>
            <w:vAlign w:val="center"/>
          </w:tcPr>
          <w:p>
            <w:pPr>
              <w:jc w:val="right"/>
            </w:pPr>
            <w:r>
              <w:rPr>
                <w:rFonts w:ascii="宋体" w:eastAsia="宋体" w:hAnsi="宋体" w:cs="宋体"/>
                <w:b w:val="0"/>
                <w:i w:val="0"/>
                <w:color w:val="000000"/>
                <w:sz w:val="19"/>
              </w:rPr>
              <w:t xml:space="preserve">11.92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13.52</w:t>
            </w:r>
          </w:p>
        </w:tc>
        <w:tc>
          <w:tcPr>
            <w:tcW w:w="1600" w:type="dxa"/>
            <w:tcBorders/>
            <w:vAlign w:val="center"/>
          </w:tcPr>
          <w:p>
            <w:pPr>
              <w:jc w:val="right"/>
            </w:pPr>
            <w:r>
              <w:rPr>
                <w:rFonts w:ascii="宋体" w:eastAsia="宋体" w:hAnsi="宋体" w:cs="宋体"/>
                <w:b w:val="0"/>
                <w:i w:val="0"/>
                <w:color w:val="000000"/>
                <w:sz w:val="19"/>
              </w:rPr>
              <w:t xml:space="preserve">13.52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13.52</w:t>
            </w:r>
          </w:p>
        </w:tc>
        <w:tc>
          <w:tcPr>
            <w:tcW w:w="1600" w:type="dxa"/>
            <w:tcBorders/>
            <w:vAlign w:val="center"/>
          </w:tcPr>
          <w:p>
            <w:pPr>
              <w:jc w:val="right"/>
            </w:pPr>
            <w:r>
              <w:rPr>
                <w:rFonts w:ascii="宋体" w:eastAsia="宋体" w:hAnsi="宋体" w:cs="宋体"/>
                <w:b w:val="0"/>
                <w:i w:val="0"/>
                <w:color w:val="000000"/>
                <w:sz w:val="19"/>
              </w:rPr>
              <w:t xml:space="preserve">13.52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13.52</w:t>
            </w:r>
          </w:p>
        </w:tc>
        <w:tc>
          <w:tcPr>
            <w:tcW w:w="1600" w:type="dxa"/>
            <w:tcBorders/>
            <w:vAlign w:val="center"/>
          </w:tcPr>
          <w:p>
            <w:pPr>
              <w:jc w:val="right"/>
            </w:pPr>
            <w:r>
              <w:rPr>
                <w:rFonts w:ascii="宋体" w:eastAsia="宋体" w:hAnsi="宋体" w:cs="宋体"/>
                <w:b w:val="0"/>
                <w:i w:val="0"/>
                <w:color w:val="000000"/>
                <w:sz w:val="19"/>
              </w:rPr>
              <w:t xml:space="preserve">13.52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316.98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269.90</w:t>
            </w:r>
          </w:p>
        </w:tc>
        <w:tc>
          <w:tcPr>
            <w:tcW w:w="1420" w:type="dxa"/>
            <w:tcBorders/>
            <w:vAlign w:val="center"/>
          </w:tcPr>
          <w:p>
            <w:pPr>
              <w:jc w:val="right"/>
            </w:pPr>
            <w:r>
              <w:rPr>
                <w:rFonts w:ascii="宋体" w:eastAsia="宋体" w:hAnsi="宋体" w:cs="宋体"/>
                <w:b w:val="0"/>
                <w:i w:val="0"/>
                <w:color w:val="000000"/>
                <w:sz w:val="18"/>
              </w:rPr>
              <w:t xml:space="preserve">269.90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45.34</w:t>
            </w:r>
          </w:p>
        </w:tc>
        <w:tc>
          <w:tcPr>
            <w:tcW w:w="1420" w:type="dxa"/>
            <w:tcBorders/>
            <w:vAlign w:val="center"/>
          </w:tcPr>
          <w:p>
            <w:pPr>
              <w:jc w:val="right"/>
            </w:pPr>
            <w:r>
              <w:rPr>
                <w:rFonts w:ascii="宋体" w:eastAsia="宋体" w:hAnsi="宋体" w:cs="宋体"/>
                <w:b w:val="0"/>
                <w:i w:val="0"/>
                <w:color w:val="000000"/>
                <w:sz w:val="18"/>
              </w:rPr>
              <w:t xml:space="preserve">45.34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11.92</w:t>
            </w:r>
          </w:p>
        </w:tc>
        <w:tc>
          <w:tcPr>
            <w:tcW w:w="1420" w:type="dxa"/>
            <w:tcBorders/>
            <w:vAlign w:val="center"/>
          </w:tcPr>
          <w:p>
            <w:pPr>
              <w:jc w:val="right"/>
            </w:pPr>
            <w:r>
              <w:rPr>
                <w:rFonts w:ascii="宋体" w:eastAsia="宋体" w:hAnsi="宋体" w:cs="宋体"/>
                <w:b w:val="0"/>
                <w:i w:val="0"/>
                <w:color w:val="000000"/>
                <w:sz w:val="18"/>
              </w:rPr>
              <w:t xml:space="preserve">11.92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13.52</w:t>
            </w:r>
          </w:p>
        </w:tc>
        <w:tc>
          <w:tcPr>
            <w:tcW w:w="1420" w:type="dxa"/>
            <w:tcBorders/>
            <w:vAlign w:val="center"/>
          </w:tcPr>
          <w:p>
            <w:pPr>
              <w:jc w:val="right"/>
            </w:pPr>
            <w:r>
              <w:rPr>
                <w:rFonts w:ascii="宋体" w:eastAsia="宋体" w:hAnsi="宋体" w:cs="宋体"/>
                <w:b w:val="0"/>
                <w:i w:val="0"/>
                <w:color w:val="000000"/>
                <w:sz w:val="18"/>
              </w:rPr>
              <w:t xml:space="preserve">13.52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316.98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340.69</w:t>
            </w:r>
          </w:p>
        </w:tc>
        <w:tc>
          <w:tcPr>
            <w:tcW w:w="1420" w:type="dxa"/>
            <w:tcBorders/>
            <w:vAlign w:val="center"/>
          </w:tcPr>
          <w:p>
            <w:pPr>
              <w:jc w:val="right"/>
            </w:pPr>
            <w:r>
              <w:rPr>
                <w:rFonts w:ascii="宋体" w:eastAsia="宋体" w:hAnsi="宋体" w:cs="宋体"/>
                <w:b w:val="0"/>
                <w:i w:val="0"/>
                <w:color w:val="000000"/>
                <w:sz w:val="18"/>
              </w:rPr>
              <w:t xml:space="preserve">340.69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23.71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23.71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340.69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340.69</w:t>
            </w:r>
          </w:p>
        </w:tc>
        <w:tc>
          <w:tcPr>
            <w:tcW w:w="1420" w:type="dxa"/>
            <w:tcBorders/>
            <w:vAlign w:val="center"/>
          </w:tcPr>
          <w:p>
            <w:pPr>
              <w:jc w:val="right"/>
            </w:pPr>
            <w:r>
              <w:rPr>
                <w:rFonts w:ascii="宋体" w:eastAsia="宋体" w:hAnsi="宋体" w:cs="宋体"/>
                <w:b w:val="0"/>
                <w:i w:val="0"/>
                <w:color w:val="000000"/>
                <w:sz w:val="18"/>
              </w:rPr>
              <w:t xml:space="preserve">340.69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340.69</w:t>
            </w:r>
          </w:p>
        </w:tc>
        <w:tc>
          <w:tcPr>
            <w:tcW w:w="2700" w:type="dxa"/>
            <w:tcBorders/>
            <w:vAlign w:val="center"/>
          </w:tcPr>
          <w:p>
            <w:pPr>
              <w:jc w:val="right"/>
            </w:pPr>
            <w:r>
              <w:rPr>
                <w:rFonts w:ascii="宋体" w:eastAsia="宋体" w:hAnsi="宋体" w:cs="宋体"/>
                <w:b/>
                <w:i w:val="0"/>
                <w:color w:val="000000"/>
                <w:sz w:val="25"/>
              </w:rPr>
              <w:t xml:space="preserve">283.27</w:t>
            </w:r>
          </w:p>
        </w:tc>
        <w:tc>
          <w:tcPr>
            <w:tcW w:w="2658" w:type="dxa"/>
            <w:tcBorders/>
            <w:vAlign w:val="center"/>
          </w:tcPr>
          <w:p>
            <w:pPr>
              <w:jc w:val="right"/>
            </w:pPr>
            <w:r>
              <w:rPr>
                <w:rFonts w:ascii="宋体" w:eastAsia="宋体" w:hAnsi="宋体" w:cs="宋体"/>
                <w:b/>
                <w:i w:val="0"/>
                <w:color w:val="000000"/>
                <w:sz w:val="25"/>
              </w:rPr>
              <w:t xml:space="preserve">57.42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269.90</w:t>
            </w:r>
          </w:p>
        </w:tc>
        <w:tc>
          <w:tcPr>
            <w:tcW w:w="2700" w:type="dxa"/>
            <w:tcBorders/>
            <w:vAlign w:val="center"/>
          </w:tcPr>
          <w:p>
            <w:pPr>
              <w:jc w:val="right"/>
            </w:pPr>
            <w:r>
              <w:rPr>
                <w:rFonts w:ascii="宋体" w:eastAsia="宋体" w:hAnsi="宋体" w:cs="宋体"/>
                <w:b w:val="0"/>
                <w:i w:val="0"/>
                <w:color w:val="000000"/>
                <w:sz w:val="25"/>
              </w:rPr>
              <w:t xml:space="preserve">212.48</w:t>
            </w:r>
          </w:p>
        </w:tc>
        <w:tc>
          <w:tcPr>
            <w:tcW w:w="2658" w:type="dxa"/>
            <w:tcBorders/>
            <w:vAlign w:val="center"/>
          </w:tcPr>
          <w:p>
            <w:pPr>
              <w:jc w:val="right"/>
            </w:pPr>
            <w:r>
              <w:rPr>
                <w:rFonts w:ascii="宋体" w:eastAsia="宋体" w:hAnsi="宋体" w:cs="宋体"/>
                <w:b w:val="0"/>
                <w:i w:val="0"/>
                <w:color w:val="000000"/>
                <w:sz w:val="25"/>
              </w:rPr>
              <w:t xml:space="preserve">57.42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w:t>
            </w:r>
          </w:p>
        </w:tc>
        <w:tc>
          <w:tcPr>
            <w:tcW w:w="2700" w:type="dxa"/>
            <w:tcBorders/>
            <w:vAlign w:val="center"/>
          </w:tcPr>
          <w:p>
            <w:pPr>
              <w:jc w:val="right"/>
            </w:pPr>
            <w:r>
              <w:rPr>
                <w:rFonts w:ascii="宋体" w:eastAsia="宋体" w:hAnsi="宋体" w:cs="宋体"/>
                <w:b w:val="0"/>
                <w:i w:val="0"/>
                <w:color w:val="000000"/>
                <w:sz w:val="25"/>
              </w:rPr>
              <w:t xml:space="preserve">33.71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33.71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其他文化和旅游支出</w:t>
            </w:r>
          </w:p>
        </w:tc>
        <w:tc>
          <w:tcPr>
            <w:tcW w:w="2700" w:type="dxa"/>
            <w:tcBorders/>
            <w:vAlign w:val="center"/>
          </w:tcPr>
          <w:p>
            <w:pPr>
              <w:jc w:val="right"/>
            </w:pPr>
            <w:r>
              <w:rPr>
                <w:rFonts w:ascii="宋体" w:eastAsia="宋体" w:hAnsi="宋体" w:cs="宋体"/>
                <w:b w:val="0"/>
                <w:i w:val="0"/>
                <w:color w:val="000000"/>
                <w:sz w:val="25"/>
              </w:rPr>
              <w:t xml:space="preserve">33.71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33.71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文物</w:t>
            </w:r>
          </w:p>
        </w:tc>
        <w:tc>
          <w:tcPr>
            <w:tcW w:w="2700" w:type="dxa"/>
            <w:tcBorders/>
            <w:vAlign w:val="center"/>
          </w:tcPr>
          <w:p>
            <w:pPr>
              <w:jc w:val="right"/>
            </w:pPr>
            <w:r>
              <w:rPr>
                <w:rFonts w:ascii="宋体" w:eastAsia="宋体" w:hAnsi="宋体" w:cs="宋体"/>
                <w:b w:val="0"/>
                <w:i w:val="0"/>
                <w:color w:val="000000"/>
                <w:sz w:val="25"/>
              </w:rPr>
              <w:t xml:space="preserve">236.19</w:t>
            </w:r>
          </w:p>
        </w:tc>
        <w:tc>
          <w:tcPr>
            <w:tcW w:w="2700" w:type="dxa"/>
            <w:tcBorders/>
            <w:vAlign w:val="center"/>
          </w:tcPr>
          <w:p>
            <w:pPr>
              <w:jc w:val="right"/>
            </w:pPr>
            <w:r>
              <w:rPr>
                <w:rFonts w:ascii="宋体" w:eastAsia="宋体" w:hAnsi="宋体" w:cs="宋体"/>
                <w:b w:val="0"/>
                <w:i w:val="0"/>
                <w:color w:val="000000"/>
                <w:sz w:val="25"/>
              </w:rPr>
              <w:t xml:space="preserve">212.48</w:t>
            </w:r>
          </w:p>
        </w:tc>
        <w:tc>
          <w:tcPr>
            <w:tcW w:w="2658" w:type="dxa"/>
            <w:tcBorders/>
            <w:vAlign w:val="center"/>
          </w:tcPr>
          <w:p>
            <w:pPr>
              <w:jc w:val="right"/>
            </w:pPr>
            <w:r>
              <w:rPr>
                <w:rFonts w:ascii="宋体" w:eastAsia="宋体" w:hAnsi="宋体" w:cs="宋体"/>
                <w:b w:val="0"/>
                <w:i w:val="0"/>
                <w:color w:val="000000"/>
                <w:sz w:val="25"/>
              </w:rPr>
              <w:t xml:space="preserve">23.71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文物保护</w:t>
            </w:r>
          </w:p>
        </w:tc>
        <w:tc>
          <w:tcPr>
            <w:tcW w:w="2700" w:type="dxa"/>
            <w:tcBorders/>
            <w:vAlign w:val="center"/>
          </w:tcPr>
          <w:p>
            <w:pPr>
              <w:jc w:val="right"/>
            </w:pPr>
            <w:r>
              <w:rPr>
                <w:rFonts w:ascii="宋体" w:eastAsia="宋体" w:hAnsi="宋体" w:cs="宋体"/>
                <w:b w:val="0"/>
                <w:i w:val="0"/>
                <w:color w:val="000000"/>
                <w:sz w:val="25"/>
              </w:rPr>
              <w:t xml:space="preserve">236.19</w:t>
            </w:r>
          </w:p>
        </w:tc>
        <w:tc>
          <w:tcPr>
            <w:tcW w:w="2700" w:type="dxa"/>
            <w:tcBorders/>
            <w:vAlign w:val="center"/>
          </w:tcPr>
          <w:p>
            <w:pPr>
              <w:jc w:val="right"/>
            </w:pPr>
            <w:r>
              <w:rPr>
                <w:rFonts w:ascii="宋体" w:eastAsia="宋体" w:hAnsi="宋体" w:cs="宋体"/>
                <w:b w:val="0"/>
                <w:i w:val="0"/>
                <w:color w:val="000000"/>
                <w:sz w:val="25"/>
              </w:rPr>
              <w:t xml:space="preserve">212.48</w:t>
            </w:r>
          </w:p>
        </w:tc>
        <w:tc>
          <w:tcPr>
            <w:tcW w:w="2658" w:type="dxa"/>
            <w:tcBorders/>
            <w:vAlign w:val="center"/>
          </w:tcPr>
          <w:p>
            <w:pPr>
              <w:jc w:val="right"/>
            </w:pPr>
            <w:r>
              <w:rPr>
                <w:rFonts w:ascii="宋体" w:eastAsia="宋体" w:hAnsi="宋体" w:cs="宋体"/>
                <w:b w:val="0"/>
                <w:i w:val="0"/>
                <w:color w:val="000000"/>
                <w:sz w:val="25"/>
              </w:rPr>
              <w:t xml:space="preserve">23.71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45.34</w:t>
            </w:r>
          </w:p>
        </w:tc>
        <w:tc>
          <w:tcPr>
            <w:tcW w:w="2700" w:type="dxa"/>
            <w:tcBorders/>
            <w:vAlign w:val="center"/>
          </w:tcPr>
          <w:p>
            <w:pPr>
              <w:jc w:val="right"/>
            </w:pPr>
            <w:r>
              <w:rPr>
                <w:rFonts w:ascii="宋体" w:eastAsia="宋体" w:hAnsi="宋体" w:cs="宋体"/>
                <w:b w:val="0"/>
                <w:i w:val="0"/>
                <w:color w:val="000000"/>
                <w:sz w:val="25"/>
              </w:rPr>
              <w:t xml:space="preserve">45.34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45.34</w:t>
            </w:r>
          </w:p>
        </w:tc>
        <w:tc>
          <w:tcPr>
            <w:tcW w:w="2700" w:type="dxa"/>
            <w:tcBorders/>
            <w:vAlign w:val="center"/>
          </w:tcPr>
          <w:p>
            <w:pPr>
              <w:jc w:val="right"/>
            </w:pPr>
            <w:r>
              <w:rPr>
                <w:rFonts w:ascii="宋体" w:eastAsia="宋体" w:hAnsi="宋体" w:cs="宋体"/>
                <w:b w:val="0"/>
                <w:i w:val="0"/>
                <w:color w:val="000000"/>
                <w:sz w:val="25"/>
              </w:rPr>
              <w:t xml:space="preserve">45.34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13.83</w:t>
            </w:r>
          </w:p>
        </w:tc>
        <w:tc>
          <w:tcPr>
            <w:tcW w:w="2700" w:type="dxa"/>
            <w:tcBorders/>
            <w:vAlign w:val="center"/>
          </w:tcPr>
          <w:p>
            <w:pPr>
              <w:jc w:val="right"/>
            </w:pPr>
            <w:r>
              <w:rPr>
                <w:rFonts w:ascii="宋体" w:eastAsia="宋体" w:hAnsi="宋体" w:cs="宋体"/>
                <w:b w:val="0"/>
                <w:i w:val="0"/>
                <w:color w:val="000000"/>
                <w:sz w:val="25"/>
              </w:rPr>
              <w:t xml:space="preserve">13.83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26.01</w:t>
            </w:r>
          </w:p>
        </w:tc>
        <w:tc>
          <w:tcPr>
            <w:tcW w:w="2700" w:type="dxa"/>
            <w:tcBorders/>
            <w:vAlign w:val="center"/>
          </w:tcPr>
          <w:p>
            <w:pPr>
              <w:jc w:val="right"/>
            </w:pPr>
            <w:r>
              <w:rPr>
                <w:rFonts w:ascii="宋体" w:eastAsia="宋体" w:hAnsi="宋体" w:cs="宋体"/>
                <w:b w:val="0"/>
                <w:i w:val="0"/>
                <w:color w:val="000000"/>
                <w:sz w:val="25"/>
              </w:rPr>
              <w:t xml:space="preserve">26.01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机关事业单位职业年金缴费支出</w:t>
            </w:r>
          </w:p>
        </w:tc>
        <w:tc>
          <w:tcPr>
            <w:tcW w:w="2700" w:type="dxa"/>
            <w:tcBorders/>
            <w:vAlign w:val="center"/>
          </w:tcPr>
          <w:p>
            <w:pPr>
              <w:jc w:val="right"/>
            </w:pPr>
            <w:r>
              <w:rPr>
                <w:rFonts w:ascii="宋体" w:eastAsia="宋体" w:hAnsi="宋体" w:cs="宋体"/>
                <w:b w:val="0"/>
                <w:i w:val="0"/>
                <w:color w:val="000000"/>
                <w:sz w:val="25"/>
              </w:rPr>
              <w:t xml:space="preserve">5.50</w:t>
            </w:r>
          </w:p>
        </w:tc>
        <w:tc>
          <w:tcPr>
            <w:tcW w:w="2700" w:type="dxa"/>
            <w:tcBorders/>
            <w:vAlign w:val="center"/>
          </w:tcPr>
          <w:p>
            <w:pPr>
              <w:jc w:val="right"/>
            </w:pPr>
            <w:r>
              <w:rPr>
                <w:rFonts w:ascii="宋体" w:eastAsia="宋体" w:hAnsi="宋体" w:cs="宋体"/>
                <w:b w:val="0"/>
                <w:i w:val="0"/>
                <w:color w:val="000000"/>
                <w:sz w:val="25"/>
              </w:rPr>
              <w:t xml:space="preserve">5.50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11.92</w:t>
            </w:r>
          </w:p>
        </w:tc>
        <w:tc>
          <w:tcPr>
            <w:tcW w:w="2700" w:type="dxa"/>
            <w:tcBorders/>
            <w:vAlign w:val="center"/>
          </w:tcPr>
          <w:p>
            <w:pPr>
              <w:jc w:val="right"/>
            </w:pPr>
            <w:r>
              <w:rPr>
                <w:rFonts w:ascii="宋体" w:eastAsia="宋体" w:hAnsi="宋体" w:cs="宋体"/>
                <w:b w:val="0"/>
                <w:i w:val="0"/>
                <w:color w:val="000000"/>
                <w:sz w:val="25"/>
              </w:rPr>
              <w:t xml:space="preserve">11.92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11.92</w:t>
            </w:r>
          </w:p>
        </w:tc>
        <w:tc>
          <w:tcPr>
            <w:tcW w:w="2700" w:type="dxa"/>
            <w:tcBorders/>
            <w:vAlign w:val="center"/>
          </w:tcPr>
          <w:p>
            <w:pPr>
              <w:jc w:val="right"/>
            </w:pPr>
            <w:r>
              <w:rPr>
                <w:rFonts w:ascii="宋体" w:eastAsia="宋体" w:hAnsi="宋体" w:cs="宋体"/>
                <w:b w:val="0"/>
                <w:i w:val="0"/>
                <w:color w:val="000000"/>
                <w:sz w:val="25"/>
              </w:rPr>
              <w:t xml:space="preserve">11.92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11.92</w:t>
            </w:r>
          </w:p>
        </w:tc>
        <w:tc>
          <w:tcPr>
            <w:tcW w:w="2700" w:type="dxa"/>
            <w:tcBorders/>
            <w:vAlign w:val="center"/>
          </w:tcPr>
          <w:p>
            <w:pPr>
              <w:jc w:val="right"/>
            </w:pPr>
            <w:r>
              <w:rPr>
                <w:rFonts w:ascii="宋体" w:eastAsia="宋体" w:hAnsi="宋体" w:cs="宋体"/>
                <w:b w:val="0"/>
                <w:i w:val="0"/>
                <w:color w:val="000000"/>
                <w:sz w:val="25"/>
              </w:rPr>
              <w:t xml:space="preserve">11.92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13.52</w:t>
            </w:r>
          </w:p>
        </w:tc>
        <w:tc>
          <w:tcPr>
            <w:tcW w:w="2700" w:type="dxa"/>
            <w:tcBorders/>
            <w:vAlign w:val="center"/>
          </w:tcPr>
          <w:p>
            <w:pPr>
              <w:jc w:val="right"/>
            </w:pPr>
            <w:r>
              <w:rPr>
                <w:rFonts w:ascii="宋体" w:eastAsia="宋体" w:hAnsi="宋体" w:cs="宋体"/>
                <w:b w:val="0"/>
                <w:i w:val="0"/>
                <w:color w:val="000000"/>
                <w:sz w:val="25"/>
              </w:rPr>
              <w:t xml:space="preserve">13.52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13.52</w:t>
            </w:r>
          </w:p>
        </w:tc>
        <w:tc>
          <w:tcPr>
            <w:tcW w:w="2700" w:type="dxa"/>
            <w:tcBorders/>
            <w:vAlign w:val="center"/>
          </w:tcPr>
          <w:p>
            <w:pPr>
              <w:jc w:val="right"/>
            </w:pPr>
            <w:r>
              <w:rPr>
                <w:rFonts w:ascii="宋体" w:eastAsia="宋体" w:hAnsi="宋体" w:cs="宋体"/>
                <w:b w:val="0"/>
                <w:i w:val="0"/>
                <w:color w:val="000000"/>
                <w:sz w:val="25"/>
              </w:rPr>
              <w:t xml:space="preserve">13.52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13.52</w:t>
            </w:r>
          </w:p>
        </w:tc>
        <w:tc>
          <w:tcPr>
            <w:tcW w:w="2700" w:type="dxa"/>
            <w:tcBorders/>
            <w:vAlign w:val="center"/>
          </w:tcPr>
          <w:p>
            <w:pPr>
              <w:jc w:val="right"/>
            </w:pPr>
            <w:r>
              <w:rPr>
                <w:rFonts w:ascii="宋体" w:eastAsia="宋体" w:hAnsi="宋体" w:cs="宋体"/>
                <w:b w:val="0"/>
                <w:i w:val="0"/>
                <w:color w:val="000000"/>
                <w:sz w:val="25"/>
              </w:rPr>
              <w:t xml:space="preserve">13.52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255.39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13.19</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41.48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3.68</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4.87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39.63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0.86</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14.15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0.86</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27.15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5.50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12.24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0.86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13.52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5.45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95.98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13.83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13.83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1.96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0.97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269.22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14.05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单位：许昌春秋楼文物管理处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0.97</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340.69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增加132.41万元，增长63.57%</w:t>
      </w:r>
      <w:r>
        <w:rPr>
          <w:rFonts w:ascii="仿宋" w:eastAsia="仿宋" w:hAnsi="仿宋" w:cs="仿宋" w:hint="eastAsia"/>
          <w:kern w:val="0"/>
          <w:sz w:val="32"/>
          <w:szCs w:val="32"/>
          <w:lang w:val="en-US" w:eastAsia="zh-CN"/>
        </w:rPr>
        <w:t xml:space="preserve">。主要原因是单位性质为差供，所有收入均纳入年初预算上缴财政国库，2022年由于疫情及减免租金政策，收入支出均下降。2023年疫情结束后，门票及租金收入恢复正常，收入支出均比2022年增加。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316.98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财政拨款收入316.98万元，占100.00%；上级补助收入0.00万元，占0.00%；事业收入0.00万元，占0.00%；经营收入0.00万元，占0.00%；附属单位上缴收入0.00万元，占0.00%；其他收入0.00万元，占0.00%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340.69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基本支出283.27万元，占83.15%；项目支出57.42万元，占16.85%；上缴上级支出0.00万元，占0.00%；经营支出0.00万元，占0.00%；对附属单位补助支出0.00万元，占0.00%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340.69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增加132.41万元，增长63.57%</w:t>
      </w:r>
      <w:r>
        <w:rPr>
          <w:rFonts w:ascii="仿宋" w:eastAsia="仿宋" w:hAnsi="仿宋" w:cs="仿宋" w:hint="eastAsia"/>
          <w:kern w:val="0"/>
          <w:sz w:val="32"/>
          <w:szCs w:val="32"/>
          <w:lang w:val="en-US" w:eastAsia="zh-CN"/>
        </w:rPr>
        <w:t xml:space="preserve">。主要原因是单位性质为差供，所有收入均纳入年初预算上缴财政国库，2022年由于疫情及减免租金政策，收入支出均下降。2023年疫情结束后，门票及租金收入恢复正常，收入支出均比2022年增加。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340.69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增加132.41万元，增长63.57%</w:t>
      </w:r>
      <w:r>
        <w:rPr>
          <w:rFonts w:ascii="仿宋" w:eastAsia="仿宋" w:hAnsi="仿宋" w:cs="仿宋" w:hint="eastAsia"/>
          <w:kern w:val="0"/>
          <w:sz w:val="32"/>
          <w:szCs w:val="32"/>
          <w:lang w:val="en-US" w:eastAsia="zh-CN"/>
        </w:rPr>
        <w:t xml:space="preserve">。主要原因是单位性质为差供，所有收入均纳入年初预算上缴财政国库，2022年由于疫情及减免租金政策，收入支出均下降。2023年疫情结束后，门票及租金收入恢复正常，收入支出均比2022年增加。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340.69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文化旅游体育与传媒支出（类）269.90万元，占79.22%；社会保障和就业支出（类）45.34万元，占13.31%；卫生健康支出（类）11.92万元，占3.50%；住房保障支出（类）13.52万元，占3.97%</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469.14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340.69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72.62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1.文化旅游体育与传媒支出（类）文化和旅游（款）其他文化和旅游支出（项）</w:t>
      </w:r>
      <w:r>
        <w:rPr>
          <w:rFonts w:ascii="仿宋" w:eastAsia="仿宋" w:hAnsi="仿宋" w:cs="仿宋" w:hint="default"/>
          <w:kern w:val="2"/>
          <w:sz w:val="32"/>
          <w:szCs w:val="32"/>
          <w:lang w:val="en-US" w:eastAsia="zh-CN"/>
        </w:rPr>
        <w:t xml:space="preserve">年初预算数为23.71万元，决算数33.71万元,完成年初预算的142.18%，决算数与年初预算数存在差异的主要原因是2022年结转10万元项目资金，于2023年支出。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2.文化旅游体育与传媒支出（类）文物（款）文物保护（项）</w:t>
      </w:r>
      <w:r>
        <w:rPr>
          <w:rFonts w:ascii="仿宋" w:eastAsia="仿宋" w:hAnsi="仿宋" w:cs="仿宋" w:hint="default"/>
          <w:kern w:val="2"/>
          <w:sz w:val="32"/>
          <w:szCs w:val="32"/>
          <w:lang w:val="en-US" w:eastAsia="zh-CN"/>
        </w:rPr>
        <w:t xml:space="preserve">年初预算数为353.43万元，决算数236.19万元,完成年初预算的66.83%，决算数与年初预算数存在差异的主要原因是单位性质为差供，所有收入均纳入年初预算上缴财政国库，由于当年实际收入没有达到年初预算数，造成支出决算数小于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21.00万元，决算数13.83万元,完成年初预算的65.86%，决算数与年初预算数存在差异的主要原因是单位性质为差供，所有收入均纳入年初预算上缴财政国库，由于当年实际收入没有达到年初预算数，造成支出决算数小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30.00万元，决算数26.01万元,完成年初预算的86.70%，决算数与年初预算数存在差异的主要原因是单位性质为差供，所有收入均纳入年初预算上缴财政国库，由于当年实际收入没有达到年初预算数，造成支出决算数小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5.社会保障和就业支出（类）行政事业单位养老支出（款）机关事业单位职业年金缴费支出（项）</w:t>
      </w:r>
      <w:r>
        <w:rPr>
          <w:rFonts w:ascii="仿宋" w:eastAsia="仿宋" w:hAnsi="仿宋" w:cs="仿宋" w:hint="default"/>
          <w:kern w:val="2"/>
          <w:sz w:val="32"/>
          <w:szCs w:val="32"/>
          <w:lang w:val="en-US" w:eastAsia="zh-CN"/>
        </w:rPr>
        <w:t xml:space="preserve">年初预算数为6.00万元，决算数5.50万元,完成年初预算的91.67%，决算数与年初预算数存在差异的主要原因是单位性质为差供，所有收入均纳入年初预算上缴财政国库，由于当年实际收入没有达到年初预算数，造成支出决算数小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15.00万元，决算数11.92万元,完成年初预算的79.47%，决算数与年初预算数存在差异的主要原因是单位性质为差供，所有收入均纳入年初预算上缴财政国库，由于当年实际收入没有达到年初预算数，造成支出决算数小于年初预算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20.00万元，决算数13.52万元,完成年初预算的67.60%，决算数与年初预算数存在差异的主要原因是单位性质为差供，所有收入均纳入年初预算上缴财政国库，由于当年实际收入没有达到年初预算数，造成支出决算数小于年初预算数。</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283.27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其中：人员经费269.22万元，主要包括：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公用经费14.05万元，主要包括：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2023年度“三公”经费支出决算数与预算数存在差异的主要原因是认真贯彻落实中央“八项规定”精神和厉行节约要求，从严控制“三公”经费开支，全年实际支出比预算有所节约。</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，完成预算的97.00%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决算数与预算数存在差异的主要原因是压缩公务用车购置及运行费。</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0.97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主要用于支付购汽油、保险及公车维护。</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340.69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97</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完善绩效管理制度，根据文件对相关人员进行培训和宣传，通过自评结果汲取经验，提高专项资金的使用效益，进一步健全和完善财务管理制度及内部控制制度，创新管理手段，用新思想、新方法，改进完善财务管理方法，用制度管项目，用制度管资金。加强绩效评价管理与财政资金监管、财政监督检查工作的相互融合，绩效评价在预算分配、预算执行、结果应用的全过程管理机制不断完善。建立了部门整体支出绩效评价指标体系，初步建立了较为完整的绩效评价指标体系。组织机构方面，建立了由办公室牵头，其他业务科室积极配合的工作机制，明确了各责任科室工作重点及承担的具体工作职责;规范了工作程序，明确了分阶段工作任务，强化了预算绩效在预算编制、执行中的全过程管理。</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基于项目预期目标的实现程度，我单位对2023年度单位预算项目支出（含单位参与分配的转移支付项目）开展绩效自评，涉及项目1个，项目金额23.71万元。其中：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旅游景区“免门票、促发展”活动，自评得分为100分，等级为“优”。许昌春秋楼文物管理处按照省财政局、省文旅厅关于开展2022年旅游景区“免门票、促发展”活动要求，景区按文件要求已完成此次“免门票、促发展”活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许昌春秋楼文物管理处按照省财政局、省文旅厅关于开展2022年旅游景区“免门票、促发展”活动要求，景区按文件要求已完成此次“免门票、促发展”活动，财政拨付经费23.71万元，按文件要求全部用于单位人员经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e2b4b44d-b28a-4c74-b650-bc18086315fd"/>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Look w:firstRow="0" w:lastRow="0" w:firstColumn="0" w:lastColumn="0" w:noHBand="1" w:noVBand="1"/>
      </w:tblPr>
      <w:tblGrid>
        <w:gridCol w:w="1044"/>
        <w:gridCol w:w="3406"/>
        <w:gridCol w:w="808"/>
        <w:gridCol w:w="1239"/>
        <w:gridCol w:w="1459"/>
        <w:gridCol w:w="1226"/>
        <w:gridCol w:w="1125"/>
        <w:gridCol w:w="700"/>
        <w:gridCol w:w="610"/>
        <w:gridCol w:w="846"/>
        <w:gridCol w:w="1652"/>
      </w:tblGrid>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653"/>
        </w:trPr>
        <w:tc>
          <w:tcPr>
            <w:tcW w:w="14115" w:type="dxa"/>
            <w:gridSpan w:val="11"/>
            <w:tcBorders>
              <w:top w:val="nil"/>
              <w:left w:val="nil"/>
              <w:bottom w:val="nil"/>
              <w:right w:val="nil"/>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单位整体自评表</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64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单位名称</w:t>
            </w:r>
          </w:p>
        </w:tc>
        <w:tc>
          <w:tcPr>
            <w:tcW w:w="761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许昌春秋楼文物管理处</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单位整体支出情况</w:t>
            </w:r>
          </w:p>
        </w:tc>
        <w:tc>
          <w:tcPr>
            <w:tcW w:w="54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54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单位预算总额（万元）</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r>
              <w:rPr>
                <w:rFonts w:ascii="宋体" w:eastAsia="宋体" w:hAnsi="宋体" w:cs="宋体" w:hint="eastAsia"/>
                <w:i w:val="0"/>
                <w:iCs w:val="0"/>
                <w:color w:val="000000"/>
                <w:kern w:val="0"/>
                <w:sz w:val="18"/>
                <w:szCs w:val="18"/>
                <w:u w:val="none"/>
                <w:lang w:val="en-US" w:eastAsia="zh-CN"/>
              </w:rPr>
              <w:t xml:space="preserve">6</w:t>
            </w:r>
            <w:r>
              <w:rPr>
                <w:rFonts w:ascii="宋体" w:eastAsia="宋体" w:hAnsi="宋体" w:cs="宋体"/>
                <w:i w:val="0"/>
                <w:iCs w:val="0"/>
                <w:color w:val="000000"/>
                <w:kern w:val="0"/>
                <w:sz w:val="18"/>
                <w:szCs w:val="18"/>
                <w:u w:val="none"/>
                <w:lang w:val="en-US" w:eastAsia="zh-CN"/>
              </w:rPr>
              <w:t xml:space="preserve">9.14</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340.69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340.69</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54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r>
              <w:rPr>
                <w:rFonts w:ascii="宋体" w:eastAsia="宋体" w:hAnsi="宋体" w:cs="宋体" w:hint="eastAsia"/>
                <w:i w:val="0"/>
                <w:iCs w:val="0"/>
                <w:color w:val="000000"/>
                <w:kern w:val="0"/>
                <w:sz w:val="18"/>
                <w:szCs w:val="18"/>
                <w:u w:val="none"/>
                <w:lang w:val="en-US" w:eastAsia="zh-CN"/>
              </w:rPr>
              <w:t xml:space="preserve">6</w:t>
            </w:r>
            <w:r>
              <w:rPr>
                <w:rFonts w:ascii="宋体" w:eastAsia="宋体" w:hAnsi="宋体" w:cs="宋体"/>
                <w:i w:val="0"/>
                <w:iCs w:val="0"/>
                <w:color w:val="000000"/>
                <w:kern w:val="0"/>
                <w:sz w:val="18"/>
                <w:szCs w:val="18"/>
                <w:u w:val="none"/>
                <w:lang w:val="en-US" w:eastAsia="zh-CN"/>
              </w:rPr>
              <w:t xml:space="preserve">9.14</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340.69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340.69</w:t>
            </w: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54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54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3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92"/>
        </w:trPr>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w="81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49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080"/>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81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目标1：加强对文物本体春秋楼（含文庙）的保护和研究，传承和弘扬历史文化遗产。</w:t>
            </w:r>
            <w:r>
              <w:rPr/>
              <w:br/>
            </w:r>
            <w:r>
              <w:rPr>
                <w:rFonts w:ascii="宋体" w:eastAsia="宋体" w:hAnsi="宋体" w:cs="宋体"/>
                <w:i w:val="0"/>
                <w:iCs w:val="0"/>
                <w:color w:val="000000"/>
                <w:kern w:val="0"/>
                <w:sz w:val="18"/>
                <w:szCs w:val="18"/>
                <w:u w:val="none"/>
                <w:lang w:val="en-US" w:eastAsia="zh-CN"/>
              </w:rPr>
              <w:t xml:space="preserve">目标2：积极打造精品景区，提升旅游环境。</w:t>
            </w:r>
            <w:r>
              <w:rPr/>
              <w:br/>
            </w:r>
            <w:r>
              <w:rPr>
                <w:rFonts w:ascii="宋体" w:eastAsia="宋体" w:hAnsi="宋体" w:cs="宋体"/>
                <w:i w:val="0"/>
                <w:iCs w:val="0"/>
                <w:color w:val="000000"/>
                <w:kern w:val="0"/>
                <w:sz w:val="18"/>
                <w:szCs w:val="18"/>
                <w:u w:val="none"/>
                <w:lang w:val="en-US" w:eastAsia="zh-CN"/>
              </w:rPr>
              <w:t xml:space="preserve">目标3：做好对外参观服务，促进许昌经济文化发展。</w:t>
            </w:r>
            <w:r>
              <w:rPr/>
              <w:br/>
            </w:r>
            <w:r>
              <w:rPr>
                <w:rFonts w:ascii="宋体" w:eastAsia="宋体" w:hAnsi="宋体" w:cs="宋体"/>
                <w:i w:val="0"/>
                <w:iCs w:val="0"/>
                <w:color w:val="000000"/>
                <w:kern w:val="0"/>
                <w:sz w:val="18"/>
                <w:szCs w:val="18"/>
                <w:u w:val="none"/>
                <w:lang w:val="en-US" w:eastAsia="zh-CN"/>
              </w:rPr>
              <w:t xml:space="preserve">目标4：加大宣传力度，做好各个节日节庆活动，提升景区旅游知名度。</w:t>
            </w:r>
          </w:p>
        </w:tc>
        <w:tc>
          <w:tcPr>
            <w:tcW w:w="49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按照预期目标完成各项工作。</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w="3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w="49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810"/>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任务1</w:t>
            </w:r>
          </w:p>
        </w:tc>
        <w:tc>
          <w:tcPr>
            <w:tcW w:w="39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承担文物保护职能，负责春秋楼管理与文物保护工作，提升景区基础设施改造。</w:t>
            </w:r>
          </w:p>
        </w:tc>
        <w:tc>
          <w:tcPr>
            <w:tcW w:w="49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按照年度任务积极推进各项工作。</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52"/>
        </w:trPr>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34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34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文物保护工作</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对文物的保护和研究</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34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对外参观服务</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34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群众满意度</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19</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1411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7"/>
        </w:trPr>
        <w:tc>
          <w:tcPr>
            <w:tcW w:w="1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w="926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w:t>
            </w:r>
            <w:r>
              <w:rPr>
                <w:rFonts w:ascii="宋体" w:eastAsia="宋体" w:hAnsi="宋体" w:cs="宋体" w:hint="eastAsia"/>
                <w:i w:val="0"/>
                <w:iCs w:val="0"/>
                <w:color w:val="000000"/>
                <w:kern w:val="0"/>
                <w:sz w:val="18"/>
                <w:szCs w:val="18"/>
                <w:u w:val="none"/>
                <w:lang w:val="en-US" w:eastAsia="zh-CN"/>
              </w:rPr>
              <w:t xml:space="preserve">7</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rPr>
                <w:rFonts w:ascii="宋体" w:eastAsia="宋体" w:hAnsi="宋体" w:cs="宋体" w:hint="eastAsia"/>
                <w:i w:val="0"/>
                <w:iCs w:val="0"/>
                <w:color w:val="000000"/>
                <w:sz w:val="18"/>
                <w:szCs w:val="18"/>
                <w:u w:val="none"/>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eaf658e-a3d0-4c28-bbd4-f1a0394109b4"/>
              <w:rPr>
                <w:rFonts w:ascii="宋体" w:eastAsia="宋体" w:hAnsi="宋体" w:cs="宋体" w:hint="eastAsia"/>
                <w:i w:val="0"/>
                <w:iCs w:val="0"/>
                <w:color w:val="000000"/>
                <w:sz w:val="18"/>
                <w:szCs w:val="18"/>
                <w:u w:val="none"/>
              </w:rPr>
            </w:pPr>
          </w:p>
        </w:tc>
      </w:tr>
    </w:tbl>
    <w:p>
      <w:pPr>
        <w:pStyle w:val="Normal_5eaf658e-a3d0-4c28-bbd4-f1a0394109b4"/>
      </w:pPr>
      <w:r>
        <w:br w:type="page"/>
      </w:r>
    </w:p>
    <w:p>
      <w:pPr>
        <w:pStyle w:val="Normal_5eaf658e-a3d0-4c28-bbd4-f1a0394109b4"/>
        <w:sectPr>
          <w:pgSz w:w="16838" w:h="11906" w:orient="landscape"/>
          <w:pgMar w:top="1800" w:right="1440" w:bottom="1800" w:left="1440" w:header="851" w:footer="992" w:gutter="0"/>
          <w:cols w:num="1" w:space="425">
            <w:col w:w="13958" w:space="425"/>
          </w:cols>
          <w:docGrid w:type="lines" w:linePitch="312" w:charSpace="0"/>
        </w:sectPr>
      </w:pPr>
    </w:p>
    <w:tbl>
      <w:tblPr>
        <w:tblW w:w="0" w:type="auto"/>
        <w:tblInd w:w="93" w:type="dxa"/>
        <w:tblCellMar>
          <w:top w:w="0" w:type="dxa"/>
          <w:left w:w="108" w:type="dxa"/>
          <w:bottom w:w="0" w:type="dxa"/>
          <w:right w:w="108" w:type="dxa"/>
        </w:tblCellMar>
        <w:tblLook w:val="0000" w:firstRow="0" w:lastRow="0" w:firstColumn="0" w:lastColumn="0" w:noHBand="0" w:noVBand="0"/>
      </w:tblPr>
      <w:tblGrid>
        <w:gridCol w:w="730"/>
        <w:gridCol w:w="1220"/>
        <w:gridCol w:w="2386"/>
        <w:gridCol w:w="365"/>
        <w:gridCol w:w="365"/>
        <w:gridCol w:w="2330"/>
        <w:gridCol w:w="1314"/>
        <w:gridCol w:w="768"/>
        <w:gridCol w:w="768"/>
        <w:gridCol w:w="711"/>
        <w:gridCol w:w="1113"/>
        <w:gridCol w:w="2011"/>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12"/>
            <w:tcBorders>
              <w:top w:val="nil"/>
              <w:left w:val="nil"/>
              <w:bottom w:val="nil"/>
              <w:right w:val="nil"/>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旅游景</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免门票，促销</w:t>
            </w:r>
            <w:r>
              <w:rPr>
                <w:rFonts w:ascii="宋体" w:eastAsia="宋体" w:hAnsi="宋体" w:cs="宋体"/>
                <w:i w:val="0"/>
                <w:iCs w:val="0"/>
                <w:color w:val="000000"/>
                <w:kern w:val="0"/>
                <w:sz w:val="18"/>
                <w:szCs w:val="18"/>
                <w:u w:val="none"/>
                <w:bdr w:val="none" w:sz="0" w:space="0" w:color="auto"/>
                <w:lang w:val="en-US" w:eastAsia="zh-CN" w:bidi="en-AU"/>
              </w:rPr>
              <w:t xml:space="preserve">费</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市级资金（结转本级资金）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许昌市文化广电和旅游局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许昌春秋楼文物管理处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23.71</w:t>
            </w:r>
          </w:p>
        </w:tc>
        <w:tc>
          <w:tcPr>
            <w:tcW w:type="auto" w:w="0"/>
            <w:tcBorders>
              <w:top w:val="nil"/>
              <w:left w:val="nil"/>
              <w:bottom w:val="nil"/>
              <w:right w:val="nil"/>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合理规范安排资金使用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合理规范拨付资金使用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按要求规范使用资金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按要求完成预算绩效管理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许昌春秋楼文物管理处按照省财政局、省文旅厅关于开</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年旅游景</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免门票、促发</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活动要求，景区按文件要求已完成此</w:t>
            </w:r>
            <w:r>
              <w:rPr>
                <w:rFonts w:ascii="宋体" w:eastAsia="宋体" w:hAnsi="宋体" w:cs="宋体"/>
                <w:i w:val="0"/>
                <w:iCs w:val="0"/>
                <w:color w:val="000000"/>
                <w:kern w:val="0"/>
                <w:sz w:val="18"/>
                <w:szCs w:val="18"/>
                <w:u w:val="none"/>
                <w:bdr w:val="none" w:sz="0" w:space="0" w:color="auto"/>
                <w:lang w:val="en-US" w:eastAsia="zh-CN" w:bidi="en-AU"/>
              </w:rPr>
              <w:t xml:space="preserve">次</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免门票、促发</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活动。</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许昌春秋楼文物管理处按照省财政局、省文旅厅关于开</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年旅游景</w:t>
            </w:r>
            <w:r>
              <w:rPr>
                <w:rFonts w:ascii="宋体" w:eastAsia="宋体" w:hAnsi="宋体" w:cs="宋体"/>
                <w:i w:val="0"/>
                <w:iCs w:val="0"/>
                <w:color w:val="000000"/>
                <w:kern w:val="0"/>
                <w:sz w:val="18"/>
                <w:szCs w:val="18"/>
                <w:u w:val="none"/>
                <w:bdr w:val="none" w:sz="0" w:space="0" w:color="auto"/>
                <w:lang w:val="en-US" w:eastAsia="zh-CN" w:bidi="en-AU"/>
              </w:rPr>
              <w:t xml:space="preserve">区</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免门票、促发</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活动要求，景区按文件要求已完成此</w:t>
            </w:r>
            <w:r>
              <w:rPr>
                <w:rFonts w:ascii="宋体" w:eastAsia="宋体" w:hAnsi="宋体" w:cs="宋体"/>
                <w:i w:val="0"/>
                <w:iCs w:val="0"/>
                <w:color w:val="000000"/>
                <w:kern w:val="0"/>
                <w:sz w:val="18"/>
                <w:szCs w:val="18"/>
                <w:u w:val="none"/>
                <w:bdr w:val="none" w:sz="0" w:space="0" w:color="auto"/>
                <w:lang w:val="en-US" w:eastAsia="zh-CN" w:bidi="en-AU"/>
              </w:rPr>
              <w:t xml:space="preserve">次</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免门票、促发</w:t>
            </w:r>
            <w:r>
              <w:rPr>
                <w:rFonts w:ascii="宋体" w:eastAsia="宋体" w:hAnsi="宋体" w:cs="宋体"/>
                <w:i w:val="0"/>
                <w:iCs w:val="0"/>
                <w:color w:val="000000"/>
                <w:kern w:val="0"/>
                <w:sz w:val="18"/>
                <w:szCs w:val="18"/>
                <w:u w:val="none"/>
                <w:bdr w:val="none" w:sz="0" w:space="0" w:color="auto"/>
                <w:lang w:val="en-US" w:eastAsia="zh-CN" w:bidi="en-AU"/>
              </w:rPr>
              <w:t xml:space="preserve">展</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活动。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资金使用额度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23.7</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参观人次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万人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按期完成情况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6</w:t>
            </w:r>
            <w:r>
              <w:rPr>
                <w:rFonts w:ascii="宋体" w:eastAsia="宋体" w:hAnsi="宋体" w:cs="宋体"/>
                <w:i w:val="0"/>
                <w:iCs w:val="0"/>
                <w:color w:val="000000"/>
                <w:kern w:val="0"/>
                <w:sz w:val="18"/>
                <w:szCs w:val="18"/>
                <w:u w:val="none"/>
                <w:bdr w:val="none" w:sz="0" w:space="0" w:color="auto"/>
                <w:lang w:val="en-US" w:eastAsia="zh-CN" w:bidi="en-AU"/>
              </w:rPr>
              <w:t xml:space="preserve">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资金使用率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游客满意度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5eaf658e-a3d0-4c28-bbd4-f1a0394109b4"/>
              <w:jc w:val="center"/>
              <w:rPr>
                <w:rFonts w:ascii="宋体" w:eastAsia="宋体" w:hAnsi="宋体" w:cs="宋体" w:hint="eastAsia"/>
                <w:i w:val="0"/>
                <w:iCs w:val="0"/>
                <w:color w:val="000000"/>
                <w:sz w:val="18"/>
                <w:szCs w:val="18"/>
                <w:u w:val="none"/>
              </w:rPr>
            </w:pPr>
          </w:p>
        </w:tc>
      </w:tr>
    </w:tbl>
    <w:p>
      <w:pPr>
        <w:pStyle w:val="Normal_5eaf658e-a3d0-4c28-bbd4-f1a0394109b4"/>
      </w:pPr>
      <w:r>
        <w:br w:type="page"/>
      </w:r>
    </w:p>
    <w:p>
      <w:pPr>
        <w:pStyle w:val="Normal_5eaf658e-a3d0-4c28-bbd4-f1a0394109b4"/>
      </w:pPr>
      <w:r>
        <w:br w:type="page"/>
      </w:r>
    </w:p>
    <w:p>
      <w:pPr>
        <w:pStyle w:val="Normal_5eaf658e-a3d0-4c28-bbd4-f1a0394109b4"/>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671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eaf658e-a3d0-4c28-bbd4-f1a0394109b4">
    <w:name w:val="Normal_5eaf658e-a3d0-4c28-bbd4-f1a0394109b4"/>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e2b4b44d-b28a-4c74-b650-bc18086315fd">
    <w:name w:val="Normal Table_e2b4b44d-b28a-4c74-b650-bc18086315fd"/>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