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许昌日报社</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许昌日报社</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许昌日报社概况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围绕中心、服务大局，强力提升主流媒体的舆论引导能力。加快平台建设，推进传统媒体与新兴媒体的融合；创新经营模式，推进媒体经营与市场的融合；改革体制机制，推进媒体管理与建立现代企业制度的融合，为努力推动报社各项事业再上新台阶打下坚实的基础。</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许昌日报社</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总编室、记者部、社会新闻部、房产商业部、经委办、金融保险部、工信部、文化生活部、汽车部、医疗医药部、法制部、党办、人力资源部、评论部、教育部、新闻管理部、财务部、广告监管部、城市电视部、监察室、摄影美术部、校对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许昌日报社</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许昌日报社 （本级）</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部门：许昌日报社</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2,138.65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3,835.77</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5,000.38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0.85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5,974.43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5,003.73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-1,678.72</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-708.02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4,295.71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4,295.71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部门：许昌日报社</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5,974.43</w:t>
            </w:r>
          </w:p>
        </w:tc>
        <w:tc>
          <w:tcPr>
            <w:tcW w:w="1440" w:type="dxa"/>
            <w:tcBorders/>
            <w:vAlign w:val="center"/>
          </w:tcPr>
          <w:p>
            <w:pPr>
              <w:jc w:val="right"/>
            </w:pPr>
            <w:r>
              <w:rPr>
                <w:rFonts w:ascii="宋体" w:eastAsia="宋体" w:hAnsi="宋体" w:cs="宋体"/>
                <w:b/>
                <w:i w:val="0"/>
                <w:color w:val="000000"/>
                <w:sz w:val="17"/>
              </w:rPr>
              <w:t xml:space="preserve">2,138.65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3,835.77</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5,971.07</w:t>
            </w:r>
          </w:p>
        </w:tc>
        <w:tc>
          <w:tcPr>
            <w:tcW w:w="1440" w:type="dxa"/>
            <w:tcBorders/>
            <w:vAlign w:val="center"/>
          </w:tcPr>
          <w:p>
            <w:pPr>
              <w:jc w:val="right"/>
            </w:pPr>
            <w:r>
              <w:rPr>
                <w:rFonts w:ascii="宋体" w:eastAsia="宋体" w:hAnsi="宋体" w:cs="宋体"/>
                <w:b w:val="0"/>
                <w:i w:val="0"/>
                <w:color w:val="000000"/>
                <w:sz w:val="17"/>
              </w:rPr>
              <w:t xml:space="preserve">2,135.30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3,835.77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新闻出版电影</w:t>
            </w:r>
          </w:p>
        </w:tc>
        <w:tc>
          <w:tcPr>
            <w:tcW w:w="1440" w:type="dxa"/>
            <w:tcBorders/>
            <w:vAlign w:val="center"/>
          </w:tcPr>
          <w:p>
            <w:pPr>
              <w:jc w:val="right"/>
            </w:pPr>
            <w:r>
              <w:rPr>
                <w:rFonts w:ascii="宋体" w:eastAsia="宋体" w:hAnsi="宋体" w:cs="宋体"/>
                <w:b w:val="0"/>
                <w:i w:val="0"/>
                <w:color w:val="000000"/>
                <w:sz w:val="17"/>
              </w:rPr>
              <w:t xml:space="preserve">5,506.07</w:t>
            </w:r>
          </w:p>
        </w:tc>
        <w:tc>
          <w:tcPr>
            <w:tcW w:w="1440" w:type="dxa"/>
            <w:tcBorders/>
            <w:vAlign w:val="center"/>
          </w:tcPr>
          <w:p>
            <w:pPr>
              <w:jc w:val="right"/>
            </w:pPr>
            <w:r>
              <w:rPr>
                <w:rFonts w:ascii="宋体" w:eastAsia="宋体" w:hAnsi="宋体" w:cs="宋体"/>
                <w:b w:val="0"/>
                <w:i w:val="0"/>
                <w:color w:val="000000"/>
                <w:sz w:val="17"/>
              </w:rPr>
              <w:t xml:space="preserve">1,670.30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3,835.77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2070605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出版发行</w:t>
            </w:r>
          </w:p>
        </w:tc>
        <w:tc>
          <w:tcPr>
            <w:tcW w:w="1440" w:type="dxa"/>
            <w:tcBorders/>
            <w:vAlign w:val="center"/>
          </w:tcPr>
          <w:p>
            <w:pPr>
              <w:jc w:val="right"/>
            </w:pPr>
            <w:r>
              <w:rPr>
                <w:rFonts w:ascii="宋体" w:eastAsia="宋体" w:hAnsi="宋体" w:cs="宋体"/>
                <w:b w:val="0"/>
                <w:i w:val="0"/>
                <w:color w:val="000000"/>
                <w:sz w:val="17"/>
              </w:rPr>
              <w:t xml:space="preserve">5,506.07</w:t>
            </w:r>
          </w:p>
        </w:tc>
        <w:tc>
          <w:tcPr>
            <w:tcW w:w="1440" w:type="dxa"/>
            <w:tcBorders/>
            <w:vAlign w:val="center"/>
          </w:tcPr>
          <w:p>
            <w:pPr>
              <w:jc w:val="right"/>
            </w:pPr>
            <w:r>
              <w:rPr>
                <w:rFonts w:ascii="宋体" w:eastAsia="宋体" w:hAnsi="宋体" w:cs="宋体"/>
                <w:b w:val="0"/>
                <w:i w:val="0"/>
                <w:color w:val="000000"/>
                <w:sz w:val="17"/>
              </w:rPr>
              <w:t xml:space="preserve">1,670.30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3,835.77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其他文化旅游体育与传媒支出</w:t>
            </w:r>
          </w:p>
        </w:tc>
        <w:tc>
          <w:tcPr>
            <w:tcW w:w="1440" w:type="dxa"/>
            <w:tcBorders/>
            <w:vAlign w:val="center"/>
          </w:tcPr>
          <w:p>
            <w:pPr>
              <w:jc w:val="right"/>
            </w:pPr>
            <w:r>
              <w:rPr>
                <w:rFonts w:ascii="宋体" w:eastAsia="宋体" w:hAnsi="宋体" w:cs="宋体"/>
                <w:b w:val="0"/>
                <w:i w:val="0"/>
                <w:color w:val="000000"/>
                <w:sz w:val="17"/>
              </w:rPr>
              <w:t xml:space="preserve">465.00</w:t>
            </w:r>
          </w:p>
        </w:tc>
        <w:tc>
          <w:tcPr>
            <w:tcW w:w="1440" w:type="dxa"/>
            <w:tcBorders/>
            <w:vAlign w:val="center"/>
          </w:tcPr>
          <w:p>
            <w:pPr>
              <w:jc w:val="right"/>
            </w:pPr>
            <w:r>
              <w:rPr>
                <w:rFonts w:ascii="宋体" w:eastAsia="宋体" w:hAnsi="宋体" w:cs="宋体"/>
                <w:b w:val="0"/>
                <w:i w:val="0"/>
                <w:color w:val="000000"/>
                <w:sz w:val="17"/>
              </w:rPr>
              <w:t xml:space="preserve">465.00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2079902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宣传文化发展专项支出</w:t>
            </w:r>
          </w:p>
        </w:tc>
        <w:tc>
          <w:tcPr>
            <w:tcW w:w="1440" w:type="dxa"/>
            <w:tcBorders/>
            <w:vAlign w:val="center"/>
          </w:tcPr>
          <w:p>
            <w:pPr>
              <w:jc w:val="right"/>
            </w:pPr>
            <w:r>
              <w:rPr>
                <w:rFonts w:ascii="宋体" w:eastAsia="宋体" w:hAnsi="宋体" w:cs="宋体"/>
                <w:b w:val="0"/>
                <w:i w:val="0"/>
                <w:color w:val="000000"/>
                <w:sz w:val="17"/>
              </w:rPr>
              <w:t xml:space="preserve">465.00</w:t>
            </w:r>
          </w:p>
        </w:tc>
        <w:tc>
          <w:tcPr>
            <w:tcW w:w="1440" w:type="dxa"/>
            <w:tcBorders/>
            <w:vAlign w:val="center"/>
          </w:tcPr>
          <w:p>
            <w:pPr>
              <w:jc w:val="right"/>
            </w:pPr>
            <w:r>
              <w:rPr>
                <w:rFonts w:ascii="宋体" w:eastAsia="宋体" w:hAnsi="宋体" w:cs="宋体"/>
                <w:b w:val="0"/>
                <w:i w:val="0"/>
                <w:color w:val="000000"/>
                <w:sz w:val="17"/>
              </w:rPr>
              <w:t xml:space="preserve">465.00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部门：许昌日报社</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5,003.73</w:t>
            </w:r>
          </w:p>
        </w:tc>
        <w:tc>
          <w:tcPr>
            <w:tcW w:w="1600" w:type="dxa"/>
            <w:tcBorders/>
            <w:vAlign w:val="center"/>
          </w:tcPr>
          <w:p>
            <w:pPr>
              <w:jc w:val="right"/>
            </w:pPr>
            <w:r>
              <w:rPr>
                <w:rFonts w:ascii="宋体" w:eastAsia="宋体" w:hAnsi="宋体" w:cs="宋体"/>
                <w:b/>
                <w:i w:val="0"/>
                <w:color w:val="000000"/>
                <w:sz w:val="19"/>
              </w:rPr>
              <w:t xml:space="preserve">2,136.15</w:t>
            </w:r>
          </w:p>
        </w:tc>
        <w:tc>
          <w:tcPr>
            <w:tcW w:w="1600" w:type="dxa"/>
            <w:tcBorders/>
            <w:vAlign w:val="center"/>
          </w:tcPr>
          <w:p>
            <w:pPr>
              <w:jc w:val="right"/>
            </w:pPr>
            <w:r>
              <w:rPr>
                <w:rFonts w:ascii="宋体" w:eastAsia="宋体" w:hAnsi="宋体" w:cs="宋体"/>
                <w:b/>
                <w:i w:val="0"/>
                <w:color w:val="000000"/>
                <w:sz w:val="19"/>
              </w:rPr>
              <w:t xml:space="preserve">2.50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2,865.08</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5,000.38</w:t>
            </w:r>
          </w:p>
        </w:tc>
        <w:tc>
          <w:tcPr>
            <w:tcW w:w="1600" w:type="dxa"/>
            <w:tcBorders/>
            <w:vAlign w:val="center"/>
          </w:tcPr>
          <w:p>
            <w:pPr>
              <w:jc w:val="right"/>
            </w:pPr>
            <w:r>
              <w:rPr>
                <w:rFonts w:ascii="宋体" w:eastAsia="宋体" w:hAnsi="宋体" w:cs="宋体"/>
                <w:b w:val="0"/>
                <w:i w:val="0"/>
                <w:color w:val="000000"/>
                <w:sz w:val="19"/>
              </w:rPr>
              <w:t xml:space="preserve">2,135.30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2,865.08</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新闻出版电影</w:t>
            </w:r>
          </w:p>
        </w:tc>
        <w:tc>
          <w:tcPr>
            <w:tcW w:w="1600" w:type="dxa"/>
            <w:tcBorders/>
            <w:vAlign w:val="center"/>
          </w:tcPr>
          <w:p>
            <w:pPr>
              <w:jc w:val="right"/>
            </w:pPr>
            <w:r>
              <w:rPr>
                <w:rFonts w:ascii="宋体" w:eastAsia="宋体" w:hAnsi="宋体" w:cs="宋体"/>
                <w:b w:val="0"/>
                <w:i w:val="0"/>
                <w:color w:val="000000"/>
                <w:sz w:val="19"/>
              </w:rPr>
              <w:t xml:space="preserve">4,535.38</w:t>
            </w:r>
          </w:p>
        </w:tc>
        <w:tc>
          <w:tcPr>
            <w:tcW w:w="1600" w:type="dxa"/>
            <w:tcBorders/>
            <w:vAlign w:val="center"/>
          </w:tcPr>
          <w:p>
            <w:pPr>
              <w:jc w:val="right"/>
            </w:pPr>
            <w:r>
              <w:rPr>
                <w:rFonts w:ascii="宋体" w:eastAsia="宋体" w:hAnsi="宋体" w:cs="宋体"/>
                <w:b w:val="0"/>
                <w:i w:val="0"/>
                <w:color w:val="000000"/>
                <w:sz w:val="19"/>
              </w:rPr>
              <w:t xml:space="preserve">1,670.30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2,865.08</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2070605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出版发行</w:t>
            </w:r>
          </w:p>
        </w:tc>
        <w:tc>
          <w:tcPr>
            <w:tcW w:w="1600" w:type="dxa"/>
            <w:tcBorders/>
            <w:vAlign w:val="center"/>
          </w:tcPr>
          <w:p>
            <w:pPr>
              <w:jc w:val="right"/>
            </w:pPr>
            <w:r>
              <w:rPr>
                <w:rFonts w:ascii="宋体" w:eastAsia="宋体" w:hAnsi="宋体" w:cs="宋体"/>
                <w:b w:val="0"/>
                <w:i w:val="0"/>
                <w:color w:val="000000"/>
                <w:sz w:val="19"/>
              </w:rPr>
              <w:t xml:space="preserve">4,535.38</w:t>
            </w:r>
          </w:p>
        </w:tc>
        <w:tc>
          <w:tcPr>
            <w:tcW w:w="1600" w:type="dxa"/>
            <w:tcBorders/>
            <w:vAlign w:val="center"/>
          </w:tcPr>
          <w:p>
            <w:pPr>
              <w:jc w:val="right"/>
            </w:pPr>
            <w:r>
              <w:rPr>
                <w:rFonts w:ascii="宋体" w:eastAsia="宋体" w:hAnsi="宋体" w:cs="宋体"/>
                <w:b w:val="0"/>
                <w:i w:val="0"/>
                <w:color w:val="000000"/>
                <w:sz w:val="19"/>
              </w:rPr>
              <w:t xml:space="preserve">1,670.30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2,865.08</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其他文化旅游体育与传媒支出</w:t>
            </w:r>
          </w:p>
        </w:tc>
        <w:tc>
          <w:tcPr>
            <w:tcW w:w="1600" w:type="dxa"/>
            <w:tcBorders/>
            <w:vAlign w:val="center"/>
          </w:tcPr>
          <w:p>
            <w:pPr>
              <w:jc w:val="right"/>
            </w:pPr>
            <w:r>
              <w:rPr>
                <w:rFonts w:ascii="宋体" w:eastAsia="宋体" w:hAnsi="宋体" w:cs="宋体"/>
                <w:b w:val="0"/>
                <w:i w:val="0"/>
                <w:color w:val="000000"/>
                <w:sz w:val="19"/>
              </w:rPr>
              <w:t xml:space="preserve">465.00</w:t>
            </w:r>
          </w:p>
        </w:tc>
        <w:tc>
          <w:tcPr>
            <w:tcW w:w="1600" w:type="dxa"/>
            <w:tcBorders/>
            <w:vAlign w:val="center"/>
          </w:tcPr>
          <w:p>
            <w:pPr>
              <w:jc w:val="right"/>
            </w:pPr>
            <w:r>
              <w:rPr>
                <w:rFonts w:ascii="宋体" w:eastAsia="宋体" w:hAnsi="宋体" w:cs="宋体"/>
                <w:b w:val="0"/>
                <w:i w:val="0"/>
                <w:color w:val="000000"/>
                <w:sz w:val="19"/>
              </w:rPr>
              <w:t xml:space="preserve">465.00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2079902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宣传文化发展专项支出</w:t>
            </w:r>
          </w:p>
        </w:tc>
        <w:tc>
          <w:tcPr>
            <w:tcW w:w="1600" w:type="dxa"/>
            <w:tcBorders/>
            <w:vAlign w:val="center"/>
          </w:tcPr>
          <w:p>
            <w:pPr>
              <w:jc w:val="right"/>
            </w:pPr>
            <w:r>
              <w:rPr>
                <w:rFonts w:ascii="宋体" w:eastAsia="宋体" w:hAnsi="宋体" w:cs="宋体"/>
                <w:b w:val="0"/>
                <w:i w:val="0"/>
                <w:color w:val="000000"/>
                <w:sz w:val="19"/>
              </w:rPr>
              <w:t xml:space="preserve">465.00</w:t>
            </w:r>
          </w:p>
        </w:tc>
        <w:tc>
          <w:tcPr>
            <w:tcW w:w="1600" w:type="dxa"/>
            <w:tcBorders/>
            <w:vAlign w:val="center"/>
          </w:tcPr>
          <w:p>
            <w:pPr>
              <w:jc w:val="right"/>
            </w:pPr>
            <w:r>
              <w:rPr>
                <w:rFonts w:ascii="宋体" w:eastAsia="宋体" w:hAnsi="宋体" w:cs="宋体"/>
                <w:b w:val="0"/>
                <w:i w:val="0"/>
                <w:color w:val="000000"/>
                <w:sz w:val="19"/>
              </w:rPr>
              <w:t xml:space="preserve">465.00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部门：许昌日报社</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2,138.65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2,135.30</w:t>
            </w:r>
          </w:p>
        </w:tc>
        <w:tc>
          <w:tcPr>
            <w:tcW w:w="1420" w:type="dxa"/>
            <w:tcBorders/>
            <w:vAlign w:val="center"/>
          </w:tcPr>
          <w:p>
            <w:pPr>
              <w:jc w:val="right"/>
            </w:pPr>
            <w:r>
              <w:rPr>
                <w:rFonts w:ascii="宋体" w:eastAsia="宋体" w:hAnsi="宋体" w:cs="宋体"/>
                <w:b w:val="0"/>
                <w:i w:val="0"/>
                <w:color w:val="000000"/>
                <w:sz w:val="18"/>
              </w:rPr>
              <w:t xml:space="preserve">2,135.30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0.85</w:t>
            </w:r>
          </w:p>
        </w:tc>
        <w:tc>
          <w:tcPr>
            <w:tcW w:w="1420" w:type="dxa"/>
            <w:tcBorders/>
            <w:vAlign w:val="center"/>
          </w:tcPr>
          <w:p>
            <w:pPr>
              <w:jc w:val="right"/>
            </w:pPr>
            <w:r>
              <w:rPr>
                <w:rFonts w:ascii="宋体" w:eastAsia="宋体" w:hAnsi="宋体" w:cs="宋体"/>
                <w:b w:val="0"/>
                <w:i w:val="0"/>
                <w:color w:val="000000"/>
                <w:sz w:val="18"/>
              </w:rPr>
              <w:t xml:space="preserve">0.85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2,138.65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2,138.65</w:t>
            </w:r>
          </w:p>
        </w:tc>
        <w:tc>
          <w:tcPr>
            <w:tcW w:w="1420" w:type="dxa"/>
            <w:tcBorders/>
            <w:vAlign w:val="center"/>
          </w:tcPr>
          <w:p>
            <w:pPr>
              <w:jc w:val="right"/>
            </w:pPr>
            <w:r>
              <w:rPr>
                <w:rFonts w:ascii="宋体" w:eastAsia="宋体" w:hAnsi="宋体" w:cs="宋体"/>
                <w:b w:val="0"/>
                <w:i w:val="0"/>
                <w:color w:val="000000"/>
                <w:sz w:val="18"/>
              </w:rPr>
              <w:t xml:space="preserve">2,138.65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2,138.65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2,138.65</w:t>
            </w:r>
          </w:p>
        </w:tc>
        <w:tc>
          <w:tcPr>
            <w:tcW w:w="1420" w:type="dxa"/>
            <w:tcBorders/>
            <w:vAlign w:val="center"/>
          </w:tcPr>
          <w:p>
            <w:pPr>
              <w:jc w:val="right"/>
            </w:pPr>
            <w:r>
              <w:rPr>
                <w:rFonts w:ascii="宋体" w:eastAsia="宋体" w:hAnsi="宋体" w:cs="宋体"/>
                <w:b w:val="0"/>
                <w:i w:val="0"/>
                <w:color w:val="000000"/>
                <w:sz w:val="18"/>
              </w:rPr>
              <w:t xml:space="preserve">2,138.65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部门：许昌日报社</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2,138.65</w:t>
            </w:r>
          </w:p>
        </w:tc>
        <w:tc>
          <w:tcPr>
            <w:tcW w:w="2700" w:type="dxa"/>
            <w:tcBorders/>
            <w:vAlign w:val="center"/>
          </w:tcPr>
          <w:p>
            <w:pPr>
              <w:jc w:val="right"/>
            </w:pPr>
            <w:r>
              <w:rPr>
                <w:rFonts w:ascii="宋体" w:eastAsia="宋体" w:hAnsi="宋体" w:cs="宋体"/>
                <w:b/>
                <w:i w:val="0"/>
                <w:color w:val="000000"/>
                <w:sz w:val="25"/>
              </w:rPr>
              <w:t xml:space="preserve">2,136.15</w:t>
            </w:r>
          </w:p>
        </w:tc>
        <w:tc>
          <w:tcPr>
            <w:tcW w:w="2658" w:type="dxa"/>
            <w:tcBorders/>
            <w:vAlign w:val="center"/>
          </w:tcPr>
          <w:p>
            <w:pPr>
              <w:jc w:val="right"/>
            </w:pPr>
            <w:r>
              <w:rPr>
                <w:rFonts w:ascii="宋体" w:eastAsia="宋体" w:hAnsi="宋体" w:cs="宋体"/>
                <w:b/>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2,135.30</w:t>
            </w:r>
          </w:p>
        </w:tc>
        <w:tc>
          <w:tcPr>
            <w:tcW w:w="2700" w:type="dxa"/>
            <w:tcBorders/>
            <w:vAlign w:val="center"/>
          </w:tcPr>
          <w:p>
            <w:pPr>
              <w:jc w:val="right"/>
            </w:pPr>
            <w:r>
              <w:rPr>
                <w:rFonts w:ascii="宋体" w:eastAsia="宋体" w:hAnsi="宋体" w:cs="宋体"/>
                <w:b w:val="0"/>
                <w:i w:val="0"/>
                <w:color w:val="000000"/>
                <w:sz w:val="25"/>
              </w:rPr>
              <w:t xml:space="preserve">2,135.30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新闻出版电影</w:t>
            </w:r>
          </w:p>
        </w:tc>
        <w:tc>
          <w:tcPr>
            <w:tcW w:w="2700" w:type="dxa"/>
            <w:tcBorders/>
            <w:vAlign w:val="center"/>
          </w:tcPr>
          <w:p>
            <w:pPr>
              <w:jc w:val="right"/>
            </w:pPr>
            <w:r>
              <w:rPr>
                <w:rFonts w:ascii="宋体" w:eastAsia="宋体" w:hAnsi="宋体" w:cs="宋体"/>
                <w:b w:val="0"/>
                <w:i w:val="0"/>
                <w:color w:val="000000"/>
                <w:sz w:val="25"/>
              </w:rPr>
              <w:t xml:space="preserve">1,670.30</w:t>
            </w:r>
          </w:p>
        </w:tc>
        <w:tc>
          <w:tcPr>
            <w:tcW w:w="2700" w:type="dxa"/>
            <w:tcBorders/>
            <w:vAlign w:val="center"/>
          </w:tcPr>
          <w:p>
            <w:pPr>
              <w:jc w:val="right"/>
            </w:pPr>
            <w:r>
              <w:rPr>
                <w:rFonts w:ascii="宋体" w:eastAsia="宋体" w:hAnsi="宋体" w:cs="宋体"/>
                <w:b w:val="0"/>
                <w:i w:val="0"/>
                <w:color w:val="000000"/>
                <w:sz w:val="25"/>
              </w:rPr>
              <w:t xml:space="preserve">1,670.30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2070605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出版发行</w:t>
            </w:r>
          </w:p>
        </w:tc>
        <w:tc>
          <w:tcPr>
            <w:tcW w:w="2700" w:type="dxa"/>
            <w:tcBorders/>
            <w:vAlign w:val="center"/>
          </w:tcPr>
          <w:p>
            <w:pPr>
              <w:jc w:val="right"/>
            </w:pPr>
            <w:r>
              <w:rPr>
                <w:rFonts w:ascii="宋体" w:eastAsia="宋体" w:hAnsi="宋体" w:cs="宋体"/>
                <w:b w:val="0"/>
                <w:i w:val="0"/>
                <w:color w:val="000000"/>
                <w:sz w:val="25"/>
              </w:rPr>
              <w:t xml:space="preserve">1,670.30</w:t>
            </w:r>
          </w:p>
        </w:tc>
        <w:tc>
          <w:tcPr>
            <w:tcW w:w="2700" w:type="dxa"/>
            <w:tcBorders/>
            <w:vAlign w:val="center"/>
          </w:tcPr>
          <w:p>
            <w:pPr>
              <w:jc w:val="right"/>
            </w:pPr>
            <w:r>
              <w:rPr>
                <w:rFonts w:ascii="宋体" w:eastAsia="宋体" w:hAnsi="宋体" w:cs="宋体"/>
                <w:b w:val="0"/>
                <w:i w:val="0"/>
                <w:color w:val="000000"/>
                <w:sz w:val="25"/>
              </w:rPr>
              <w:t xml:space="preserve">1,670.30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其他文化旅游体育与传媒支出</w:t>
            </w:r>
          </w:p>
        </w:tc>
        <w:tc>
          <w:tcPr>
            <w:tcW w:w="2700" w:type="dxa"/>
            <w:tcBorders/>
            <w:vAlign w:val="center"/>
          </w:tcPr>
          <w:p>
            <w:pPr>
              <w:jc w:val="right"/>
            </w:pPr>
            <w:r>
              <w:rPr>
                <w:rFonts w:ascii="宋体" w:eastAsia="宋体" w:hAnsi="宋体" w:cs="宋体"/>
                <w:b w:val="0"/>
                <w:i w:val="0"/>
                <w:color w:val="000000"/>
                <w:sz w:val="25"/>
              </w:rPr>
              <w:t xml:space="preserve">465.00</w:t>
            </w:r>
          </w:p>
        </w:tc>
        <w:tc>
          <w:tcPr>
            <w:tcW w:w="2700" w:type="dxa"/>
            <w:tcBorders/>
            <w:vAlign w:val="center"/>
          </w:tcPr>
          <w:p>
            <w:pPr>
              <w:jc w:val="right"/>
            </w:pPr>
            <w:r>
              <w:rPr>
                <w:rFonts w:ascii="宋体" w:eastAsia="宋体" w:hAnsi="宋体" w:cs="宋体"/>
                <w:b w:val="0"/>
                <w:i w:val="0"/>
                <w:color w:val="000000"/>
                <w:sz w:val="25"/>
              </w:rPr>
              <w:t xml:space="preserve">465.00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2079902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宣传文化发展专项支出</w:t>
            </w:r>
          </w:p>
        </w:tc>
        <w:tc>
          <w:tcPr>
            <w:tcW w:w="2700" w:type="dxa"/>
            <w:tcBorders/>
            <w:vAlign w:val="center"/>
          </w:tcPr>
          <w:p>
            <w:pPr>
              <w:jc w:val="right"/>
            </w:pPr>
            <w:r>
              <w:rPr>
                <w:rFonts w:ascii="宋体" w:eastAsia="宋体" w:hAnsi="宋体" w:cs="宋体"/>
                <w:b w:val="0"/>
                <w:i w:val="0"/>
                <w:color w:val="000000"/>
                <w:sz w:val="25"/>
              </w:rPr>
              <w:t xml:space="preserve">465.00</w:t>
            </w:r>
          </w:p>
        </w:tc>
        <w:tc>
          <w:tcPr>
            <w:tcW w:w="2700" w:type="dxa"/>
            <w:tcBorders/>
            <w:vAlign w:val="center"/>
          </w:tcPr>
          <w:p>
            <w:pPr>
              <w:jc w:val="right"/>
            </w:pPr>
            <w:r>
              <w:rPr>
                <w:rFonts w:ascii="宋体" w:eastAsia="宋体" w:hAnsi="宋体" w:cs="宋体"/>
                <w:b w:val="0"/>
                <w:i w:val="0"/>
                <w:color w:val="000000"/>
                <w:sz w:val="25"/>
              </w:rPr>
              <w:t xml:space="preserve">465.00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部门：许昌日报社</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1,564.86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371.61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465.00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1,193.20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465.00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106.29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103.78</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1.66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0.85</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1,671.15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465.00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部门：许昌日报社</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部门：许昌日报社</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部门：许昌日报社</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4295.71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增加1191.75万元，增长38.39%</w:t>
      </w:r>
      <w:r>
        <w:rPr>
          <w:rFonts w:ascii="仿宋" w:eastAsia="仿宋" w:hAnsi="仿宋" w:cs="仿宋" w:hint="eastAsia"/>
          <w:kern w:val="0"/>
          <w:sz w:val="32"/>
          <w:szCs w:val="32"/>
          <w:lang w:val="en-US" w:eastAsia="zh-CN"/>
        </w:rPr>
        <w:t xml:space="preserve">。主要原因是上缴非税返还金额增加。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5974.43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财政拨款收入2138.65万元，占35.80%；上级补助收入0.00万元，占0.00%；事业收入0.00万元，占0.00%；经营收入3835.77万元，占64.20%；附属单位上缴收入0.00万元，占0.00%；其他收入0.00万元，占0.00%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5003.73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基本支出2136.15万元，占42.69%；项目支出2.50万元，占0.05%；上缴上级支出0.00万元，占0.00%；经营支出2865.08万元，占57.26%；对附属单位补助支出0.00万元，占0.00%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2138.65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增加1230.60万元，增长135.52%</w:t>
      </w:r>
      <w:r>
        <w:rPr>
          <w:rFonts w:ascii="仿宋" w:eastAsia="仿宋" w:hAnsi="仿宋" w:cs="仿宋" w:hint="eastAsia"/>
          <w:kern w:val="0"/>
          <w:sz w:val="32"/>
          <w:szCs w:val="32"/>
          <w:lang w:val="en-US" w:eastAsia="zh-CN"/>
        </w:rPr>
        <w:t xml:space="preserve">。主要原因是上缴非税返还金额增加。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2138.65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42.74</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增加1230.60万元，增长135.52%</w:t>
      </w:r>
      <w:r>
        <w:rPr>
          <w:rFonts w:ascii="仿宋" w:eastAsia="仿宋" w:hAnsi="仿宋" w:cs="仿宋" w:hint="eastAsia"/>
          <w:kern w:val="0"/>
          <w:sz w:val="32"/>
          <w:szCs w:val="32"/>
          <w:lang w:val="en-US" w:eastAsia="zh-CN"/>
        </w:rPr>
        <w:t xml:space="preserve">。主要原因是上缴国有资源有偿使用返还金额增加。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2138.65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文化旅游体育与传媒支出（类）2135.30万元，占99.84%；社会保障和就业支出（类）0.85万元，占0.04%；农林水支出（类）2.50万元，占0.12%</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2138.65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2138.65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1.文化旅游体育与传媒支出（类）新闻出版电影（款）出版发行（项）</w:t>
      </w:r>
      <w:r>
        <w:rPr>
          <w:rFonts w:ascii="仿宋" w:eastAsia="仿宋" w:hAnsi="仿宋" w:cs="仿宋" w:hint="default"/>
          <w:kern w:val="0"/>
          <w:sz w:val="32"/>
          <w:szCs w:val="32"/>
          <w:lang w:val="en-US" w:eastAsia="zh-CN"/>
        </w:rPr>
        <w:t xml:space="preserve">年初预算数为1670.30万元，决算数1670.30万元,完成年初预算的100.00%，决算数与年初预算数不存在差异。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2.文化旅游体育与传媒支出（类）其他文化旅游体育与传媒支出（款）宣传文化发展专项支出（项）</w:t>
      </w:r>
      <w:r>
        <w:rPr>
          <w:rFonts w:ascii="仿宋" w:eastAsia="仿宋" w:hAnsi="仿宋" w:cs="仿宋" w:hint="default"/>
          <w:kern w:val="0"/>
          <w:sz w:val="32"/>
          <w:szCs w:val="32"/>
          <w:lang w:val="en-US" w:eastAsia="zh-CN"/>
        </w:rPr>
        <w:t xml:space="preserve">年初预算数为465.00万元，决算数465.00万元,完成年初预算的100.00%，决算数与年初预算数不存在差异。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3.社会保障和就业支出（类）就业补助（款）其他就业补助支出（项）</w:t>
      </w:r>
      <w:r>
        <w:rPr>
          <w:rFonts w:ascii="仿宋" w:eastAsia="仿宋" w:hAnsi="仿宋" w:cs="仿宋" w:hint="default"/>
          <w:kern w:val="0"/>
          <w:sz w:val="32"/>
          <w:szCs w:val="32"/>
          <w:lang w:val="en-US" w:eastAsia="zh-CN"/>
        </w:rPr>
        <w:t xml:space="preserve">年初预算数为0.85万元，决算数0.85万元,完成年初预算的100.00%，决算数与年初预算数不存在差异。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年初预算数为2.50万元，决算数2.50万元,完成年初预算的100.00%，决算数与年初预算数不存在差异。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2136.15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其中：人员经费1671.15万元，主要包括：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公用经费465.00万元，主要包括：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、信息网络及软件购置更新</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我部门不是行政机关，也不是参照公务员管理事业单位，没有机关运行经费支出。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6396.42</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99.61</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我单位整体预算执行率基本准确</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基于项目预期目标的实现程度，我部门对2023年度部门预算项目支出（含部门参与分配的转移支付项目）开展绩效自评，涉及项目0个，项目金额0万元。其中：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无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从项目绩效自评情况来看，无。</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_2c3966e3-3123-4406-ab4b-3effc9de8b21"/>
        <w:tblW w:w="0" w:type="auto"/>
        <w:tblLook w:val="04A0" w:firstRow="1" w:lastRow="0" w:firstColumn="1" w:lastColumn="0" w:noHBand="0" w:noVBand="1"/>
      </w:tblPr>
      <w:tblGrid>
        <w:gridCol w:w="911"/>
        <w:gridCol w:w="1476"/>
        <w:gridCol w:w="456"/>
        <w:gridCol w:w="456"/>
        <w:gridCol w:w="1436"/>
        <w:gridCol w:w="957"/>
        <w:gridCol w:w="1835"/>
        <w:gridCol w:w="976"/>
        <w:gridCol w:w="1190"/>
        <w:gridCol w:w="1298"/>
        <w:gridCol w:w="2967"/>
      </w:tblGrid>
      <w:tr w:rsidTr="00FE078F">
        <w:trPr>
          <w:trHeight w:val="570"/>
        </w:trPr>
        <w:tc>
          <w:tcPr>
            <w:tcW w:type="auto" w:w="0"/>
            <w:gridSpan w:val="11"/>
            <w:tcBorders>
              <w:top w:val="nil"/>
              <w:left w:val="nil"/>
              <w:bottom w:val="nil"/>
              <w:right w:val="nil"/>
            </w:tcBorders>
            <w:shd w:val="clear" w:color="auto" w:fill="auto"/>
            <w:vAlign w:val="center"/>
            <w:hideMark/>
          </w:tcPr>
          <w:p>
            <w:pPr>
              <w:pStyle w:val="Normal_a601dfb7-2e27-44a6-b1e3-91b297936508"/>
              <w:widowControl/>
              <w:jc w:val="center"/>
              <w:rPr>
                <w:rFonts w:ascii="宋体" w:eastAsia="宋体" w:hAnsi="宋体" w:cs="宋体"/>
                <w:b/>
                <w:bCs/>
                <w:kern w:val="0"/>
                <w:sz w:val="38"/>
                <w:szCs w:val="38"/>
              </w:rPr>
            </w:pPr>
            <w:r w:rsidRPr="00FE078F">
              <w:rPr>
                <w:rFonts w:ascii="宋体" w:eastAsia="宋体" w:hAnsi="宋体" w:cs="宋体" w:hint="eastAsia"/>
                <w:b/>
                <w:bCs/>
                <w:kern w:val="0"/>
                <w:sz w:val="38"/>
                <w:szCs w:val="38"/>
              </w:rPr>
              <w:t xml:space="preserve">部门整体自评表</w:t>
            </w:r>
          </w:p>
        </w:tc>
      </w:tr>
      <w:tr w:rsidTr="00FE078F">
        <w:trPr>
          <w:trHeight w:val="640"/>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部门（单位）名称</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许昌日报社</w:t>
            </w:r>
          </w:p>
        </w:tc>
      </w:tr>
      <w:tr w:rsidTr="00FE078F">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部门整体支出情况</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年初预算数</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全年预算数</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全年执行数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分值</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执行率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得分</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部门预算总额（万元）</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6396.42</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7199.77</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6229.77</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86.53</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9.61</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left"/>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资金来源：（1）政府预算资金</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2305.3</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3108.65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2138.65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68.8</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left"/>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（2）财政专户管理资金</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left"/>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（3）单位资金</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4091.12</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4091.12</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4091.12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w:t>
            </w:r>
          </w:p>
        </w:tc>
      </w:tr>
      <w:tr w:rsidTr="00FE078F">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年度履职目标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预期目标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实际完成情况</w:t>
            </w:r>
          </w:p>
        </w:tc>
      </w:tr>
      <w:tr w:rsidTr="00FE078F">
        <w:trPr>
          <w:trHeight w:val="679"/>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做好市委、市政府宣传工作</w:t>
            </w:r>
            <w:r>
              <w:rPr/>
              <w:br/>
            </w:r>
            <w:r w:rsidRPr="00FE078F">
              <w:rPr>
                <w:rFonts w:ascii="宋体" w:eastAsia="宋体" w:hAnsi="宋体" w:cs="宋体" w:hint="eastAsia"/>
                <w:kern w:val="0"/>
                <w:sz w:val="18"/>
                <w:szCs w:val="18"/>
              </w:rPr>
              <w:t xml:space="preserve">做好许昌日报报纸发行工作 </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我单位全年预算数偏大原因全年财政拨款数几乎固定，房租收入及广告收入需要造预算预防上缴非税收入后能及时返还。造成实际预算偏大。但财政拨款收入及单位资金都能确保保质保量完成。</w:t>
            </w:r>
          </w:p>
        </w:tc>
      </w:tr>
      <w:tr w:rsidTr="00FE078F">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年度主要任务</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任务名称</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主要内容</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实际完成情况</w:t>
            </w:r>
          </w:p>
        </w:tc>
      </w:tr>
      <w:tr w:rsidTr="00FE078F">
        <w:trPr>
          <w:trHeight w:val="709"/>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做好报纸宣传</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做好市委、市政府宣传工作</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完成</w:t>
            </w:r>
          </w:p>
        </w:tc>
      </w:tr>
      <w:tr w:rsidTr="00FE078F">
        <w:trPr>
          <w:trHeight w:val="709"/>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控制舆论</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把控舆论导向</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完成</w:t>
            </w:r>
          </w:p>
        </w:tc>
      </w:tr>
      <w:tr w:rsidTr="00FE078F">
        <w:trPr>
          <w:trHeight w:val="709"/>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宣传城市</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做好宣传美丽许昌形象</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完成</w:t>
            </w:r>
          </w:p>
        </w:tc>
      </w:tr>
      <w:tr w:rsidTr="00FE078F">
        <w:trPr>
          <w:trHeight w:val="285"/>
        </w:trPr>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一级指标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二级指标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三级指标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年度指标值</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得分</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偏差度</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偏差原因分析及改进措施</w:t>
            </w:r>
          </w:p>
        </w:tc>
      </w:tr>
      <w:tr w:rsidTr="00FE078F">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工作目标管理</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年度履职目标相关性</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相关</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工作任务科学性</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科学</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绩效指标合理性</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合理</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预算和财务管理</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预算编制完整性</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完整</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专项资金细化率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99%</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预算调整率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结转结余率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“三公经费”控制率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政府采购执行率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99%</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决算真实性</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真实</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资金使用合规性</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合规</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管理制度健全性</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健全</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预决算信息公开性</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公开</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资产管理规范性</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规范</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绩效管理</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绩效目标编制完成率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绩效监控完成率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绩效自评完成率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部门绩效评价完成率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评价结果应用率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产出指标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重点工作任务完成</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市委宣传任务完成率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履职目标实现</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报纸发行任务实现率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履职效益</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提升“美丽许昌”形象</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大幅提升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做好群众反映问题上报及</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做好市委方针政策及时率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vMerge/>
            <w:tcBorders>
              <w:top w:val="single" w:sz="4" w:space="0" w:color="000000"/>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满意度</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群众满意度率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r w:rsidTr="00FE078F">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a601dfb7-2e27-44a6-b1e3-91b297936508"/>
              <w:widowControl/>
              <w:jc w:val="left"/>
              <w:rPr>
                <w:rFonts w:ascii="宋体" w:eastAsia="宋体" w:hAnsi="宋体" w:cs="宋体"/>
                <w:kern w:val="0"/>
                <w:sz w:val="18"/>
                <w:szCs w:val="18"/>
              </w:rPr>
            </w:pPr>
          </w:p>
        </w:tc>
        <w:tc>
          <w:tcPr>
            <w:tcW w:type="auto" w:w="0"/>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center"/>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99.61</w:t>
            </w:r>
          </w:p>
        </w:tc>
        <w:tc>
          <w:tcPr>
            <w:tcW w:type="auto" w:w="0"/>
            <w:tcBorders>
              <w:top w:val="nil"/>
              <w:left w:val="nil"/>
              <w:bottom w:val="single" w:sz="4" w:space="0" w:color="000000"/>
              <w:right w:val="single" w:sz="4" w:space="0" w:color="000000"/>
            </w:tcBorders>
            <w:shd w:val="clear" w:color="auto" w:fill="auto"/>
            <w:vAlign w:val="center"/>
            <w:hideMark/>
          </w:tcPr>
          <w:p>
            <w:pPr>
              <w:pStyle w:val="Normal_a601dfb7-2e27-44a6-b1e3-91b297936508"/>
              <w:widowControl/>
              <w:jc w:val="left"/>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a601dfb7-2e27-44a6-b1e3-91b297936508"/>
              <w:widowControl/>
              <w:jc w:val="left"/>
              <w:rPr>
                <w:rFonts w:ascii="宋体" w:eastAsia="宋体" w:hAnsi="宋体" w:cs="宋体" w:hint="eastAsia"/>
                <w:kern w:val="0"/>
                <w:sz w:val="18"/>
                <w:szCs w:val="18"/>
              </w:rPr>
            </w:pPr>
            <w:r w:rsidRPr="00FE078F">
              <w:rPr>
                <w:rFonts w:ascii="宋体" w:eastAsia="宋体" w:hAnsi="宋体" w:cs="宋体" w:hint="eastAsia"/>
                <w:kern w:val="0"/>
                <w:sz w:val="18"/>
                <w:szCs w:val="18"/>
              </w:rPr>
              <w:t xml:space="preserve">　</w:t>
            </w:r>
          </w:p>
        </w:tc>
      </w:tr>
    </w:tbl>
    <w:p>
      <w:pPr>
        <w:pStyle w:val="Normal_a601dfb7-2e27-44a6-b1e3-91b297936508"/>
        <w:rPr/>
        <w:sectPr>
          <w:pgSz w:w="16838" w:h="11906" w:orient="landscape"/>
          <w:pgMar w:top="1800" w:right="1440" w:bottom="1800" w:left="1440" w:header="851" w:footer="992" w:gutter="0"/>
          <w:cols w:num="1" w:space="425">
            <w:col w:w="13958"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755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a601dfb7-2e27-44a6-b1e3-91b297936508">
    <w:name w:val="Normal_a601dfb7-2e27-44a6-b1e3-91b297936508"/>
    <w:qFormat/>
    <w:pPr>
      <w:widowControl w:val="0"/>
      <w:jc w:val="both"/>
    </w:pPr>
    <w:rPr/>
  </w:style>
  <w:style w:type="table" w:styleId="NormalTable_2c3966e3-3123-4406-ab4b-3effc9de8b21">
    <w:name w:val="Normal Table_2c3966e3-3123-4406-ab4b-3effc9de8b21"/>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