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许昌市财政信息管理中心单位决算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许昌市财政信息管理中心概况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许昌市财政信息管理中心概况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许昌市财政信息管理中心主要职责是：负责全市财政系统数据库、网络的建设、开发、维护及信息安全工作。保证全市全市财政系统信息化业务系统及其他信息化应用系统的正常运行，全市财政系统核心业务数据的集中存储和备份安全，保障各县（市、区）及市本级相关联网单位的广域网、城域网、局域网网络的畅通；承担全市财政系统信息资源开发、数据库建设和信息化服务；负责全市财政系统信息化管理人员的专业培训及全体财政干部职工的信息化培训。</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许昌市财政信息管理中心内设机构1个,包括：许昌市财政信息管理中心。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从决算单位构成看，许昌市财政信息管理中心单位决算包括：本级决算（1个）。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许昌市财政信息管理中心。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单位：许昌市财政信息管理中心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160.78</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166.71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10.60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5.73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5.14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160.78</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188.18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27.40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188.18</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188.18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单位：许昌市财政信息管理中心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160.78</w:t>
            </w:r>
          </w:p>
        </w:tc>
        <w:tc>
          <w:tcPr>
            <w:tcW w:w="1440" w:type="dxa"/>
            <w:vAlign w:val="center"/>
          </w:tcPr>
          <w:p>
            <w:pPr>
              <w:jc w:val="right"/>
            </w:pPr>
            <w:r>
              <w:rPr>
                <w:rFonts w:ascii="宋体" w:hAnsi="宋体" w:eastAsia="宋体" w:cs="宋体"/>
                <w:b/>
                <w:i w:val="0"/>
                <w:color w:val="000000"/>
                <w:sz w:val="17"/>
              </w:rPr>
              <w:t>160.78</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139.31</w:t>
            </w:r>
          </w:p>
        </w:tc>
        <w:tc>
          <w:tcPr>
            <w:tcW w:w="1440" w:type="dxa"/>
            <w:vAlign w:val="center"/>
          </w:tcPr>
          <w:p>
            <w:pPr>
              <w:jc w:val="right"/>
            </w:pPr>
            <w:r>
              <w:rPr>
                <w:rFonts w:ascii="宋体" w:hAnsi="宋体" w:eastAsia="宋体" w:cs="宋体"/>
                <w:b w:val="0"/>
                <w:i w:val="0"/>
                <w:color w:val="000000"/>
                <w:sz w:val="17"/>
              </w:rPr>
              <w:t>139.31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w:t>
            </w:r>
          </w:p>
        </w:tc>
        <w:tc>
          <w:tcPr>
            <w:tcW w:w="3140" w:type="dxa"/>
            <w:vAlign w:val="center"/>
          </w:tcPr>
          <w:p>
            <w:pPr>
              <w:jc w:val="left"/>
            </w:pPr>
            <w:r>
              <w:rPr>
                <w:rFonts w:ascii="宋体" w:hAnsi="宋体" w:eastAsia="宋体" w:cs="宋体"/>
                <w:b w:val="0"/>
                <w:i w:val="0"/>
                <w:color w:val="000000"/>
                <w:sz w:val="17"/>
              </w:rPr>
              <w:t>财政事务</w:t>
            </w:r>
          </w:p>
        </w:tc>
        <w:tc>
          <w:tcPr>
            <w:tcW w:w="1440" w:type="dxa"/>
            <w:vAlign w:val="center"/>
          </w:tcPr>
          <w:p>
            <w:pPr>
              <w:jc w:val="right"/>
            </w:pPr>
            <w:r>
              <w:rPr>
                <w:rFonts w:ascii="宋体" w:hAnsi="宋体" w:eastAsia="宋体" w:cs="宋体"/>
                <w:b w:val="0"/>
                <w:i w:val="0"/>
                <w:color w:val="000000"/>
                <w:sz w:val="17"/>
              </w:rPr>
              <w:t>133.62</w:t>
            </w:r>
          </w:p>
        </w:tc>
        <w:tc>
          <w:tcPr>
            <w:tcW w:w="1440" w:type="dxa"/>
            <w:vAlign w:val="center"/>
          </w:tcPr>
          <w:p>
            <w:pPr>
              <w:jc w:val="right"/>
            </w:pPr>
            <w:r>
              <w:rPr>
                <w:rFonts w:ascii="宋体" w:hAnsi="宋体" w:eastAsia="宋体" w:cs="宋体"/>
                <w:b w:val="0"/>
                <w:i w:val="0"/>
                <w:color w:val="000000"/>
                <w:sz w:val="17"/>
              </w:rPr>
              <w:t>133.62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132.07</w:t>
            </w:r>
          </w:p>
        </w:tc>
        <w:tc>
          <w:tcPr>
            <w:tcW w:w="1440" w:type="dxa"/>
            <w:vAlign w:val="center"/>
          </w:tcPr>
          <w:p>
            <w:pPr>
              <w:jc w:val="right"/>
            </w:pPr>
            <w:r>
              <w:rPr>
                <w:rFonts w:ascii="宋体" w:hAnsi="宋体" w:eastAsia="宋体" w:cs="宋体"/>
                <w:b w:val="0"/>
                <w:i w:val="0"/>
                <w:color w:val="000000"/>
                <w:sz w:val="17"/>
              </w:rPr>
              <w:t>132.07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2010699</w:t>
            </w:r>
          </w:p>
        </w:tc>
        <w:tc>
          <w:tcPr>
            <w:tcW w:w="3140" w:type="dxa"/>
            <w:vAlign w:val="center"/>
          </w:tcPr>
          <w:p>
            <w:pPr>
              <w:jc w:val="left"/>
            </w:pPr>
            <w:r>
              <w:rPr>
                <w:rFonts w:ascii="宋体" w:hAnsi="宋体" w:eastAsia="宋体" w:cs="宋体"/>
                <w:b w:val="0"/>
                <w:i w:val="0"/>
                <w:color w:val="000000"/>
                <w:sz w:val="17"/>
              </w:rPr>
              <w:t>其他财政事务支出</w:t>
            </w:r>
          </w:p>
        </w:tc>
        <w:tc>
          <w:tcPr>
            <w:tcW w:w="1440" w:type="dxa"/>
            <w:vAlign w:val="center"/>
          </w:tcPr>
          <w:p>
            <w:pPr>
              <w:jc w:val="right"/>
            </w:pPr>
            <w:r>
              <w:rPr>
                <w:rFonts w:ascii="宋体" w:hAnsi="宋体" w:eastAsia="宋体" w:cs="宋体"/>
                <w:b w:val="0"/>
                <w:i w:val="0"/>
                <w:color w:val="000000"/>
                <w:sz w:val="17"/>
              </w:rPr>
              <w:t>1.55</w:t>
            </w:r>
          </w:p>
        </w:tc>
        <w:tc>
          <w:tcPr>
            <w:tcW w:w="1440" w:type="dxa"/>
            <w:vAlign w:val="center"/>
          </w:tcPr>
          <w:p>
            <w:pPr>
              <w:jc w:val="right"/>
            </w:pPr>
            <w:r>
              <w:rPr>
                <w:rFonts w:ascii="宋体" w:hAnsi="宋体" w:eastAsia="宋体" w:cs="宋体"/>
                <w:b w:val="0"/>
                <w:i w:val="0"/>
                <w:color w:val="000000"/>
                <w:sz w:val="17"/>
              </w:rPr>
              <w:t>1.55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0.41</w:t>
            </w:r>
          </w:p>
        </w:tc>
        <w:tc>
          <w:tcPr>
            <w:tcW w:w="1440" w:type="dxa"/>
            <w:vAlign w:val="center"/>
          </w:tcPr>
          <w:p>
            <w:pPr>
              <w:jc w:val="right"/>
            </w:pPr>
            <w:r>
              <w:rPr>
                <w:rFonts w:ascii="宋体" w:hAnsi="宋体" w:eastAsia="宋体" w:cs="宋体"/>
                <w:b w:val="0"/>
                <w:i w:val="0"/>
                <w:color w:val="000000"/>
                <w:sz w:val="17"/>
              </w:rPr>
              <w:t>0.41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0.41</w:t>
            </w:r>
          </w:p>
        </w:tc>
        <w:tc>
          <w:tcPr>
            <w:tcW w:w="1440" w:type="dxa"/>
            <w:vAlign w:val="center"/>
          </w:tcPr>
          <w:p>
            <w:pPr>
              <w:jc w:val="right"/>
            </w:pPr>
            <w:r>
              <w:rPr>
                <w:rFonts w:ascii="宋体" w:hAnsi="宋体" w:eastAsia="宋体" w:cs="宋体"/>
                <w:b w:val="0"/>
                <w:i w:val="0"/>
                <w:color w:val="000000"/>
                <w:sz w:val="17"/>
              </w:rPr>
              <w:t>0.41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5.28</w:t>
            </w:r>
          </w:p>
        </w:tc>
        <w:tc>
          <w:tcPr>
            <w:tcW w:w="1440" w:type="dxa"/>
            <w:vAlign w:val="center"/>
          </w:tcPr>
          <w:p>
            <w:pPr>
              <w:jc w:val="right"/>
            </w:pPr>
            <w:r>
              <w:rPr>
                <w:rFonts w:ascii="宋体" w:hAnsi="宋体" w:eastAsia="宋体" w:cs="宋体"/>
                <w:b w:val="0"/>
                <w:i w:val="0"/>
                <w:color w:val="000000"/>
                <w:sz w:val="17"/>
              </w:rPr>
              <w:t>5.28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5.28</w:t>
            </w:r>
          </w:p>
        </w:tc>
        <w:tc>
          <w:tcPr>
            <w:tcW w:w="1440" w:type="dxa"/>
            <w:vAlign w:val="center"/>
          </w:tcPr>
          <w:p>
            <w:pPr>
              <w:jc w:val="right"/>
            </w:pPr>
            <w:r>
              <w:rPr>
                <w:rFonts w:ascii="宋体" w:hAnsi="宋体" w:eastAsia="宋体" w:cs="宋体"/>
                <w:b w:val="0"/>
                <w:i w:val="0"/>
                <w:color w:val="000000"/>
                <w:sz w:val="17"/>
              </w:rPr>
              <w:t>5.28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10.60</w:t>
            </w:r>
          </w:p>
        </w:tc>
        <w:tc>
          <w:tcPr>
            <w:tcW w:w="1440" w:type="dxa"/>
            <w:vAlign w:val="center"/>
          </w:tcPr>
          <w:p>
            <w:pPr>
              <w:jc w:val="right"/>
            </w:pPr>
            <w:r>
              <w:rPr>
                <w:rFonts w:ascii="宋体" w:hAnsi="宋体" w:eastAsia="宋体" w:cs="宋体"/>
                <w:b w:val="0"/>
                <w:i w:val="0"/>
                <w:color w:val="000000"/>
                <w:sz w:val="17"/>
              </w:rPr>
              <w:t>10.60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10.60</w:t>
            </w:r>
          </w:p>
        </w:tc>
        <w:tc>
          <w:tcPr>
            <w:tcW w:w="1440" w:type="dxa"/>
            <w:vAlign w:val="center"/>
          </w:tcPr>
          <w:p>
            <w:pPr>
              <w:jc w:val="right"/>
            </w:pPr>
            <w:r>
              <w:rPr>
                <w:rFonts w:ascii="宋体" w:hAnsi="宋体" w:eastAsia="宋体" w:cs="宋体"/>
                <w:b w:val="0"/>
                <w:i w:val="0"/>
                <w:color w:val="000000"/>
                <w:sz w:val="17"/>
              </w:rPr>
              <w:t>10.60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5.40</w:t>
            </w:r>
          </w:p>
        </w:tc>
        <w:tc>
          <w:tcPr>
            <w:tcW w:w="1440" w:type="dxa"/>
            <w:vAlign w:val="center"/>
          </w:tcPr>
          <w:p>
            <w:pPr>
              <w:jc w:val="right"/>
            </w:pPr>
            <w:r>
              <w:rPr>
                <w:rFonts w:ascii="宋体" w:hAnsi="宋体" w:eastAsia="宋体" w:cs="宋体"/>
                <w:b w:val="0"/>
                <w:i w:val="0"/>
                <w:color w:val="000000"/>
                <w:sz w:val="17"/>
              </w:rPr>
              <w:t>5.40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5.20</w:t>
            </w:r>
          </w:p>
        </w:tc>
        <w:tc>
          <w:tcPr>
            <w:tcW w:w="1440" w:type="dxa"/>
            <w:vAlign w:val="center"/>
          </w:tcPr>
          <w:p>
            <w:pPr>
              <w:jc w:val="right"/>
            </w:pPr>
            <w:r>
              <w:rPr>
                <w:rFonts w:ascii="宋体" w:hAnsi="宋体" w:eastAsia="宋体" w:cs="宋体"/>
                <w:b w:val="0"/>
                <w:i w:val="0"/>
                <w:color w:val="000000"/>
                <w:sz w:val="17"/>
              </w:rPr>
              <w:t>5.20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5.73</w:t>
            </w:r>
          </w:p>
        </w:tc>
        <w:tc>
          <w:tcPr>
            <w:tcW w:w="1440" w:type="dxa"/>
            <w:vAlign w:val="center"/>
          </w:tcPr>
          <w:p>
            <w:pPr>
              <w:jc w:val="right"/>
            </w:pPr>
            <w:r>
              <w:rPr>
                <w:rFonts w:ascii="宋体" w:hAnsi="宋体" w:eastAsia="宋体" w:cs="宋体"/>
                <w:b w:val="0"/>
                <w:i w:val="0"/>
                <w:color w:val="000000"/>
                <w:sz w:val="17"/>
              </w:rPr>
              <w:t>5.73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5.73</w:t>
            </w:r>
          </w:p>
        </w:tc>
        <w:tc>
          <w:tcPr>
            <w:tcW w:w="1440" w:type="dxa"/>
            <w:vAlign w:val="center"/>
          </w:tcPr>
          <w:p>
            <w:pPr>
              <w:jc w:val="right"/>
            </w:pPr>
            <w:r>
              <w:rPr>
                <w:rFonts w:ascii="宋体" w:hAnsi="宋体" w:eastAsia="宋体" w:cs="宋体"/>
                <w:b w:val="0"/>
                <w:i w:val="0"/>
                <w:color w:val="000000"/>
                <w:sz w:val="17"/>
              </w:rPr>
              <w:t>5.73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2.73</w:t>
            </w:r>
          </w:p>
        </w:tc>
        <w:tc>
          <w:tcPr>
            <w:tcW w:w="1440" w:type="dxa"/>
            <w:vAlign w:val="center"/>
          </w:tcPr>
          <w:p>
            <w:pPr>
              <w:jc w:val="right"/>
            </w:pPr>
            <w:r>
              <w:rPr>
                <w:rFonts w:ascii="宋体" w:hAnsi="宋体" w:eastAsia="宋体" w:cs="宋体"/>
                <w:b w:val="0"/>
                <w:i w:val="0"/>
                <w:color w:val="000000"/>
                <w:sz w:val="17"/>
              </w:rPr>
              <w:t>2.73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5.14</w:t>
            </w:r>
          </w:p>
        </w:tc>
        <w:tc>
          <w:tcPr>
            <w:tcW w:w="1440" w:type="dxa"/>
            <w:vAlign w:val="center"/>
          </w:tcPr>
          <w:p>
            <w:pPr>
              <w:jc w:val="right"/>
            </w:pPr>
            <w:r>
              <w:rPr>
                <w:rFonts w:ascii="宋体" w:hAnsi="宋体" w:eastAsia="宋体" w:cs="宋体"/>
                <w:b w:val="0"/>
                <w:i w:val="0"/>
                <w:color w:val="000000"/>
                <w:sz w:val="17"/>
              </w:rPr>
              <w:t>5.14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5.14</w:t>
            </w:r>
          </w:p>
        </w:tc>
        <w:tc>
          <w:tcPr>
            <w:tcW w:w="1440" w:type="dxa"/>
            <w:vAlign w:val="center"/>
          </w:tcPr>
          <w:p>
            <w:pPr>
              <w:jc w:val="right"/>
            </w:pPr>
            <w:r>
              <w:rPr>
                <w:rFonts w:ascii="宋体" w:hAnsi="宋体" w:eastAsia="宋体" w:cs="宋体"/>
                <w:b w:val="0"/>
                <w:i w:val="0"/>
                <w:color w:val="000000"/>
                <w:sz w:val="17"/>
              </w:rPr>
              <w:t>5.14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5.14</w:t>
            </w:r>
          </w:p>
        </w:tc>
        <w:tc>
          <w:tcPr>
            <w:tcW w:w="1440" w:type="dxa"/>
            <w:vAlign w:val="center"/>
          </w:tcPr>
          <w:p>
            <w:pPr>
              <w:jc w:val="right"/>
            </w:pPr>
            <w:r>
              <w:rPr>
                <w:rFonts w:ascii="宋体" w:hAnsi="宋体" w:eastAsia="宋体" w:cs="宋体"/>
                <w:b w:val="0"/>
                <w:i w:val="0"/>
                <w:color w:val="000000"/>
                <w:sz w:val="17"/>
              </w:rPr>
              <w:t>5.14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单位：许昌市财政信息管理中心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188.18</w:t>
            </w:r>
          </w:p>
        </w:tc>
        <w:tc>
          <w:tcPr>
            <w:tcW w:w="1600" w:type="dxa"/>
            <w:vAlign w:val="center"/>
          </w:tcPr>
          <w:p>
            <w:pPr>
              <w:jc w:val="right"/>
            </w:pPr>
            <w:r>
              <w:rPr>
                <w:rFonts w:ascii="宋体" w:hAnsi="宋体" w:eastAsia="宋体" w:cs="宋体"/>
                <w:b/>
                <w:i w:val="0"/>
                <w:color w:val="000000"/>
                <w:sz w:val="19"/>
              </w:rPr>
              <w:t>113.18</w:t>
            </w:r>
          </w:p>
        </w:tc>
        <w:tc>
          <w:tcPr>
            <w:tcW w:w="1600" w:type="dxa"/>
            <w:vAlign w:val="center"/>
          </w:tcPr>
          <w:p>
            <w:pPr>
              <w:jc w:val="right"/>
            </w:pPr>
            <w:r>
              <w:rPr>
                <w:rFonts w:ascii="宋体" w:hAnsi="宋体" w:eastAsia="宋体" w:cs="宋体"/>
                <w:b/>
                <w:i w:val="0"/>
                <w:color w:val="000000"/>
                <w:sz w:val="19"/>
              </w:rPr>
              <w:t>75.00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166.71</w:t>
            </w:r>
          </w:p>
        </w:tc>
        <w:tc>
          <w:tcPr>
            <w:tcW w:w="1600" w:type="dxa"/>
            <w:vAlign w:val="center"/>
          </w:tcPr>
          <w:p>
            <w:pPr>
              <w:jc w:val="right"/>
            </w:pPr>
            <w:r>
              <w:rPr>
                <w:rFonts w:ascii="宋体" w:hAnsi="宋体" w:eastAsia="宋体" w:cs="宋体"/>
                <w:b w:val="0"/>
                <w:i w:val="0"/>
                <w:color w:val="000000"/>
                <w:sz w:val="19"/>
              </w:rPr>
              <w:t>91.71</w:t>
            </w:r>
          </w:p>
        </w:tc>
        <w:tc>
          <w:tcPr>
            <w:tcW w:w="1600" w:type="dxa"/>
            <w:vAlign w:val="center"/>
          </w:tcPr>
          <w:p>
            <w:pPr>
              <w:jc w:val="right"/>
            </w:pPr>
            <w:r>
              <w:rPr>
                <w:rFonts w:ascii="宋体" w:hAnsi="宋体" w:eastAsia="宋体" w:cs="宋体"/>
                <w:b w:val="0"/>
                <w:i w:val="0"/>
                <w:color w:val="000000"/>
                <w:sz w:val="19"/>
              </w:rPr>
              <w:t>75.00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w:t>
            </w:r>
          </w:p>
        </w:tc>
        <w:tc>
          <w:tcPr>
            <w:tcW w:w="3480" w:type="dxa"/>
            <w:vAlign w:val="center"/>
          </w:tcPr>
          <w:p>
            <w:pPr>
              <w:jc w:val="left"/>
            </w:pPr>
            <w:r>
              <w:rPr>
                <w:rFonts w:ascii="宋体" w:hAnsi="宋体" w:eastAsia="宋体" w:cs="宋体"/>
                <w:b w:val="0"/>
                <w:i w:val="0"/>
                <w:color w:val="000000"/>
                <w:sz w:val="19"/>
              </w:rPr>
              <w:t>财政事务</w:t>
            </w:r>
          </w:p>
        </w:tc>
        <w:tc>
          <w:tcPr>
            <w:tcW w:w="1600" w:type="dxa"/>
            <w:vAlign w:val="center"/>
          </w:tcPr>
          <w:p>
            <w:pPr>
              <w:jc w:val="right"/>
            </w:pPr>
            <w:r>
              <w:rPr>
                <w:rFonts w:ascii="宋体" w:hAnsi="宋体" w:eastAsia="宋体" w:cs="宋体"/>
                <w:b w:val="0"/>
                <w:i w:val="0"/>
                <w:color w:val="000000"/>
                <w:sz w:val="19"/>
              </w:rPr>
              <w:t>161.02</w:t>
            </w:r>
          </w:p>
        </w:tc>
        <w:tc>
          <w:tcPr>
            <w:tcW w:w="1600" w:type="dxa"/>
            <w:vAlign w:val="center"/>
          </w:tcPr>
          <w:p>
            <w:pPr>
              <w:jc w:val="right"/>
            </w:pPr>
            <w:r>
              <w:rPr>
                <w:rFonts w:ascii="宋体" w:hAnsi="宋体" w:eastAsia="宋体" w:cs="宋体"/>
                <w:b w:val="0"/>
                <w:i w:val="0"/>
                <w:color w:val="000000"/>
                <w:sz w:val="19"/>
              </w:rPr>
              <w:t>86.02</w:t>
            </w:r>
          </w:p>
        </w:tc>
        <w:tc>
          <w:tcPr>
            <w:tcW w:w="1600" w:type="dxa"/>
            <w:vAlign w:val="center"/>
          </w:tcPr>
          <w:p>
            <w:pPr>
              <w:jc w:val="right"/>
            </w:pPr>
            <w:r>
              <w:rPr>
                <w:rFonts w:ascii="宋体" w:hAnsi="宋体" w:eastAsia="宋体" w:cs="宋体"/>
                <w:b w:val="0"/>
                <w:i w:val="0"/>
                <w:color w:val="000000"/>
                <w:sz w:val="19"/>
              </w:rPr>
              <w:t>75.00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27.40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27.40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132.07</w:t>
            </w:r>
          </w:p>
        </w:tc>
        <w:tc>
          <w:tcPr>
            <w:tcW w:w="1600" w:type="dxa"/>
            <w:vAlign w:val="center"/>
          </w:tcPr>
          <w:p>
            <w:pPr>
              <w:jc w:val="right"/>
            </w:pPr>
            <w:r>
              <w:rPr>
                <w:rFonts w:ascii="宋体" w:hAnsi="宋体" w:eastAsia="宋体" w:cs="宋体"/>
                <w:b w:val="0"/>
                <w:i w:val="0"/>
                <w:color w:val="000000"/>
                <w:sz w:val="19"/>
              </w:rPr>
              <w:t>84.47</w:t>
            </w:r>
          </w:p>
        </w:tc>
        <w:tc>
          <w:tcPr>
            <w:tcW w:w="1600" w:type="dxa"/>
            <w:vAlign w:val="center"/>
          </w:tcPr>
          <w:p>
            <w:pPr>
              <w:jc w:val="right"/>
            </w:pPr>
            <w:r>
              <w:rPr>
                <w:rFonts w:ascii="宋体" w:hAnsi="宋体" w:eastAsia="宋体" w:cs="宋体"/>
                <w:b w:val="0"/>
                <w:i w:val="0"/>
                <w:color w:val="000000"/>
                <w:sz w:val="19"/>
              </w:rPr>
              <w:t>47.60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2010699</w:t>
            </w:r>
          </w:p>
        </w:tc>
        <w:tc>
          <w:tcPr>
            <w:tcW w:w="3480" w:type="dxa"/>
            <w:vAlign w:val="center"/>
          </w:tcPr>
          <w:p>
            <w:pPr>
              <w:jc w:val="left"/>
            </w:pPr>
            <w:r>
              <w:rPr>
                <w:rFonts w:ascii="宋体" w:hAnsi="宋体" w:eastAsia="宋体" w:cs="宋体"/>
                <w:b w:val="0"/>
                <w:i w:val="0"/>
                <w:color w:val="000000"/>
                <w:sz w:val="19"/>
              </w:rPr>
              <w:t>其他财政事务支出</w:t>
            </w:r>
          </w:p>
        </w:tc>
        <w:tc>
          <w:tcPr>
            <w:tcW w:w="1600" w:type="dxa"/>
            <w:vAlign w:val="center"/>
          </w:tcPr>
          <w:p>
            <w:pPr>
              <w:jc w:val="right"/>
            </w:pPr>
            <w:r>
              <w:rPr>
                <w:rFonts w:ascii="宋体" w:hAnsi="宋体" w:eastAsia="宋体" w:cs="宋体"/>
                <w:b w:val="0"/>
                <w:i w:val="0"/>
                <w:color w:val="000000"/>
                <w:sz w:val="19"/>
              </w:rPr>
              <w:t>1.55</w:t>
            </w:r>
          </w:p>
        </w:tc>
        <w:tc>
          <w:tcPr>
            <w:tcW w:w="1600" w:type="dxa"/>
            <w:vAlign w:val="center"/>
          </w:tcPr>
          <w:p>
            <w:pPr>
              <w:jc w:val="right"/>
            </w:pPr>
            <w:r>
              <w:rPr>
                <w:rFonts w:ascii="宋体" w:hAnsi="宋体" w:eastAsia="宋体" w:cs="宋体"/>
                <w:b w:val="0"/>
                <w:i w:val="0"/>
                <w:color w:val="000000"/>
                <w:sz w:val="19"/>
              </w:rPr>
              <w:t>1.55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0.41</w:t>
            </w:r>
          </w:p>
        </w:tc>
        <w:tc>
          <w:tcPr>
            <w:tcW w:w="1600" w:type="dxa"/>
            <w:vAlign w:val="center"/>
          </w:tcPr>
          <w:p>
            <w:pPr>
              <w:jc w:val="right"/>
            </w:pPr>
            <w:r>
              <w:rPr>
                <w:rFonts w:ascii="宋体" w:hAnsi="宋体" w:eastAsia="宋体" w:cs="宋体"/>
                <w:b w:val="0"/>
                <w:i w:val="0"/>
                <w:color w:val="000000"/>
                <w:sz w:val="19"/>
              </w:rPr>
              <w:t>0.41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0.41</w:t>
            </w:r>
          </w:p>
        </w:tc>
        <w:tc>
          <w:tcPr>
            <w:tcW w:w="1600" w:type="dxa"/>
            <w:vAlign w:val="center"/>
          </w:tcPr>
          <w:p>
            <w:pPr>
              <w:jc w:val="right"/>
            </w:pPr>
            <w:r>
              <w:rPr>
                <w:rFonts w:ascii="宋体" w:hAnsi="宋体" w:eastAsia="宋体" w:cs="宋体"/>
                <w:b w:val="0"/>
                <w:i w:val="0"/>
                <w:color w:val="000000"/>
                <w:sz w:val="19"/>
              </w:rPr>
              <w:t>0.41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5.28</w:t>
            </w:r>
          </w:p>
        </w:tc>
        <w:tc>
          <w:tcPr>
            <w:tcW w:w="1600" w:type="dxa"/>
            <w:vAlign w:val="center"/>
          </w:tcPr>
          <w:p>
            <w:pPr>
              <w:jc w:val="right"/>
            </w:pPr>
            <w:r>
              <w:rPr>
                <w:rFonts w:ascii="宋体" w:hAnsi="宋体" w:eastAsia="宋体" w:cs="宋体"/>
                <w:b w:val="0"/>
                <w:i w:val="0"/>
                <w:color w:val="000000"/>
                <w:sz w:val="19"/>
              </w:rPr>
              <w:t>5.28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5.28</w:t>
            </w:r>
          </w:p>
        </w:tc>
        <w:tc>
          <w:tcPr>
            <w:tcW w:w="1600" w:type="dxa"/>
            <w:vAlign w:val="center"/>
          </w:tcPr>
          <w:p>
            <w:pPr>
              <w:jc w:val="right"/>
            </w:pPr>
            <w:r>
              <w:rPr>
                <w:rFonts w:ascii="宋体" w:hAnsi="宋体" w:eastAsia="宋体" w:cs="宋体"/>
                <w:b w:val="0"/>
                <w:i w:val="0"/>
                <w:color w:val="000000"/>
                <w:sz w:val="19"/>
              </w:rPr>
              <w:t>5.28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10.60</w:t>
            </w:r>
          </w:p>
        </w:tc>
        <w:tc>
          <w:tcPr>
            <w:tcW w:w="1600" w:type="dxa"/>
            <w:vAlign w:val="center"/>
          </w:tcPr>
          <w:p>
            <w:pPr>
              <w:jc w:val="right"/>
            </w:pPr>
            <w:r>
              <w:rPr>
                <w:rFonts w:ascii="宋体" w:hAnsi="宋体" w:eastAsia="宋体" w:cs="宋体"/>
                <w:b w:val="0"/>
                <w:i w:val="0"/>
                <w:color w:val="000000"/>
                <w:sz w:val="19"/>
              </w:rPr>
              <w:t>10.60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10.60</w:t>
            </w:r>
          </w:p>
        </w:tc>
        <w:tc>
          <w:tcPr>
            <w:tcW w:w="1600" w:type="dxa"/>
            <w:vAlign w:val="center"/>
          </w:tcPr>
          <w:p>
            <w:pPr>
              <w:jc w:val="right"/>
            </w:pPr>
            <w:r>
              <w:rPr>
                <w:rFonts w:ascii="宋体" w:hAnsi="宋体" w:eastAsia="宋体" w:cs="宋体"/>
                <w:b w:val="0"/>
                <w:i w:val="0"/>
                <w:color w:val="000000"/>
                <w:sz w:val="19"/>
              </w:rPr>
              <w:t>10.60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5.40</w:t>
            </w:r>
          </w:p>
        </w:tc>
        <w:tc>
          <w:tcPr>
            <w:tcW w:w="1600" w:type="dxa"/>
            <w:vAlign w:val="center"/>
          </w:tcPr>
          <w:p>
            <w:pPr>
              <w:jc w:val="right"/>
            </w:pPr>
            <w:r>
              <w:rPr>
                <w:rFonts w:ascii="宋体" w:hAnsi="宋体" w:eastAsia="宋体" w:cs="宋体"/>
                <w:b w:val="0"/>
                <w:i w:val="0"/>
                <w:color w:val="000000"/>
                <w:sz w:val="19"/>
              </w:rPr>
              <w:t>5.40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5.20</w:t>
            </w:r>
          </w:p>
        </w:tc>
        <w:tc>
          <w:tcPr>
            <w:tcW w:w="1600" w:type="dxa"/>
            <w:vAlign w:val="center"/>
          </w:tcPr>
          <w:p>
            <w:pPr>
              <w:jc w:val="right"/>
            </w:pPr>
            <w:r>
              <w:rPr>
                <w:rFonts w:ascii="宋体" w:hAnsi="宋体" w:eastAsia="宋体" w:cs="宋体"/>
                <w:b w:val="0"/>
                <w:i w:val="0"/>
                <w:color w:val="000000"/>
                <w:sz w:val="19"/>
              </w:rPr>
              <w:t>5.20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5.73</w:t>
            </w:r>
          </w:p>
        </w:tc>
        <w:tc>
          <w:tcPr>
            <w:tcW w:w="1600" w:type="dxa"/>
            <w:vAlign w:val="center"/>
          </w:tcPr>
          <w:p>
            <w:pPr>
              <w:jc w:val="right"/>
            </w:pPr>
            <w:r>
              <w:rPr>
                <w:rFonts w:ascii="宋体" w:hAnsi="宋体" w:eastAsia="宋体" w:cs="宋体"/>
                <w:b w:val="0"/>
                <w:i w:val="0"/>
                <w:color w:val="000000"/>
                <w:sz w:val="19"/>
              </w:rPr>
              <w:t>5.73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5.73</w:t>
            </w:r>
          </w:p>
        </w:tc>
        <w:tc>
          <w:tcPr>
            <w:tcW w:w="1600" w:type="dxa"/>
            <w:vAlign w:val="center"/>
          </w:tcPr>
          <w:p>
            <w:pPr>
              <w:jc w:val="right"/>
            </w:pPr>
            <w:r>
              <w:rPr>
                <w:rFonts w:ascii="宋体" w:hAnsi="宋体" w:eastAsia="宋体" w:cs="宋体"/>
                <w:b w:val="0"/>
                <w:i w:val="0"/>
                <w:color w:val="000000"/>
                <w:sz w:val="19"/>
              </w:rPr>
              <w:t>5.73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2.73</w:t>
            </w:r>
          </w:p>
        </w:tc>
        <w:tc>
          <w:tcPr>
            <w:tcW w:w="1600" w:type="dxa"/>
            <w:vAlign w:val="center"/>
          </w:tcPr>
          <w:p>
            <w:pPr>
              <w:jc w:val="right"/>
            </w:pPr>
            <w:r>
              <w:rPr>
                <w:rFonts w:ascii="宋体" w:hAnsi="宋体" w:eastAsia="宋体" w:cs="宋体"/>
                <w:b w:val="0"/>
                <w:i w:val="0"/>
                <w:color w:val="000000"/>
                <w:sz w:val="19"/>
              </w:rPr>
              <w:t>2.73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5.14</w:t>
            </w:r>
          </w:p>
        </w:tc>
        <w:tc>
          <w:tcPr>
            <w:tcW w:w="1600" w:type="dxa"/>
            <w:vAlign w:val="center"/>
          </w:tcPr>
          <w:p>
            <w:pPr>
              <w:jc w:val="right"/>
            </w:pPr>
            <w:r>
              <w:rPr>
                <w:rFonts w:ascii="宋体" w:hAnsi="宋体" w:eastAsia="宋体" w:cs="宋体"/>
                <w:b w:val="0"/>
                <w:i w:val="0"/>
                <w:color w:val="000000"/>
                <w:sz w:val="19"/>
              </w:rPr>
              <w:t>5.14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5.14</w:t>
            </w:r>
          </w:p>
        </w:tc>
        <w:tc>
          <w:tcPr>
            <w:tcW w:w="1600" w:type="dxa"/>
            <w:vAlign w:val="center"/>
          </w:tcPr>
          <w:p>
            <w:pPr>
              <w:jc w:val="right"/>
            </w:pPr>
            <w:r>
              <w:rPr>
                <w:rFonts w:ascii="宋体" w:hAnsi="宋体" w:eastAsia="宋体" w:cs="宋体"/>
                <w:b w:val="0"/>
                <w:i w:val="0"/>
                <w:color w:val="000000"/>
                <w:sz w:val="19"/>
              </w:rPr>
              <w:t>5.14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5.14</w:t>
            </w:r>
          </w:p>
        </w:tc>
        <w:tc>
          <w:tcPr>
            <w:tcW w:w="1600" w:type="dxa"/>
            <w:vAlign w:val="center"/>
          </w:tcPr>
          <w:p>
            <w:pPr>
              <w:jc w:val="right"/>
            </w:pPr>
            <w:r>
              <w:rPr>
                <w:rFonts w:ascii="宋体" w:hAnsi="宋体" w:eastAsia="宋体" w:cs="宋体"/>
                <w:b w:val="0"/>
                <w:i w:val="0"/>
                <w:color w:val="000000"/>
                <w:sz w:val="19"/>
              </w:rPr>
              <w:t>5.14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单位：许昌市财政信息管理中心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160.78</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166.71</w:t>
            </w:r>
          </w:p>
        </w:tc>
        <w:tc>
          <w:tcPr>
            <w:tcW w:w="1420" w:type="dxa"/>
            <w:vAlign w:val="center"/>
          </w:tcPr>
          <w:p>
            <w:pPr>
              <w:jc w:val="right"/>
            </w:pPr>
            <w:r>
              <w:rPr>
                <w:rFonts w:ascii="宋体" w:hAnsi="宋体" w:eastAsia="宋体" w:cs="宋体"/>
                <w:b w:val="0"/>
                <w:i w:val="0"/>
                <w:color w:val="000000"/>
                <w:sz w:val="18"/>
              </w:rPr>
              <w:t>166.71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10.60</w:t>
            </w:r>
          </w:p>
        </w:tc>
        <w:tc>
          <w:tcPr>
            <w:tcW w:w="1420" w:type="dxa"/>
            <w:vAlign w:val="center"/>
          </w:tcPr>
          <w:p>
            <w:pPr>
              <w:jc w:val="right"/>
            </w:pPr>
            <w:r>
              <w:rPr>
                <w:rFonts w:ascii="宋体" w:hAnsi="宋体" w:eastAsia="宋体" w:cs="宋体"/>
                <w:b w:val="0"/>
                <w:i w:val="0"/>
                <w:color w:val="000000"/>
                <w:sz w:val="18"/>
              </w:rPr>
              <w:t>10.60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5.73</w:t>
            </w:r>
          </w:p>
        </w:tc>
        <w:tc>
          <w:tcPr>
            <w:tcW w:w="1420" w:type="dxa"/>
            <w:vAlign w:val="center"/>
          </w:tcPr>
          <w:p>
            <w:pPr>
              <w:jc w:val="right"/>
            </w:pPr>
            <w:r>
              <w:rPr>
                <w:rFonts w:ascii="宋体" w:hAnsi="宋体" w:eastAsia="宋体" w:cs="宋体"/>
                <w:b w:val="0"/>
                <w:i w:val="0"/>
                <w:color w:val="000000"/>
                <w:sz w:val="18"/>
              </w:rPr>
              <w:t>5.73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5.14</w:t>
            </w:r>
          </w:p>
        </w:tc>
        <w:tc>
          <w:tcPr>
            <w:tcW w:w="1420" w:type="dxa"/>
            <w:vAlign w:val="center"/>
          </w:tcPr>
          <w:p>
            <w:pPr>
              <w:jc w:val="right"/>
            </w:pPr>
            <w:r>
              <w:rPr>
                <w:rFonts w:ascii="宋体" w:hAnsi="宋体" w:eastAsia="宋体" w:cs="宋体"/>
                <w:b w:val="0"/>
                <w:i w:val="0"/>
                <w:color w:val="000000"/>
                <w:sz w:val="18"/>
              </w:rPr>
              <w:t>5.14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160.78</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188.18</w:t>
            </w:r>
          </w:p>
        </w:tc>
        <w:tc>
          <w:tcPr>
            <w:tcW w:w="1420" w:type="dxa"/>
            <w:vAlign w:val="center"/>
          </w:tcPr>
          <w:p>
            <w:pPr>
              <w:jc w:val="right"/>
            </w:pPr>
            <w:r>
              <w:rPr>
                <w:rFonts w:ascii="宋体" w:hAnsi="宋体" w:eastAsia="宋体" w:cs="宋体"/>
                <w:b w:val="0"/>
                <w:i w:val="0"/>
                <w:color w:val="000000"/>
                <w:sz w:val="18"/>
              </w:rPr>
              <w:t>188.18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27.40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27.40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188.18</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188.18</w:t>
            </w:r>
          </w:p>
        </w:tc>
        <w:tc>
          <w:tcPr>
            <w:tcW w:w="1420" w:type="dxa"/>
            <w:vAlign w:val="center"/>
          </w:tcPr>
          <w:p>
            <w:pPr>
              <w:jc w:val="right"/>
            </w:pPr>
            <w:r>
              <w:rPr>
                <w:rFonts w:ascii="宋体" w:hAnsi="宋体" w:eastAsia="宋体" w:cs="宋体"/>
                <w:b w:val="0"/>
                <w:i w:val="0"/>
                <w:color w:val="000000"/>
                <w:sz w:val="18"/>
              </w:rPr>
              <w:t>188.18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单位：许昌市财政信息管理中心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188.18</w:t>
            </w:r>
          </w:p>
        </w:tc>
        <w:tc>
          <w:tcPr>
            <w:tcW w:w="2700" w:type="dxa"/>
            <w:vAlign w:val="center"/>
          </w:tcPr>
          <w:p>
            <w:pPr>
              <w:jc w:val="right"/>
            </w:pPr>
            <w:r>
              <w:rPr>
                <w:rFonts w:ascii="宋体" w:hAnsi="宋体" w:eastAsia="宋体" w:cs="宋体"/>
                <w:b/>
                <w:i w:val="0"/>
                <w:color w:val="000000"/>
                <w:sz w:val="25"/>
              </w:rPr>
              <w:t>113.18</w:t>
            </w:r>
          </w:p>
        </w:tc>
        <w:tc>
          <w:tcPr>
            <w:tcW w:w="2658" w:type="dxa"/>
            <w:vAlign w:val="center"/>
          </w:tcPr>
          <w:p>
            <w:pPr>
              <w:jc w:val="right"/>
            </w:pPr>
            <w:r>
              <w:rPr>
                <w:rFonts w:ascii="宋体" w:hAnsi="宋体" w:eastAsia="宋体" w:cs="宋体"/>
                <w:b/>
                <w:i w:val="0"/>
                <w:color w:val="000000"/>
                <w:sz w:val="25"/>
              </w:rPr>
              <w:t>75.00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166.71</w:t>
            </w:r>
          </w:p>
        </w:tc>
        <w:tc>
          <w:tcPr>
            <w:tcW w:w="2700" w:type="dxa"/>
            <w:vAlign w:val="center"/>
          </w:tcPr>
          <w:p>
            <w:pPr>
              <w:jc w:val="right"/>
            </w:pPr>
            <w:r>
              <w:rPr>
                <w:rFonts w:ascii="宋体" w:hAnsi="宋体" w:eastAsia="宋体" w:cs="宋体"/>
                <w:b w:val="0"/>
                <w:i w:val="0"/>
                <w:color w:val="000000"/>
                <w:sz w:val="25"/>
              </w:rPr>
              <w:t>91.71</w:t>
            </w:r>
          </w:p>
        </w:tc>
        <w:tc>
          <w:tcPr>
            <w:tcW w:w="2658" w:type="dxa"/>
            <w:vAlign w:val="center"/>
          </w:tcPr>
          <w:p>
            <w:pPr>
              <w:jc w:val="right"/>
            </w:pPr>
            <w:r>
              <w:rPr>
                <w:rFonts w:ascii="宋体" w:hAnsi="宋体" w:eastAsia="宋体" w:cs="宋体"/>
                <w:b w:val="0"/>
                <w:i w:val="0"/>
                <w:color w:val="000000"/>
                <w:sz w:val="25"/>
              </w:rPr>
              <w:t>75.00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20106</w:t>
            </w:r>
          </w:p>
        </w:tc>
        <w:tc>
          <w:tcPr>
            <w:tcW w:w="4700" w:type="dxa"/>
            <w:vAlign w:val="center"/>
          </w:tcPr>
          <w:p>
            <w:pPr>
              <w:jc w:val="left"/>
            </w:pPr>
            <w:r>
              <w:rPr>
                <w:rFonts w:ascii="宋体" w:hAnsi="宋体" w:eastAsia="宋体" w:cs="宋体"/>
                <w:b w:val="0"/>
                <w:i w:val="0"/>
                <w:color w:val="000000"/>
                <w:sz w:val="25"/>
              </w:rPr>
              <w:t>财政事务</w:t>
            </w:r>
          </w:p>
        </w:tc>
        <w:tc>
          <w:tcPr>
            <w:tcW w:w="2700" w:type="dxa"/>
            <w:vAlign w:val="center"/>
          </w:tcPr>
          <w:p>
            <w:pPr>
              <w:jc w:val="right"/>
            </w:pPr>
            <w:r>
              <w:rPr>
                <w:rFonts w:ascii="宋体" w:hAnsi="宋体" w:eastAsia="宋体" w:cs="宋体"/>
                <w:b w:val="0"/>
                <w:i w:val="0"/>
                <w:color w:val="000000"/>
                <w:sz w:val="25"/>
              </w:rPr>
              <w:t>161.02</w:t>
            </w:r>
          </w:p>
        </w:tc>
        <w:tc>
          <w:tcPr>
            <w:tcW w:w="2700" w:type="dxa"/>
            <w:vAlign w:val="center"/>
          </w:tcPr>
          <w:p>
            <w:pPr>
              <w:jc w:val="right"/>
            </w:pPr>
            <w:r>
              <w:rPr>
                <w:rFonts w:ascii="宋体" w:hAnsi="宋体" w:eastAsia="宋体" w:cs="宋体"/>
                <w:b w:val="0"/>
                <w:i w:val="0"/>
                <w:color w:val="000000"/>
                <w:sz w:val="25"/>
              </w:rPr>
              <w:t>86.02</w:t>
            </w:r>
          </w:p>
        </w:tc>
        <w:tc>
          <w:tcPr>
            <w:tcW w:w="2658" w:type="dxa"/>
            <w:vAlign w:val="center"/>
          </w:tcPr>
          <w:p>
            <w:pPr>
              <w:jc w:val="right"/>
            </w:pPr>
            <w:r>
              <w:rPr>
                <w:rFonts w:ascii="宋体" w:hAnsi="宋体" w:eastAsia="宋体" w:cs="宋体"/>
                <w:b w:val="0"/>
                <w:i w:val="0"/>
                <w:color w:val="000000"/>
                <w:sz w:val="25"/>
              </w:rPr>
              <w:t>75.00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27.40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27.40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132.07</w:t>
            </w:r>
          </w:p>
        </w:tc>
        <w:tc>
          <w:tcPr>
            <w:tcW w:w="2700" w:type="dxa"/>
            <w:vAlign w:val="center"/>
          </w:tcPr>
          <w:p>
            <w:pPr>
              <w:jc w:val="right"/>
            </w:pPr>
            <w:r>
              <w:rPr>
                <w:rFonts w:ascii="宋体" w:hAnsi="宋体" w:eastAsia="宋体" w:cs="宋体"/>
                <w:b w:val="0"/>
                <w:i w:val="0"/>
                <w:color w:val="000000"/>
                <w:sz w:val="25"/>
              </w:rPr>
              <w:t>84.47</w:t>
            </w:r>
          </w:p>
        </w:tc>
        <w:tc>
          <w:tcPr>
            <w:tcW w:w="2658" w:type="dxa"/>
            <w:vAlign w:val="center"/>
          </w:tcPr>
          <w:p>
            <w:pPr>
              <w:jc w:val="right"/>
            </w:pPr>
            <w:r>
              <w:rPr>
                <w:rFonts w:ascii="宋体" w:hAnsi="宋体" w:eastAsia="宋体" w:cs="宋体"/>
                <w:b w:val="0"/>
                <w:i w:val="0"/>
                <w:color w:val="000000"/>
                <w:sz w:val="25"/>
              </w:rPr>
              <w:t>47.60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2010699</w:t>
            </w:r>
          </w:p>
        </w:tc>
        <w:tc>
          <w:tcPr>
            <w:tcW w:w="4700" w:type="dxa"/>
            <w:vAlign w:val="center"/>
          </w:tcPr>
          <w:p>
            <w:pPr>
              <w:jc w:val="left"/>
            </w:pPr>
            <w:r>
              <w:rPr>
                <w:rFonts w:ascii="宋体" w:hAnsi="宋体" w:eastAsia="宋体" w:cs="宋体"/>
                <w:b w:val="0"/>
                <w:i w:val="0"/>
                <w:color w:val="000000"/>
                <w:sz w:val="25"/>
              </w:rPr>
              <w:t>其他财政事务支出</w:t>
            </w:r>
          </w:p>
        </w:tc>
        <w:tc>
          <w:tcPr>
            <w:tcW w:w="2700" w:type="dxa"/>
            <w:vAlign w:val="center"/>
          </w:tcPr>
          <w:p>
            <w:pPr>
              <w:jc w:val="right"/>
            </w:pPr>
            <w:r>
              <w:rPr>
                <w:rFonts w:ascii="宋体" w:hAnsi="宋体" w:eastAsia="宋体" w:cs="宋体"/>
                <w:b w:val="0"/>
                <w:i w:val="0"/>
                <w:color w:val="000000"/>
                <w:sz w:val="25"/>
              </w:rPr>
              <w:t>1.55</w:t>
            </w:r>
          </w:p>
        </w:tc>
        <w:tc>
          <w:tcPr>
            <w:tcW w:w="2700" w:type="dxa"/>
            <w:vAlign w:val="center"/>
          </w:tcPr>
          <w:p>
            <w:pPr>
              <w:jc w:val="right"/>
            </w:pPr>
            <w:r>
              <w:rPr>
                <w:rFonts w:ascii="宋体" w:hAnsi="宋体" w:eastAsia="宋体" w:cs="宋体"/>
                <w:b w:val="0"/>
                <w:i w:val="0"/>
                <w:color w:val="000000"/>
                <w:sz w:val="25"/>
              </w:rPr>
              <w:t>1.55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0.41</w:t>
            </w:r>
          </w:p>
        </w:tc>
        <w:tc>
          <w:tcPr>
            <w:tcW w:w="2700" w:type="dxa"/>
            <w:vAlign w:val="center"/>
          </w:tcPr>
          <w:p>
            <w:pPr>
              <w:jc w:val="right"/>
            </w:pPr>
            <w:r>
              <w:rPr>
                <w:rFonts w:ascii="宋体" w:hAnsi="宋体" w:eastAsia="宋体" w:cs="宋体"/>
                <w:b w:val="0"/>
                <w:i w:val="0"/>
                <w:color w:val="000000"/>
                <w:sz w:val="25"/>
              </w:rPr>
              <w:t>0.41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0.41</w:t>
            </w:r>
          </w:p>
        </w:tc>
        <w:tc>
          <w:tcPr>
            <w:tcW w:w="2700" w:type="dxa"/>
            <w:vAlign w:val="center"/>
          </w:tcPr>
          <w:p>
            <w:pPr>
              <w:jc w:val="right"/>
            </w:pPr>
            <w:r>
              <w:rPr>
                <w:rFonts w:ascii="宋体" w:hAnsi="宋体" w:eastAsia="宋体" w:cs="宋体"/>
                <w:b w:val="0"/>
                <w:i w:val="0"/>
                <w:color w:val="000000"/>
                <w:sz w:val="25"/>
              </w:rPr>
              <w:t>0.41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5.28</w:t>
            </w:r>
          </w:p>
        </w:tc>
        <w:tc>
          <w:tcPr>
            <w:tcW w:w="2700" w:type="dxa"/>
            <w:vAlign w:val="center"/>
          </w:tcPr>
          <w:p>
            <w:pPr>
              <w:jc w:val="right"/>
            </w:pPr>
            <w:r>
              <w:rPr>
                <w:rFonts w:ascii="宋体" w:hAnsi="宋体" w:eastAsia="宋体" w:cs="宋体"/>
                <w:b w:val="0"/>
                <w:i w:val="0"/>
                <w:color w:val="000000"/>
                <w:sz w:val="25"/>
              </w:rPr>
              <w:t>5.28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5.28</w:t>
            </w:r>
          </w:p>
        </w:tc>
        <w:tc>
          <w:tcPr>
            <w:tcW w:w="2700" w:type="dxa"/>
            <w:vAlign w:val="center"/>
          </w:tcPr>
          <w:p>
            <w:pPr>
              <w:jc w:val="right"/>
            </w:pPr>
            <w:r>
              <w:rPr>
                <w:rFonts w:ascii="宋体" w:hAnsi="宋体" w:eastAsia="宋体" w:cs="宋体"/>
                <w:b w:val="0"/>
                <w:i w:val="0"/>
                <w:color w:val="000000"/>
                <w:sz w:val="25"/>
              </w:rPr>
              <w:t>5.28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10.60</w:t>
            </w:r>
          </w:p>
        </w:tc>
        <w:tc>
          <w:tcPr>
            <w:tcW w:w="2700" w:type="dxa"/>
            <w:vAlign w:val="center"/>
          </w:tcPr>
          <w:p>
            <w:pPr>
              <w:jc w:val="right"/>
            </w:pPr>
            <w:r>
              <w:rPr>
                <w:rFonts w:ascii="宋体" w:hAnsi="宋体" w:eastAsia="宋体" w:cs="宋体"/>
                <w:b w:val="0"/>
                <w:i w:val="0"/>
                <w:color w:val="000000"/>
                <w:sz w:val="25"/>
              </w:rPr>
              <w:t>10.60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10.60</w:t>
            </w:r>
          </w:p>
        </w:tc>
        <w:tc>
          <w:tcPr>
            <w:tcW w:w="2700" w:type="dxa"/>
            <w:vAlign w:val="center"/>
          </w:tcPr>
          <w:p>
            <w:pPr>
              <w:jc w:val="right"/>
            </w:pPr>
            <w:r>
              <w:rPr>
                <w:rFonts w:ascii="宋体" w:hAnsi="宋体" w:eastAsia="宋体" w:cs="宋体"/>
                <w:b w:val="0"/>
                <w:i w:val="0"/>
                <w:color w:val="000000"/>
                <w:sz w:val="25"/>
              </w:rPr>
              <w:t>10.60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5.40</w:t>
            </w:r>
          </w:p>
        </w:tc>
        <w:tc>
          <w:tcPr>
            <w:tcW w:w="2700" w:type="dxa"/>
            <w:vAlign w:val="center"/>
          </w:tcPr>
          <w:p>
            <w:pPr>
              <w:jc w:val="right"/>
            </w:pPr>
            <w:r>
              <w:rPr>
                <w:rFonts w:ascii="宋体" w:hAnsi="宋体" w:eastAsia="宋体" w:cs="宋体"/>
                <w:b w:val="0"/>
                <w:i w:val="0"/>
                <w:color w:val="000000"/>
                <w:sz w:val="25"/>
              </w:rPr>
              <w:t>5.40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5.20</w:t>
            </w:r>
          </w:p>
        </w:tc>
        <w:tc>
          <w:tcPr>
            <w:tcW w:w="2700" w:type="dxa"/>
            <w:vAlign w:val="center"/>
          </w:tcPr>
          <w:p>
            <w:pPr>
              <w:jc w:val="right"/>
            </w:pPr>
            <w:r>
              <w:rPr>
                <w:rFonts w:ascii="宋体" w:hAnsi="宋体" w:eastAsia="宋体" w:cs="宋体"/>
                <w:b w:val="0"/>
                <w:i w:val="0"/>
                <w:color w:val="000000"/>
                <w:sz w:val="25"/>
              </w:rPr>
              <w:t>5.20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5.73</w:t>
            </w:r>
          </w:p>
        </w:tc>
        <w:tc>
          <w:tcPr>
            <w:tcW w:w="2700" w:type="dxa"/>
            <w:vAlign w:val="center"/>
          </w:tcPr>
          <w:p>
            <w:pPr>
              <w:jc w:val="right"/>
            </w:pPr>
            <w:r>
              <w:rPr>
                <w:rFonts w:ascii="宋体" w:hAnsi="宋体" w:eastAsia="宋体" w:cs="宋体"/>
                <w:b w:val="0"/>
                <w:i w:val="0"/>
                <w:color w:val="000000"/>
                <w:sz w:val="25"/>
              </w:rPr>
              <w:t>5.73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5.73</w:t>
            </w:r>
          </w:p>
        </w:tc>
        <w:tc>
          <w:tcPr>
            <w:tcW w:w="2700" w:type="dxa"/>
            <w:vAlign w:val="center"/>
          </w:tcPr>
          <w:p>
            <w:pPr>
              <w:jc w:val="right"/>
            </w:pPr>
            <w:r>
              <w:rPr>
                <w:rFonts w:ascii="宋体" w:hAnsi="宋体" w:eastAsia="宋体" w:cs="宋体"/>
                <w:b w:val="0"/>
                <w:i w:val="0"/>
                <w:color w:val="000000"/>
                <w:sz w:val="25"/>
              </w:rPr>
              <w:t>5.73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2.73</w:t>
            </w:r>
          </w:p>
        </w:tc>
        <w:tc>
          <w:tcPr>
            <w:tcW w:w="2700" w:type="dxa"/>
            <w:vAlign w:val="center"/>
          </w:tcPr>
          <w:p>
            <w:pPr>
              <w:jc w:val="right"/>
            </w:pPr>
            <w:r>
              <w:rPr>
                <w:rFonts w:ascii="宋体" w:hAnsi="宋体" w:eastAsia="宋体" w:cs="宋体"/>
                <w:b w:val="0"/>
                <w:i w:val="0"/>
                <w:color w:val="000000"/>
                <w:sz w:val="25"/>
              </w:rPr>
              <w:t>2.73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3.00</w:t>
            </w:r>
          </w:p>
        </w:tc>
        <w:tc>
          <w:tcPr>
            <w:tcW w:w="2700" w:type="dxa"/>
            <w:vAlign w:val="center"/>
          </w:tcPr>
          <w:p>
            <w:pPr>
              <w:jc w:val="right"/>
            </w:pPr>
            <w:r>
              <w:rPr>
                <w:rFonts w:ascii="宋体" w:hAnsi="宋体" w:eastAsia="宋体" w:cs="宋体"/>
                <w:b w:val="0"/>
                <w:i w:val="0"/>
                <w:color w:val="000000"/>
                <w:sz w:val="25"/>
              </w:rPr>
              <w:t>3.00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5.14</w:t>
            </w:r>
          </w:p>
        </w:tc>
        <w:tc>
          <w:tcPr>
            <w:tcW w:w="2700" w:type="dxa"/>
            <w:vAlign w:val="center"/>
          </w:tcPr>
          <w:p>
            <w:pPr>
              <w:jc w:val="right"/>
            </w:pPr>
            <w:r>
              <w:rPr>
                <w:rFonts w:ascii="宋体" w:hAnsi="宋体" w:eastAsia="宋体" w:cs="宋体"/>
                <w:b w:val="0"/>
                <w:i w:val="0"/>
                <w:color w:val="000000"/>
                <w:sz w:val="25"/>
              </w:rPr>
              <w:t>5.14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5.14</w:t>
            </w:r>
          </w:p>
        </w:tc>
        <w:tc>
          <w:tcPr>
            <w:tcW w:w="2700" w:type="dxa"/>
            <w:vAlign w:val="center"/>
          </w:tcPr>
          <w:p>
            <w:pPr>
              <w:jc w:val="right"/>
            </w:pPr>
            <w:r>
              <w:rPr>
                <w:rFonts w:ascii="宋体" w:hAnsi="宋体" w:eastAsia="宋体" w:cs="宋体"/>
                <w:b w:val="0"/>
                <w:i w:val="0"/>
                <w:color w:val="000000"/>
                <w:sz w:val="25"/>
              </w:rPr>
              <w:t>5.14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5.14</w:t>
            </w:r>
          </w:p>
        </w:tc>
        <w:tc>
          <w:tcPr>
            <w:tcW w:w="2700" w:type="dxa"/>
            <w:vAlign w:val="center"/>
          </w:tcPr>
          <w:p>
            <w:pPr>
              <w:jc w:val="right"/>
            </w:pPr>
            <w:r>
              <w:rPr>
                <w:rFonts w:ascii="宋体" w:hAnsi="宋体" w:eastAsia="宋体" w:cs="宋体"/>
                <w:b w:val="0"/>
                <w:i w:val="0"/>
                <w:color w:val="000000"/>
                <w:sz w:val="25"/>
              </w:rPr>
              <w:t>5.14</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单位：许昌市财政信息管理中心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99.56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8.21</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20.16</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0.82</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17.41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45.90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5.20</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2.61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2.90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1.34</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0.03</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0.32</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5.28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3.49</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5.40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5.40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0.41</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0.78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1.06</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104.96</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8.21</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单位：许昌市财政信息管理中心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单位：许昌市财政信息管理中心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单位：许昌市财政信息管理中心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2023年度收、支总计均为188.18万元。与上年度相比，收、支总计各增加0.85万元，增长0.45%。主要原因是人员薪资支出增加。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160.78万元，其中：财政拨款收入160.78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2023年度支出合计188.18万元，其中：基本支出113.18万元，占60.14%；项目支出75.00万元，占39.86%；上缴上级支出0.00万元，占0.00%；经营支出0.00万元，占0.00%；对附属单位补助支出0.00万元，占0.00%。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2023年度财政拨款收、支总计均为188.18万元。与上年度相比，财政拨款收、支总计各增加0.85万元，增长0.45%。主要原因是人员薪资支出增加。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2023年度一般公共预算财政拨款支出188.18万元，占支出合计的100.00%。与上年度相比，一般公共预算财政拨款支出增加0.85万元，增长0.45%。主要原因是人员薪资支出增加。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188.18万元，主要用于以下方面：一般公共服务支出（类）166.71万元，占88.59%；社会保障和就业支出（类）10.60万元，占5.63%；卫生健康支出（类）5.73万元，占3.04%；住房保障支出（类）5.14万元，占2.74%。</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2023年度一般公共预算财政拨款支出年初预算为130.24万元，支出决算为188.18万元，完成年初预算的144.49%。其中：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1.一般公共服务支出（类）财政事务（款）一般行政管理事务（项）</w:t>
      </w:r>
      <w:r>
        <w:rPr>
          <w:rFonts w:hint="eastAsia" w:ascii="仿宋_GB2312" w:hAnsi="仿宋_GB2312" w:eastAsia="仿宋_GB2312" w:cs="仿宋_GB2312"/>
          <w:kern w:val="2"/>
          <w:sz w:val="32"/>
          <w:szCs w:val="32"/>
          <w:lang w:val="en-US" w:eastAsia="zh-CN"/>
        </w:rPr>
        <w:t>年初预算数为0.00万元，决算数27.40万元,决算数与年初预算数存在差异的主要原因是年度追加预算款项。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2.一般公共服务支出（类）财政事务（款）事业运行（项）</w:t>
      </w:r>
      <w:r>
        <w:rPr>
          <w:rFonts w:hint="eastAsia" w:ascii="仿宋_GB2312" w:hAnsi="仿宋_GB2312" w:eastAsia="仿宋_GB2312" w:cs="仿宋_GB2312"/>
          <w:kern w:val="2"/>
          <w:sz w:val="32"/>
          <w:szCs w:val="32"/>
          <w:lang w:val="en-US" w:eastAsia="zh-CN"/>
        </w:rPr>
        <w:t>年初预算数为108.24万元，决算数132.07万元,完成年初预算的122.02%，决算数与年初预算数存在差异的主要原因是人员薪资支出增加。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3.一般公共服务支出（类）财政事务（款）其他财政事务支出（项）</w:t>
      </w:r>
      <w:r>
        <w:rPr>
          <w:rFonts w:hint="eastAsia" w:ascii="仿宋_GB2312" w:hAnsi="仿宋_GB2312" w:eastAsia="仿宋_GB2312" w:cs="仿宋_GB2312"/>
          <w:kern w:val="2"/>
          <w:sz w:val="32"/>
          <w:szCs w:val="32"/>
          <w:lang w:val="en-US" w:eastAsia="zh-CN"/>
        </w:rPr>
        <w:t>年初预算数为0.00万元，决算数1.55万元,决算数与年初预算数存在差异的主要原因是年度追加预算款项。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4.一般公共服务支出（类）群众团体事务（款）工会事务（项）</w:t>
      </w:r>
      <w:r>
        <w:rPr>
          <w:rFonts w:hint="eastAsia" w:ascii="仿宋_GB2312" w:hAnsi="仿宋_GB2312" w:eastAsia="仿宋_GB2312" w:cs="仿宋_GB2312"/>
          <w:kern w:val="2"/>
          <w:sz w:val="32"/>
          <w:szCs w:val="32"/>
          <w:lang w:val="en-US" w:eastAsia="zh-CN"/>
        </w:rPr>
        <w:t>年初预算数为0.41万元，决算数0.41万元,完成年初预算的100.00%，决算数与年初预算数不存在差异。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年初预算数为0.00万元，决算数5.28万元,决算数与年初预算数存在差异的主要原因是年度追加预算款项。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6.社会保障和就业支出（类）行政事业单位养老支出（款）事业单位离退休（项）</w:t>
      </w:r>
      <w:r>
        <w:rPr>
          <w:rFonts w:hint="eastAsia" w:ascii="仿宋_GB2312" w:hAnsi="仿宋_GB2312" w:eastAsia="仿宋_GB2312" w:cs="仿宋_GB2312"/>
          <w:kern w:val="2"/>
          <w:sz w:val="32"/>
          <w:szCs w:val="32"/>
          <w:lang w:val="en-US" w:eastAsia="zh-CN"/>
        </w:rPr>
        <w:t>年初预算数为5.72万元，决算数5.40万元,完成年初预算的94.41%，决算数与年初预算数存在差异的主要原因是年度调整社保缴费基数。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年初预算数为5.03万元，决算数5.20万元,完成年初预算的103.38%，决算数与年初预算数存在差异的主要原因是年度调整社保缴费基数。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8.卫生健康支出（类）行政事业单位医疗（款）事业单位医疗（项）</w:t>
      </w:r>
      <w:r>
        <w:rPr>
          <w:rFonts w:hint="eastAsia" w:ascii="仿宋_GB2312" w:hAnsi="仿宋_GB2312" w:eastAsia="仿宋_GB2312" w:cs="仿宋_GB2312"/>
          <w:kern w:val="2"/>
          <w:sz w:val="32"/>
          <w:szCs w:val="32"/>
          <w:lang w:val="en-US" w:eastAsia="zh-CN"/>
        </w:rPr>
        <w:t>年初预算数为2.70万元，决算数2.73万元,完成年初预算的101.11%，决算数与年初预算数存在差异的主要原因是年度调整社保缴费基数。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9.卫生健康支出（类）行政事业单位医疗（款）公务员医疗补助（项）</w:t>
      </w:r>
      <w:r>
        <w:rPr>
          <w:rFonts w:hint="eastAsia" w:ascii="仿宋_GB2312" w:hAnsi="仿宋_GB2312" w:eastAsia="仿宋_GB2312" w:cs="仿宋_GB2312"/>
          <w:kern w:val="2"/>
          <w:sz w:val="32"/>
          <w:szCs w:val="32"/>
          <w:lang w:val="en-US" w:eastAsia="zh-CN"/>
        </w:rPr>
        <w:t>年初预算数为3.00万元，决算数3.00万元,完成年初预算的100.00%，决算数与年初预算数不存在差异。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10.住房保障支出（类）住房改革支出（款）住房公积金（项）</w:t>
      </w:r>
      <w:r>
        <w:rPr>
          <w:rFonts w:hint="eastAsia" w:ascii="仿宋_GB2312" w:hAnsi="仿宋_GB2312" w:eastAsia="仿宋_GB2312" w:cs="仿宋_GB2312"/>
          <w:kern w:val="2"/>
          <w:sz w:val="32"/>
          <w:szCs w:val="32"/>
          <w:lang w:val="en-US" w:eastAsia="zh-CN"/>
        </w:rPr>
        <w:t>年初预算数为5.14万元，决算数5.14万元,完成年初预算的100.00%，决算数与年初预算数不存在差异。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113.18万元。其中：人员经费104.96万元，主要包括：基本工资、津贴补贴、奖金、机关事业单位基本养老保险缴费、职工基本医疗保险缴费、公务员医疗补助缴费、其他社会保障缴费、住房公积金、其他工资福利支出、退休费。公用经费8.21万元，主要包括：办公费、物业管理费、差旅费、维修（护）费、工会经费、福利费、其他商品和服务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0.00万元。2023年期末，单位开支财政拨款的公务用车保有量为</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涉及预算资金188.18万元。自评得分为98分，等级为“优”。从单位整体自评情况来看，2023年我单位整体预算情况执行良好，绩效完成较好。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基于项目预期目标的实现程度，我单位对2023年度单位预算项目支出（含单位参与分配的转移支付项目）开展绩效自评，涉及项目2个，项目金额75万元。其中：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1）财政局预算一体化等财政业务系统运维费，项目金额27.4万元，自评得分95分，等级为“优”。全年预算数为27.4万元，全年执行数为27.4万元，预算执行率为100%。（2）2024年信息化系统运维费和线路租赁费，自评得分为95分，等级为“优”。全年预算数为47.6万元，全年执行数为47.6万元，预算执行率为100%。我单位按照年初制定的绩效目标，认真执行信息化维护和管理工作，完成了年度工作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从项目绩效自评情况来看，2023年我单位项目预算情况执行良好，绩效完成较好。</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4"/>
        <w:tblW w:w="0" w:type="auto"/>
        <w:jc w:val="center"/>
        <w:tblLayout w:type="fixed"/>
        <w:tblCellMar>
          <w:top w:w="0" w:type="dxa"/>
          <w:left w:w="20" w:type="dxa"/>
          <w:bottom w:w="0" w:type="dxa"/>
          <w:right w:w="20" w:type="dxa"/>
        </w:tblCellMar>
      </w:tblPr>
      <w:tblGrid>
        <w:gridCol w:w="796"/>
        <w:gridCol w:w="1634"/>
        <w:gridCol w:w="578"/>
        <w:gridCol w:w="1592"/>
        <w:gridCol w:w="2245"/>
        <w:gridCol w:w="1101"/>
        <w:gridCol w:w="1384"/>
        <w:gridCol w:w="578"/>
        <w:gridCol w:w="360"/>
        <w:gridCol w:w="360"/>
        <w:gridCol w:w="360"/>
      </w:tblGrid>
      <w:tr>
        <w:tblPrEx>
          <w:tblCellMar>
            <w:top w:w="0" w:type="dxa"/>
            <w:left w:w="20" w:type="dxa"/>
            <w:bottom w:w="0" w:type="dxa"/>
            <w:right w:w="20" w:type="dxa"/>
          </w:tblCellMar>
        </w:tblPrEx>
        <w:trPr>
          <w:gridAfter w:val="3"/>
          <w:trHeight w:val="405" w:hRule="exact"/>
          <w:jc w:val="center"/>
        </w:trPr>
        <w:tc>
          <w:tcPr>
            <w:tcW w:w="9908" w:type="dxa"/>
            <w:gridSpan w:val="8"/>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i w:val="0"/>
                <w:color w:val="000000"/>
                <w:sz w:val="24"/>
              </w:rPr>
              <w:t>单位整体自评表</w:t>
            </w:r>
          </w:p>
        </w:tc>
      </w:tr>
      <w:tr>
        <w:tblPrEx>
          <w:tblCellMar>
            <w:top w:w="0" w:type="dxa"/>
            <w:left w:w="20" w:type="dxa"/>
            <w:bottom w:w="0" w:type="dxa"/>
            <w:right w:w="20" w:type="dxa"/>
          </w:tblCellMar>
        </w:tblPrEx>
        <w:trPr>
          <w:gridAfter w:val="3"/>
          <w:trHeight w:val="198" w:hRule="exact"/>
          <w:jc w:val="center"/>
        </w:trPr>
        <w:tc>
          <w:tcPr>
            <w:tcW w:w="3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单位名称</w:t>
            </w:r>
          </w:p>
        </w:tc>
        <w:tc>
          <w:tcPr>
            <w:tcW w:w="6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许昌市财政信息管理中心</w:t>
            </w:r>
          </w:p>
        </w:tc>
      </w:tr>
      <w:tr>
        <w:tblPrEx>
          <w:tblCellMar>
            <w:top w:w="0" w:type="dxa"/>
            <w:left w:w="20" w:type="dxa"/>
            <w:bottom w:w="0" w:type="dxa"/>
            <w:right w:w="20" w:type="dxa"/>
          </w:tblCellMar>
        </w:tblPrEx>
        <w:trPr>
          <w:gridAfter w:val="1"/>
          <w:trHeight w:val="198" w:hRule="exac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单位整体支出情况</w:t>
            </w: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年初预算数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全年预算数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全年执行数</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分值</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执行率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得分</w:t>
            </w:r>
          </w:p>
        </w:tc>
      </w:tr>
      <w:tr>
        <w:tblPrEx>
          <w:tblCellMar>
            <w:top w:w="0" w:type="dxa"/>
            <w:left w:w="20" w:type="dxa"/>
            <w:bottom w:w="0" w:type="dxa"/>
            <w:right w:w="20" w:type="dxa"/>
          </w:tblCellMar>
        </w:tblPrEx>
        <w:trPr>
          <w:gridAfter w:val="1"/>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单位预算总额（万元）</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130.24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188.18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188.18</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r>
      <w:tr>
        <w:tblPrEx>
          <w:tblCellMar>
            <w:top w:w="0" w:type="dxa"/>
            <w:left w:w="20" w:type="dxa"/>
            <w:bottom w:w="0" w:type="dxa"/>
            <w:right w:w="20" w:type="dxa"/>
          </w:tblCellMar>
        </w:tblPrEx>
        <w:trPr>
          <w:gridAfter w:val="1"/>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资金来源：（1）政府预算资金</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130.24</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188.18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188.18</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r>
      <w:tr>
        <w:tblPrEx>
          <w:tblCellMar>
            <w:top w:w="0" w:type="dxa"/>
            <w:left w:w="20" w:type="dxa"/>
            <w:bottom w:w="0" w:type="dxa"/>
            <w:right w:w="20" w:type="dxa"/>
          </w:tblCellMar>
        </w:tblPrEx>
        <w:trPr>
          <w:gridAfter w:val="1"/>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 xml:space="preserve">     （2）财政专户管理资金</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r>
      <w:tr>
        <w:tblPrEx>
          <w:tblCellMar>
            <w:top w:w="0" w:type="dxa"/>
            <w:left w:w="20" w:type="dxa"/>
            <w:bottom w:w="0" w:type="dxa"/>
            <w:right w:w="20" w:type="dxa"/>
          </w:tblCellMar>
        </w:tblPrEx>
        <w:trPr>
          <w:gridAfter w:val="1"/>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22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 xml:space="preserve">     （3）单位资金</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r>
      <w:tr>
        <w:tblPrEx>
          <w:tblCellMar>
            <w:top w:w="0" w:type="dxa"/>
            <w:left w:w="20" w:type="dxa"/>
            <w:bottom w:w="0" w:type="dxa"/>
            <w:right w:w="20" w:type="dxa"/>
          </w:tblCellMar>
        </w:tblPrEx>
        <w:trPr>
          <w:gridAfter w:val="3"/>
          <w:trHeight w:val="198" w:hRule="exac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年度履职目标</w:t>
            </w: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预期目标</w:t>
            </w: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实际完成情况</w:t>
            </w:r>
          </w:p>
        </w:tc>
      </w:tr>
      <w:tr>
        <w:tblPrEx>
          <w:tblCellMar>
            <w:top w:w="0" w:type="dxa"/>
            <w:left w:w="20" w:type="dxa"/>
            <w:bottom w:w="0" w:type="dxa"/>
            <w:right w:w="20" w:type="dxa"/>
          </w:tblCellMar>
        </w:tblPrEx>
        <w:trPr>
          <w:gridAfter w:val="3"/>
          <w:trHeight w:val="829"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7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p>
            <w:pPr>
              <w:snapToGrid w:val="0"/>
              <w:spacing w:before="0" w:beforeAutospacing="0" w:after="0" w:afterAutospacing="0" w:line="240" w:lineRule="auto"/>
              <w:jc w:val="center"/>
            </w:pPr>
            <w:r>
              <w:rPr>
                <w:rFonts w:ascii="SimSun" w:hAnsi="SimSun" w:eastAsia="SimSun" w:cs="SimSun"/>
                <w:b w:val="0"/>
                <w:i w:val="0"/>
                <w:color w:val="000000"/>
                <w:sz w:val="11"/>
              </w:rPr>
              <w:t>目标：</w:t>
            </w: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为财政信息建设及办公环境提供了管理保障，完成了财政系统数据库、网络建设、开发、维护与信息安全管理等工作。</w:t>
            </w:r>
          </w:p>
        </w:tc>
      </w:tr>
      <w:tr>
        <w:tblPrEx>
          <w:tblCellMar>
            <w:top w:w="0" w:type="dxa"/>
            <w:left w:w="20" w:type="dxa"/>
            <w:bottom w:w="0" w:type="dxa"/>
            <w:right w:w="20" w:type="dxa"/>
          </w:tblCellMar>
        </w:tblPrEx>
        <w:trPr>
          <w:gridAfter w:val="3"/>
          <w:trHeight w:val="198" w:hRule="exac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年度主要任务</w:t>
            </w: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任务名称</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主要内容</w:t>
            </w: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实际完成情况</w:t>
            </w:r>
          </w:p>
        </w:tc>
      </w:tr>
      <w:tr>
        <w:tblPrEx>
          <w:tblCellMar>
            <w:top w:w="0" w:type="dxa"/>
            <w:left w:w="20" w:type="dxa"/>
            <w:bottom w:w="0" w:type="dxa"/>
            <w:right w:w="20" w:type="dxa"/>
          </w:tblCellMar>
        </w:tblPrEx>
        <w:trPr>
          <w:gridAfter w:val="3"/>
          <w:trHeight w:val="509"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财政信息化维护和管理</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为财政信息化建设及办公环境提供管理保障，财政系统数据库、网络建设、开发、维护与信息安全管理。</w:t>
            </w:r>
          </w:p>
        </w:tc>
        <w:tc>
          <w:tcPr>
            <w:tcW w:w="4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完成良好</w:t>
            </w:r>
          </w:p>
        </w:tc>
      </w:tr>
      <w:tr>
        <w:tblPrEx>
          <w:tblCellMar>
            <w:top w:w="0" w:type="dxa"/>
            <w:left w:w="20" w:type="dxa"/>
            <w:bottom w:w="0" w:type="dxa"/>
            <w:right w:w="20" w:type="dxa"/>
          </w:tblCellMar>
        </w:tblPrEx>
        <w:trPr>
          <w:trHeight w:val="198" w:hRule="exact"/>
          <w:jc w:val="center"/>
        </w:trPr>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一级指标</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二级指标</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三级指标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年度指标值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实际完成值</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分值</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得分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偏差度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偏差原因分析及改进措施</w:t>
            </w:r>
          </w:p>
        </w:tc>
      </w:tr>
      <w:tr>
        <w:tblPrEx>
          <w:tblCellMar>
            <w:top w:w="0" w:type="dxa"/>
            <w:left w:w="20" w:type="dxa"/>
            <w:bottom w:w="0" w:type="dxa"/>
            <w:right w:w="20" w:type="dxa"/>
          </w:tblCellMar>
        </w:tblPrEx>
        <w:trPr>
          <w:trHeight w:val="198" w:hRule="exact"/>
          <w:jc w:val="center"/>
        </w:trPr>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绩效指标</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投入管理指标</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工作目标管理</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年度履职目标相关性</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相关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工作任务科学性</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科学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绩效指标合理性</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合理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预算和财务管理</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预算编制完整性</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完整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专项资金细化率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96%</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预算执行率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预算调整率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结转结余率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“三公经费”控制率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96%</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政府采购执行率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≥80%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85%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决算真实性</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真实</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资金使用合规性</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合规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管理制度健全性</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健全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预决算信息公开性</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公开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资产管理规范性</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规范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绩效管理</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绩效目标编制完成率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绩效监控完成率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绩效自评完成率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部门绩效评价完成率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评价结果应用率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11"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产出指标</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重点工作任务完成</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预决算管理及绩效管理计划完成率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11"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财政资金收支管理计划完成率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97%</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311"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财政政策事务管理计划完成率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96%</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履职目标实现</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预决算编制及公开率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4</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财政资金收支监督率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财政信息网络安全实现率</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效益指标</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履职效益</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促进许昌经济健康发展</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健康发展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满意度</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 xml:space="preserve"> 企业满意度</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7</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7</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 xml:space="preserve"> 群众满意度</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8</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 xml:space="preserve"> 对口部门满意度</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98%</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98" w:hRule="exact"/>
          <w:jc w:val="center"/>
        </w:trPr>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6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总分</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98</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cols w:space="720" w:num="1"/>
        </w:sectPr>
      </w:pPr>
    </w:p>
    <w:tbl>
      <w:tblPr>
        <w:tblStyle w:val="4"/>
        <w:tblW w:w="0" w:type="auto"/>
        <w:jc w:val="center"/>
        <w:tblLayout w:type="fixed"/>
        <w:tblCellMar>
          <w:top w:w="0" w:type="dxa"/>
          <w:left w:w="20" w:type="dxa"/>
          <w:bottom w:w="0" w:type="dxa"/>
          <w:right w:w="20" w:type="dxa"/>
        </w:tblCellMar>
      </w:tblPr>
      <w:tblGrid>
        <w:gridCol w:w="607"/>
        <w:gridCol w:w="713"/>
        <w:gridCol w:w="841"/>
        <w:gridCol w:w="777"/>
        <w:gridCol w:w="659"/>
        <w:gridCol w:w="1202"/>
        <w:gridCol w:w="777"/>
        <w:gridCol w:w="659"/>
        <w:gridCol w:w="777"/>
        <w:gridCol w:w="777"/>
        <w:gridCol w:w="671"/>
        <w:gridCol w:w="671"/>
        <w:gridCol w:w="777"/>
      </w:tblGrid>
      <w:tr>
        <w:tblPrEx>
          <w:tblCellMar>
            <w:top w:w="0" w:type="dxa"/>
            <w:left w:w="20" w:type="dxa"/>
            <w:bottom w:w="0" w:type="dxa"/>
            <w:right w:w="20" w:type="dxa"/>
          </w:tblCellMar>
        </w:tblPrEx>
        <w:trPr>
          <w:trHeight w:val="349" w:hRule="exact"/>
          <w:jc w:val="center"/>
        </w:trPr>
        <w:tc>
          <w:tcPr>
            <w:tcW w:w="9908"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i w:val="0"/>
                <w:color w:val="000000"/>
                <w:sz w:val="23"/>
              </w:rPr>
              <w:t>项目单位自评表</w:t>
            </w:r>
          </w:p>
        </w:tc>
      </w:tr>
      <w:tr>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项目名称</w:t>
            </w:r>
          </w:p>
        </w:tc>
        <w:tc>
          <w:tcPr>
            <w:tcW w:w="8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财政局预算一体化等财政业务系统运维费（结转本级资金）</w:t>
            </w:r>
          </w:p>
        </w:tc>
      </w:tr>
      <w:tr>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主管部门</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许昌市财政局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实施单位</w:t>
            </w:r>
          </w:p>
        </w:tc>
        <w:tc>
          <w:tcPr>
            <w:tcW w:w="3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许昌市财政信息管理中心</w:t>
            </w:r>
          </w:p>
        </w:tc>
      </w:tr>
      <w:tr>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项目资金（万元）</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全年预算数</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执行率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得分</w:t>
            </w: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年度资金总额（万元）：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27.4</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27.4</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27.4</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政府性预算资金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27.4</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27.4</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27.4</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财政专户管理资金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单位资金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r>
      <w:tr>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资金管理情况</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 xml:space="preserve"> 情况说明</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存在问题和改进措施</w:t>
            </w: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SimSun" w:hAnsi="SimSun" w:eastAsia="SimSun" w:cs="SimSun"/>
                <w:b w:val="0"/>
                <w:i w:val="0"/>
                <w:color w:val="000000"/>
                <w:sz w:val="11"/>
              </w:rPr>
              <w:t>安排科学性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安排科学合理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SimSun" w:hAnsi="SimSun" w:eastAsia="SimSun" w:cs="SimSun"/>
                <w:b w:val="0"/>
                <w:i w:val="0"/>
                <w:color w:val="000000"/>
                <w:sz w:val="11"/>
              </w:rPr>
              <w:t>拨付合规性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拨付合规</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SimSun" w:hAnsi="SimSun" w:eastAsia="SimSun" w:cs="SimSun"/>
                <w:b w:val="0"/>
                <w:i w:val="0"/>
                <w:color w:val="000000"/>
                <w:sz w:val="11"/>
              </w:rPr>
              <w:t>使用规范性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使用规范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SimSun" w:hAnsi="SimSun" w:eastAsia="SimSun" w:cs="SimSun"/>
                <w:b w:val="0"/>
                <w:i w:val="0"/>
                <w:color w:val="000000"/>
                <w:sz w:val="11"/>
              </w:rPr>
              <w:t>预算绩效管理情况</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良好</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预期目标</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实际完成情况</w:t>
            </w:r>
          </w:p>
        </w:tc>
      </w:tr>
      <w:tr>
        <w:tblPrEx>
          <w:tblCellMar>
            <w:top w:w="0" w:type="dxa"/>
            <w:left w:w="20" w:type="dxa"/>
            <w:bottom w:w="0" w:type="dxa"/>
            <w:right w:w="20" w:type="dxa"/>
          </w:tblCellMar>
        </w:tblPrEx>
        <w:trPr>
          <w:trHeight w:val="52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为财政信息化建设及办公环境提供管理保障。</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完成良好</w:t>
            </w:r>
          </w:p>
        </w:tc>
      </w:tr>
      <w:tr>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得分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偏差度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偏差原因分析及改进措施</w:t>
            </w:r>
          </w:p>
        </w:tc>
      </w:tr>
      <w:tr>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成本指标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SimSun" w:hAnsi="SimSun" w:eastAsia="SimSun" w:cs="SimSun"/>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费用支出</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27.4万元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SimSun" w:hAnsi="SimSun" w:eastAsia="SimSun" w:cs="SimSun"/>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支付项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资金拨付及时率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≥80%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0.85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支付费用时间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≤30天</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30天</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保障单位运转效率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≥70%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75%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满意度指标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服务对象满意度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tcBorders>
              <w:top w:val="single" w:color="000000" w:sz="4" w:space="0"/>
            </w:tcBorders>
            <w:shd w:val="clear" w:color="auto" w:fill="auto"/>
            <w:vAlign w:val="bottom"/>
          </w:tcPr>
          <w:p>
            <w:pPr>
              <w:snapToGrid w:val="0"/>
              <w:spacing w:before="0" w:beforeAutospacing="0" w:after="0" w:afterAutospacing="0" w:line="240" w:lineRule="auto"/>
            </w:pPr>
          </w:p>
        </w:tc>
        <w:tc>
          <w:tcPr>
            <w:tcW w:w="713" w:type="dxa"/>
            <w:tcBorders>
              <w:top w:val="single" w:color="000000" w:sz="4" w:space="0"/>
            </w:tcBorders>
            <w:shd w:val="clear" w:color="auto" w:fill="auto"/>
            <w:vAlign w:val="bottom"/>
          </w:tcPr>
          <w:p>
            <w:pPr>
              <w:snapToGrid w:val="0"/>
              <w:spacing w:before="0" w:beforeAutospacing="0" w:after="0" w:afterAutospacing="0" w:line="240" w:lineRule="auto"/>
            </w:pPr>
          </w:p>
        </w:tc>
        <w:tc>
          <w:tcPr>
            <w:tcW w:w="841"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pPr>
              <w:snapToGrid w:val="0"/>
              <w:spacing w:before="0" w:beforeAutospacing="0" w:after="0" w:afterAutospacing="0" w:line="240" w:lineRule="auto"/>
            </w:pPr>
          </w:p>
        </w:tc>
        <w:tc>
          <w:tcPr>
            <w:tcW w:w="1202"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pPr>
              <w:snapToGrid w:val="0"/>
              <w:spacing w:before="0" w:beforeAutospacing="0" w:after="0" w:afterAutospacing="0" w:line="240" w:lineRule="auto"/>
            </w:pPr>
          </w:p>
        </w:tc>
        <w:tc>
          <w:tcPr>
            <w:tcW w:w="659"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1"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7" w:type="dxa"/>
            <w:tcBorders>
              <w:top w:val="single" w:color="000000" w:sz="4" w:space="0"/>
            </w:tcBorders>
            <w:shd w:val="clear" w:color="auto" w:fill="auto"/>
            <w:vAlign w:val="bottom"/>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49" w:hRule="exact"/>
          <w:jc w:val="center"/>
        </w:trPr>
        <w:tc>
          <w:tcPr>
            <w:tcW w:w="9908"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i w:val="0"/>
                <w:color w:val="000000"/>
                <w:sz w:val="23"/>
              </w:rPr>
              <w:t>项目单位自评表</w:t>
            </w:r>
          </w:p>
        </w:tc>
      </w:tr>
      <w:tr>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项目名称</w:t>
            </w:r>
          </w:p>
        </w:tc>
        <w:tc>
          <w:tcPr>
            <w:tcW w:w="85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2024年信息化系统运维费和线路租赁费</w:t>
            </w:r>
          </w:p>
        </w:tc>
      </w:tr>
      <w:tr>
        <w:tblPrEx>
          <w:tblCellMar>
            <w:top w:w="0" w:type="dxa"/>
            <w:left w:w="20" w:type="dxa"/>
            <w:bottom w:w="0" w:type="dxa"/>
            <w:right w:w="20" w:type="dxa"/>
          </w:tblCellMar>
        </w:tblPrEx>
        <w:trPr>
          <w:trHeight w:val="175" w:hRule="exact"/>
          <w:jc w:val="center"/>
        </w:trPr>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主管部门</w:t>
            </w:r>
          </w:p>
        </w:tc>
        <w:tc>
          <w:tcPr>
            <w:tcW w:w="347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许昌市财政局</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实施单位</w:t>
            </w:r>
          </w:p>
        </w:tc>
        <w:tc>
          <w:tcPr>
            <w:tcW w:w="36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许昌市财政信息管理中心</w:t>
            </w:r>
          </w:p>
        </w:tc>
      </w:tr>
      <w:tr>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项目资金（万元）</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全年预算数</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全年执行数</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分值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执行率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得分</w:t>
            </w: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年度资金总额（万元）：</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47.6</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47.6</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47.6</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政府性预算资金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47.6</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47.6</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47.6</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财政专户管理资金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单位资金</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w:t>
            </w:r>
          </w:p>
        </w:tc>
      </w:tr>
      <w:tr>
        <w:tblPrEx>
          <w:tblCellMar>
            <w:top w:w="0" w:type="dxa"/>
            <w:left w:w="20" w:type="dxa"/>
            <w:bottom w:w="0" w:type="dxa"/>
            <w:right w:w="20" w:type="dxa"/>
          </w:tblCellMar>
        </w:tblPrEx>
        <w:trPr>
          <w:trHeight w:val="175" w:hRule="exact"/>
          <w:jc w:val="center"/>
        </w:trPr>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资金管理情况</w:t>
            </w: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 xml:space="preserve"> 情况说明</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存在问题和改进措施</w:t>
            </w: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SimSun" w:hAnsi="SimSun" w:eastAsia="SimSun" w:cs="SimSun"/>
                <w:b w:val="0"/>
                <w:i w:val="0"/>
                <w:color w:val="000000"/>
                <w:sz w:val="11"/>
              </w:rPr>
              <w:t>安排科学性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安排科学合理</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SimSun" w:hAnsi="SimSun" w:eastAsia="SimSun" w:cs="SimSun"/>
                <w:b w:val="0"/>
                <w:i w:val="0"/>
                <w:color w:val="000000"/>
                <w:sz w:val="11"/>
              </w:rPr>
              <w:t>拨付合规性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拨付合规</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SimSun" w:hAnsi="SimSun" w:eastAsia="SimSun" w:cs="SimSun"/>
                <w:b w:val="0"/>
                <w:i w:val="0"/>
                <w:color w:val="000000"/>
                <w:sz w:val="11"/>
              </w:rPr>
              <w:t>使用规范性</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使用规范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5" w:hRule="exact"/>
          <w:jc w:val="center"/>
        </w:trPr>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SimSun" w:hAnsi="SimSun" w:eastAsia="SimSun" w:cs="SimSun"/>
                <w:b w:val="0"/>
                <w:i w:val="0"/>
                <w:color w:val="000000"/>
                <w:sz w:val="11"/>
              </w:rPr>
              <w:t>预算绩效管理情况</w:t>
            </w:r>
          </w:p>
        </w:tc>
        <w:tc>
          <w:tcPr>
            <w:tcW w:w="2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SimSun" w:hAnsi="SimSun" w:eastAsia="SimSun" w:cs="SimSun"/>
                <w:b w:val="0"/>
                <w:i w:val="0"/>
                <w:color w:val="000000"/>
                <w:sz w:val="11"/>
              </w:rPr>
              <w:t>良好</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年度总体目标</w:t>
            </w: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预期目标</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实际完成情况</w:t>
            </w:r>
          </w:p>
        </w:tc>
      </w:tr>
      <w:tr>
        <w:tblPrEx>
          <w:tblCellMar>
            <w:top w:w="0" w:type="dxa"/>
            <w:left w:w="20" w:type="dxa"/>
            <w:bottom w:w="0" w:type="dxa"/>
            <w:right w:w="20" w:type="dxa"/>
          </w:tblCellMar>
        </w:tblPrEx>
        <w:trPr>
          <w:trHeight w:val="524"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为财政信息化建设及办公环境提供管理保障，财政系统数据库、网络建设、开发、维护与信息安全管理。</w:t>
            </w:r>
          </w:p>
        </w:tc>
        <w:tc>
          <w:tcPr>
            <w:tcW w:w="5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完成良好</w:t>
            </w:r>
          </w:p>
        </w:tc>
      </w:tr>
      <w:tr>
        <w:tblPrEx>
          <w:tblCellMar>
            <w:top w:w="0" w:type="dxa"/>
            <w:left w:w="20" w:type="dxa"/>
            <w:bottom w:w="0" w:type="dxa"/>
            <w:right w:w="20" w:type="dxa"/>
          </w:tblCellMar>
        </w:tblPrEx>
        <w:trPr>
          <w:trHeight w:val="175"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绩效指标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一级指标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三级指标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实际完成值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分值</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得分</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偏差度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偏差原因分析及改进措施</w:t>
            </w:r>
          </w:p>
        </w:tc>
      </w:tr>
      <w:tr>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成本指标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SimSun" w:hAnsi="SimSun" w:eastAsia="SimSun" w:cs="SimSun"/>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费用支出</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47.6万元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SimSun" w:hAnsi="SimSun" w:eastAsia="SimSun" w:cs="SimSun"/>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产出指标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支付项</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5个</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资金拨付及时率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≥80%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Arial" w:hAnsi="Arial" w:eastAsia="Arial" w:cs="Arial"/>
                <w:b w:val="0"/>
                <w:i w:val="0"/>
                <w:color w:val="000000"/>
                <w:sz w:val="11"/>
              </w:rPr>
              <w:tab/>
            </w:r>
            <w:r>
              <w:rPr>
                <w:rFonts w:ascii="Arial" w:hAnsi="Arial" w:eastAsia="Arial" w:cs="Arial"/>
                <w:b w:val="0"/>
                <w:i w:val="0"/>
                <w:color w:val="000000"/>
                <w:sz w:val="11"/>
              </w:rPr>
              <w:t xml:space="preserve"> 90%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支付费用时间</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≤30天</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30天</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效益指标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节约财政资金</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25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保障系统运转效率</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≥70%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75%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6"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满意度指标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服务对象满意度</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0.00%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5"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总分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100</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SimSun" w:hAnsi="SimSun" w:eastAsia="SimSun" w:cs="SimSun"/>
                <w:b w:val="0"/>
                <w:i w:val="0"/>
                <w:color w:val="000000"/>
                <w:sz w:val="11"/>
              </w:rPr>
              <w:t>95</w:t>
            </w:r>
          </w:p>
        </w:tc>
        <w:tc>
          <w:tcPr>
            <w:tcW w:w="1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SimSun">
    <w:panose1 w:val="02010600090101010101"/>
    <w:charset w:val="86"/>
    <w:family w:val="auto"/>
    <w:pitch w:val="default"/>
    <w:sig w:usb0="800002BF" w:usb1="38CF7CFA" w:usb2="00000016" w:usb3="00000000" w:csb0="6016019D" w:csb1="D3F7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DU78nc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FB4B8"/>
    <w:multiLevelType w:val="multilevel"/>
    <w:tmpl w:val="4DDFB4B8"/>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EEFD912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19</TotalTime>
  <ScaleCrop>false</ScaleCrop>
  <LinksUpToDate>false</LinksUpToDate>
  <CharactersWithSpaces>19414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2024-10-10T11:33:20Z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