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许昌市自然资源确权登记局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许昌市自然资源确权登记局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许昌市自然资源确权登记局概况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拟定市级不动产登记及相关工作办法；组织开展不动产登记工作；指导监督全市不动产登记工作 ；牵头建立全市不动产登记信息管理基础平台；负责全市不动产权利证书的监管；承办不动产登记人员上岗资格初审；规范、监管不动产登记中介组织和行为；拟定不动产确权、权属争议调处的地方规范性文件；负责组织指导全市不动产确权、不动产权属调查和权属争议调处工作；承办跨县（市、区）的权属争议调处；指导全市不动产登记资料社会查询服务；指导全市不动产登记档案和信息管理工作；负责全市不动产登记信息统计和分析；承担各类土地登记资料的整理、共享、和汇交管理；负责各级不动产权属数据库建设、更新、管理和维护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许昌市自然资源确权登记局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许昌市自然资源确权登记局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许昌市自然资源确权登记局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70.65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3.85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56.47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3.46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70.65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70.65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70.65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70.65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70.65</w:t>
            </w:r>
          </w:p>
        </w:tc>
        <w:tc>
          <w:tcPr>
            <w:tcW w:w="1440" w:type="dxa"/>
            <w:tcBorders/>
            <w:vAlign w:val="center"/>
          </w:tcPr>
          <w:p>
            <w:pPr>
              <w:jc w:val="right"/>
            </w:pPr>
            <w:r>
              <w:rPr>
                <w:rFonts w:ascii="宋体" w:eastAsia="宋体" w:hAnsi="宋体" w:cs="宋体"/>
                <w:b/>
                <w:i w:val="0"/>
                <w:color w:val="000000"/>
                <w:sz w:val="17"/>
              </w:rPr>
              <w:t xml:space="preserve">70.65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3.27</w:t>
            </w:r>
          </w:p>
        </w:tc>
        <w:tc>
          <w:tcPr>
            <w:tcW w:w="1440" w:type="dxa"/>
            <w:tcBorders/>
            <w:vAlign w:val="center"/>
          </w:tcPr>
          <w:p>
            <w:pPr>
              <w:jc w:val="right"/>
            </w:pPr>
            <w:r>
              <w:rPr>
                <w:rFonts w:ascii="宋体" w:eastAsia="宋体" w:hAnsi="宋体" w:cs="宋体"/>
                <w:b w:val="0"/>
                <w:i w:val="0"/>
                <w:color w:val="000000"/>
                <w:sz w:val="17"/>
              </w:rPr>
              <w:t xml:space="preserve">3.27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1.81</w:t>
            </w:r>
          </w:p>
        </w:tc>
        <w:tc>
          <w:tcPr>
            <w:tcW w:w="1440" w:type="dxa"/>
            <w:tcBorders/>
            <w:vAlign w:val="center"/>
          </w:tcPr>
          <w:p>
            <w:pPr>
              <w:jc w:val="right"/>
            </w:pPr>
            <w:r>
              <w:rPr>
                <w:rFonts w:ascii="宋体" w:eastAsia="宋体" w:hAnsi="宋体" w:cs="宋体"/>
                <w:b w:val="0"/>
                <w:i w:val="0"/>
                <w:color w:val="000000"/>
                <w:sz w:val="17"/>
              </w:rPr>
              <w:t xml:space="preserve">1.81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2.04</w:t>
            </w:r>
          </w:p>
        </w:tc>
        <w:tc>
          <w:tcPr>
            <w:tcW w:w="1440" w:type="dxa"/>
            <w:tcBorders/>
            <w:vAlign w:val="center"/>
          </w:tcPr>
          <w:p>
            <w:pPr>
              <w:jc w:val="right"/>
            </w:pPr>
            <w:r>
              <w:rPr>
                <w:rFonts w:ascii="宋体" w:eastAsia="宋体" w:hAnsi="宋体" w:cs="宋体"/>
                <w:b w:val="0"/>
                <w:i w:val="0"/>
                <w:color w:val="000000"/>
                <w:sz w:val="17"/>
              </w:rPr>
              <w:t xml:space="preserve">2.04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56.47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3.46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70.65</w:t>
            </w:r>
          </w:p>
        </w:tc>
        <w:tc>
          <w:tcPr>
            <w:tcW w:w="1600" w:type="dxa"/>
            <w:tcBorders/>
            <w:vAlign w:val="center"/>
          </w:tcPr>
          <w:p>
            <w:pPr>
              <w:jc w:val="right"/>
            </w:pPr>
            <w:r>
              <w:rPr>
                <w:rFonts w:ascii="宋体" w:eastAsia="宋体" w:hAnsi="宋体" w:cs="宋体"/>
                <w:b/>
                <w:i w:val="0"/>
                <w:color w:val="000000"/>
                <w:sz w:val="19"/>
              </w:rPr>
              <w:t xml:space="preserve">70.65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3.27</w:t>
            </w:r>
          </w:p>
        </w:tc>
        <w:tc>
          <w:tcPr>
            <w:tcW w:w="1600" w:type="dxa"/>
            <w:tcBorders/>
            <w:vAlign w:val="center"/>
          </w:tcPr>
          <w:p>
            <w:pPr>
              <w:jc w:val="right"/>
            </w:pPr>
            <w:r>
              <w:rPr>
                <w:rFonts w:ascii="宋体" w:eastAsia="宋体" w:hAnsi="宋体" w:cs="宋体"/>
                <w:b w:val="0"/>
                <w:i w:val="0"/>
                <w:color w:val="000000"/>
                <w:sz w:val="19"/>
              </w:rPr>
              <w:t xml:space="preserve">3.27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1.81</w:t>
            </w:r>
          </w:p>
        </w:tc>
        <w:tc>
          <w:tcPr>
            <w:tcW w:w="1600" w:type="dxa"/>
            <w:tcBorders/>
            <w:vAlign w:val="center"/>
          </w:tcPr>
          <w:p>
            <w:pPr>
              <w:jc w:val="right"/>
            </w:pPr>
            <w:r>
              <w:rPr>
                <w:rFonts w:ascii="宋体" w:eastAsia="宋体" w:hAnsi="宋体" w:cs="宋体"/>
                <w:b w:val="0"/>
                <w:i w:val="0"/>
                <w:color w:val="000000"/>
                <w:sz w:val="19"/>
              </w:rPr>
              <w:t xml:space="preserve">1.81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2.04</w:t>
            </w:r>
          </w:p>
        </w:tc>
        <w:tc>
          <w:tcPr>
            <w:tcW w:w="1600" w:type="dxa"/>
            <w:tcBorders/>
            <w:vAlign w:val="center"/>
          </w:tcPr>
          <w:p>
            <w:pPr>
              <w:jc w:val="right"/>
            </w:pPr>
            <w:r>
              <w:rPr>
                <w:rFonts w:ascii="宋体" w:eastAsia="宋体" w:hAnsi="宋体" w:cs="宋体"/>
                <w:b w:val="0"/>
                <w:i w:val="0"/>
                <w:color w:val="000000"/>
                <w:sz w:val="19"/>
              </w:rPr>
              <w:t xml:space="preserve">2.04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56.47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3.46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3.27</w:t>
            </w:r>
          </w:p>
        </w:tc>
        <w:tc>
          <w:tcPr>
            <w:tcW w:w="1420" w:type="dxa"/>
            <w:tcBorders/>
            <w:vAlign w:val="center"/>
          </w:tcPr>
          <w:p>
            <w:pPr>
              <w:jc w:val="right"/>
            </w:pPr>
            <w:r>
              <w:rPr>
                <w:rFonts w:ascii="宋体" w:eastAsia="宋体" w:hAnsi="宋体" w:cs="宋体"/>
                <w:b w:val="0"/>
                <w:i w:val="0"/>
                <w:color w:val="000000"/>
                <w:sz w:val="18"/>
              </w:rPr>
              <w:t xml:space="preserve">3.27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3.60</w:t>
            </w:r>
          </w:p>
        </w:tc>
        <w:tc>
          <w:tcPr>
            <w:tcW w:w="1420" w:type="dxa"/>
            <w:tcBorders/>
            <w:vAlign w:val="center"/>
          </w:tcPr>
          <w:p>
            <w:pPr>
              <w:jc w:val="right"/>
            </w:pPr>
            <w:r>
              <w:rPr>
                <w:rFonts w:ascii="宋体" w:eastAsia="宋体" w:hAnsi="宋体" w:cs="宋体"/>
                <w:b w:val="0"/>
                <w:i w:val="0"/>
                <w:color w:val="000000"/>
                <w:sz w:val="18"/>
              </w:rPr>
              <w:t xml:space="preserve">3.60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3.85</w:t>
            </w:r>
          </w:p>
        </w:tc>
        <w:tc>
          <w:tcPr>
            <w:tcW w:w="1420" w:type="dxa"/>
            <w:tcBorders/>
            <w:vAlign w:val="center"/>
          </w:tcPr>
          <w:p>
            <w:pPr>
              <w:jc w:val="right"/>
            </w:pPr>
            <w:r>
              <w:rPr>
                <w:rFonts w:ascii="宋体" w:eastAsia="宋体" w:hAnsi="宋体" w:cs="宋体"/>
                <w:b w:val="0"/>
                <w:i w:val="0"/>
                <w:color w:val="000000"/>
                <w:sz w:val="18"/>
              </w:rPr>
              <w:t xml:space="preserve">3.85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56.47</w:t>
            </w:r>
          </w:p>
        </w:tc>
        <w:tc>
          <w:tcPr>
            <w:tcW w:w="1420" w:type="dxa"/>
            <w:tcBorders/>
            <w:vAlign w:val="center"/>
          </w:tcPr>
          <w:p>
            <w:pPr>
              <w:jc w:val="right"/>
            </w:pPr>
            <w:r>
              <w:rPr>
                <w:rFonts w:ascii="宋体" w:eastAsia="宋体" w:hAnsi="宋体" w:cs="宋体"/>
                <w:b w:val="0"/>
                <w:i w:val="0"/>
                <w:color w:val="000000"/>
                <w:sz w:val="18"/>
              </w:rPr>
              <w:t xml:space="preserve">56.47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3.46</w:t>
            </w:r>
          </w:p>
        </w:tc>
        <w:tc>
          <w:tcPr>
            <w:tcW w:w="1420" w:type="dxa"/>
            <w:tcBorders/>
            <w:vAlign w:val="center"/>
          </w:tcPr>
          <w:p>
            <w:pPr>
              <w:jc w:val="right"/>
            </w:pPr>
            <w:r>
              <w:rPr>
                <w:rFonts w:ascii="宋体" w:eastAsia="宋体" w:hAnsi="宋体" w:cs="宋体"/>
                <w:b w:val="0"/>
                <w:i w:val="0"/>
                <w:color w:val="000000"/>
                <w:sz w:val="18"/>
              </w:rPr>
              <w:t xml:space="preserve">3.46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1420" w:type="dxa"/>
            <w:tcBorders/>
            <w:vAlign w:val="center"/>
          </w:tcPr>
          <w:p>
            <w:pPr>
              <w:jc w:val="right"/>
            </w:pPr>
            <w:r>
              <w:rPr>
                <w:rFonts w:ascii="宋体" w:eastAsia="宋体" w:hAnsi="宋体" w:cs="宋体"/>
                <w:b w:val="0"/>
                <w:i w:val="0"/>
                <w:color w:val="000000"/>
                <w:sz w:val="18"/>
              </w:rPr>
              <w:t xml:space="preserve">70.65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70.65</w:t>
            </w:r>
          </w:p>
        </w:tc>
        <w:tc>
          <w:tcPr>
            <w:tcW w:w="2700" w:type="dxa"/>
            <w:tcBorders/>
            <w:vAlign w:val="center"/>
          </w:tcPr>
          <w:p>
            <w:pPr>
              <w:jc w:val="right"/>
            </w:pPr>
            <w:r>
              <w:rPr>
                <w:rFonts w:ascii="宋体" w:eastAsia="宋体" w:hAnsi="宋体" w:cs="宋体"/>
                <w:b/>
                <w:i w:val="0"/>
                <w:color w:val="000000"/>
                <w:sz w:val="25"/>
              </w:rPr>
              <w:t xml:space="preserve">70.65</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3.27</w:t>
            </w:r>
          </w:p>
        </w:tc>
        <w:tc>
          <w:tcPr>
            <w:tcW w:w="2700" w:type="dxa"/>
            <w:tcBorders/>
            <w:vAlign w:val="center"/>
          </w:tcPr>
          <w:p>
            <w:pPr>
              <w:jc w:val="right"/>
            </w:pPr>
            <w:r>
              <w:rPr>
                <w:rFonts w:ascii="宋体" w:eastAsia="宋体" w:hAnsi="宋体" w:cs="宋体"/>
                <w:b w:val="0"/>
                <w:i w:val="0"/>
                <w:color w:val="000000"/>
                <w:sz w:val="25"/>
              </w:rPr>
              <w:t xml:space="preserve">3.27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700" w:type="dxa"/>
            <w:tcBorders/>
            <w:vAlign w:val="center"/>
          </w:tcPr>
          <w:p>
            <w:pPr>
              <w:jc w:val="right"/>
            </w:pPr>
            <w:r>
              <w:rPr>
                <w:rFonts w:ascii="宋体" w:eastAsia="宋体" w:hAnsi="宋体" w:cs="宋体"/>
                <w:b w:val="0"/>
                <w:i w:val="0"/>
                <w:color w:val="000000"/>
                <w:sz w:val="25"/>
              </w:rPr>
              <w:t xml:space="preserve">0.30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700" w:type="dxa"/>
            <w:tcBorders/>
            <w:vAlign w:val="center"/>
          </w:tcPr>
          <w:p>
            <w:pPr>
              <w:jc w:val="right"/>
            </w:pPr>
            <w:r>
              <w:rPr>
                <w:rFonts w:ascii="宋体" w:eastAsia="宋体" w:hAnsi="宋体" w:cs="宋体"/>
                <w:b w:val="0"/>
                <w:i w:val="0"/>
                <w:color w:val="000000"/>
                <w:sz w:val="25"/>
              </w:rPr>
              <w:t xml:space="preserve">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1.81</w:t>
            </w:r>
          </w:p>
        </w:tc>
        <w:tc>
          <w:tcPr>
            <w:tcW w:w="2700" w:type="dxa"/>
            <w:tcBorders/>
            <w:vAlign w:val="center"/>
          </w:tcPr>
          <w:p>
            <w:pPr>
              <w:jc w:val="right"/>
            </w:pPr>
            <w:r>
              <w:rPr>
                <w:rFonts w:ascii="宋体" w:eastAsia="宋体" w:hAnsi="宋体" w:cs="宋体"/>
                <w:b w:val="0"/>
                <w:i w:val="0"/>
                <w:color w:val="000000"/>
                <w:sz w:val="25"/>
              </w:rPr>
              <w:t xml:space="preserve">1.81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2.04</w:t>
            </w:r>
          </w:p>
        </w:tc>
        <w:tc>
          <w:tcPr>
            <w:tcW w:w="2700" w:type="dxa"/>
            <w:tcBorders/>
            <w:vAlign w:val="center"/>
          </w:tcPr>
          <w:p>
            <w:pPr>
              <w:jc w:val="right"/>
            </w:pPr>
            <w:r>
              <w:rPr>
                <w:rFonts w:ascii="宋体" w:eastAsia="宋体" w:hAnsi="宋体" w:cs="宋体"/>
                <w:b w:val="0"/>
                <w:i w:val="0"/>
                <w:color w:val="000000"/>
                <w:sz w:val="25"/>
              </w:rPr>
              <w:t xml:space="preserve">2.04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700" w:type="dxa"/>
            <w:tcBorders/>
            <w:vAlign w:val="center"/>
          </w:tcPr>
          <w:p>
            <w:pPr>
              <w:jc w:val="right"/>
            </w:pPr>
            <w:r>
              <w:rPr>
                <w:rFonts w:ascii="宋体" w:eastAsia="宋体" w:hAnsi="宋体" w:cs="宋体"/>
                <w:b w:val="0"/>
                <w:i w:val="0"/>
                <w:color w:val="000000"/>
                <w:sz w:val="25"/>
              </w:rPr>
              <w:t xml:space="preserve">56.47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700" w:type="dxa"/>
            <w:tcBorders/>
            <w:vAlign w:val="center"/>
          </w:tcPr>
          <w:p>
            <w:pPr>
              <w:jc w:val="right"/>
            </w:pPr>
            <w:r>
              <w:rPr>
                <w:rFonts w:ascii="宋体" w:eastAsia="宋体" w:hAnsi="宋体" w:cs="宋体"/>
                <w:b w:val="0"/>
                <w:i w:val="0"/>
                <w:color w:val="000000"/>
                <w:sz w:val="25"/>
              </w:rPr>
              <w:t xml:space="preserve">3.46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62.52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8.13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17.15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18.72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13.32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3.60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2.04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1.05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3.46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2.39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3.01</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62.52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8.13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单位：许昌市自然资源确权登记局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70.65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增加2.00万元，增长2.91%</w:t>
      </w:r>
      <w:r>
        <w:rPr>
          <w:rFonts w:ascii="仿宋" w:eastAsia="仿宋" w:hAnsi="仿宋" w:cs="仿宋" w:hint="eastAsia"/>
          <w:kern w:val="0"/>
          <w:sz w:val="32"/>
          <w:szCs w:val="32"/>
          <w:lang w:val="en-US" w:eastAsia="zh-CN"/>
        </w:rPr>
        <w:t xml:space="preserve">。主要原因是我单位一名实习员工于2023年8月转正，人员经费增加。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70.65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财政拨款收入70.65万元，占100.00%；上级补助收入0.00万元，占0.00%；事业收入0.00万元，占0.00%；经营收入0.00万元，占0.00%；附属单位上缴收入0.00万元，占0.00%；其他收入0.00万元，占0.00%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70.65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基本支出70.65万元，占100.00%；项目支出0.00万元，占0.00%；上缴上级支出0.00万元，占0.00%；经营支出0.00万元，占0.00%；对附属单位补助支出0.00万元，占0.00%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70.65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增加2.00万元，增长2.91%</w:t>
      </w:r>
      <w:r>
        <w:rPr>
          <w:rFonts w:ascii="仿宋" w:eastAsia="仿宋" w:hAnsi="仿宋" w:cs="仿宋" w:hint="eastAsia"/>
          <w:kern w:val="0"/>
          <w:sz w:val="32"/>
          <w:szCs w:val="32"/>
          <w:lang w:val="en-US" w:eastAsia="zh-CN"/>
        </w:rPr>
        <w:t xml:space="preserve">。主要原因是我单位一名实习员工于2023年8月转正，人员经费增加。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70.65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增加2.00万元，增长2.91%</w:t>
      </w:r>
      <w:r>
        <w:rPr>
          <w:rFonts w:ascii="仿宋" w:eastAsia="仿宋" w:hAnsi="仿宋" w:cs="仿宋" w:hint="eastAsia"/>
          <w:kern w:val="0"/>
          <w:sz w:val="32"/>
          <w:szCs w:val="32"/>
          <w:lang w:val="en-US" w:eastAsia="zh-CN"/>
        </w:rPr>
        <w:t xml:space="preserve">。主要原因是我单位一名实习员工于2023年8月转正，人员经费增加。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70.65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一般公共服务支出（类）3.27万元，占4.63%；社会保障和就业支出（类）3.60万元，占5.10%；卫生健康支出（类）3.85万元，占5.45%；城乡社区支出（类）56.47万元，占79.93%；住房保障支出（类）3.46万元，占4.90%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70.65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102.64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年初预算数为0.30万元，决算数0.30万元,完成年初预算的100.00%，决算数与年初预算数不存在差异。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年初预算数为0.00万元，决算数2.97万元,决算数与年初预算数存在差异的主要原因是根据业务需要，年中相应调剂安排财政拨款预算。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年初预算数为3.61万元，决算数3.60万元,完成年初预算的99.72%，决算数与年初预算数存在差异的主要原因是我单位员工12月份养老保险未支付。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4.卫生健康支出（类）行政事业单位医疗（款）行政单位医疗（项）</w:t>
      </w:r>
      <w:r>
        <w:rPr>
          <w:rFonts w:ascii="仿宋" w:eastAsia="仿宋" w:hAnsi="仿宋" w:cs="仿宋" w:hint="default"/>
          <w:kern w:val="2"/>
          <w:sz w:val="32"/>
          <w:szCs w:val="32"/>
          <w:lang w:val="en-US" w:eastAsia="zh-CN"/>
        </w:rPr>
        <w:t xml:space="preserve">年初预算数为1.84万元，决算数1.81万元,完成年初预算的98.37%，决算数与年初预算数存在差异的主要原因是我单位员工12月份医疗保险未支付。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5.卫生健康支出（类）行政事业单位医疗（款）公务员医疗补助（项）</w:t>
      </w:r>
      <w:r>
        <w:rPr>
          <w:rFonts w:ascii="仿宋" w:eastAsia="仿宋" w:hAnsi="仿宋" w:cs="仿宋" w:hint="default"/>
          <w:kern w:val="2"/>
          <w:sz w:val="32"/>
          <w:szCs w:val="32"/>
          <w:lang w:val="en-US" w:eastAsia="zh-CN"/>
        </w:rPr>
        <w:t xml:space="preserve">年初预算数为2.04万元，决算数2.04万元,完成年初预算的100.00%，决算数与年初预算数不存在差异。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6.城乡社区支出（类）城乡社区管理事务（款）行政运行（项）</w:t>
      </w:r>
      <w:r>
        <w:rPr>
          <w:rFonts w:ascii="仿宋" w:eastAsia="仿宋" w:hAnsi="仿宋" w:cs="仿宋" w:hint="default"/>
          <w:kern w:val="2"/>
          <w:sz w:val="32"/>
          <w:szCs w:val="32"/>
          <w:lang w:val="en-US" w:eastAsia="zh-CN"/>
        </w:rPr>
        <w:t xml:space="preserve">年初预算数为57.54万元，决算数56.47万元,完成年初预算的98.14%，决算数与年初预算数存在差异的主要原因是厉行节约减少开支。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年初预算数为3.50万元，决算数3.46万元,完成年初预算的98.86%，决算数与年初预算数存在差异的主要原因是我单位2023年公积金依据基数调整后实际支付与年初预算存在少量差异。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70.65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其中：人员经费62.52万元，主要包括：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公用经费8.13万元，主要包括：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2023年度机关运行经费支出8.13万元，</w:t>
      </w:r>
      <w:r>
        <w:rPr>
          <w:rFonts w:ascii="仿宋" w:eastAsia="仿宋" w:hAnsi="仿宋" w:cs="仿宋" w:hint="eastAsia"/>
          <w:kern w:val="0"/>
          <w:sz w:val="32"/>
          <w:szCs w:val="32"/>
          <w:lang w:val="en-US" w:eastAsia="zh-CN"/>
        </w:rPr>
        <w:t xml:space="preserve">较2022年度增长4.05万元，</w:t>
      </w:r>
      <w:r>
        <w:rPr>
          <w:rFonts w:ascii="仿宋" w:eastAsia="仿宋" w:hAnsi="仿宋" w:cs="仿宋" w:hint="eastAsia"/>
          <w:kern w:val="0"/>
          <w:sz w:val="32"/>
          <w:szCs w:val="32"/>
          <w:lang w:val="en-US" w:eastAsia="zh-CN"/>
        </w:rPr>
        <w:t xml:space="preserve">增长99.26%，</w:t>
      </w:r>
      <w:r>
        <w:rPr>
          <w:rFonts w:ascii="仿宋" w:eastAsia="仿宋" w:hAnsi="仿宋" w:cs="仿宋" w:hint="eastAsia"/>
          <w:kern w:val="0"/>
          <w:sz w:val="32"/>
          <w:szCs w:val="32"/>
          <w:lang w:val="en-US" w:eastAsia="zh-CN"/>
        </w:rPr>
        <w:t xml:space="preserve">主要原因是我单位车补于2023年计入公用经费支出。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70.65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97.36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单位支出绩效管理的重视程度进一步提升，执行和完成情况较好，资金使用比较规范</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23a9fc4-d6d8-4097-a0dc-a0516987256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2391"/>
        <w:gridCol w:w="396"/>
        <w:gridCol w:w="972"/>
        <w:gridCol w:w="1192"/>
        <w:gridCol w:w="963"/>
        <w:gridCol w:w="1206"/>
        <w:gridCol w:w="1116"/>
        <w:gridCol w:w="576"/>
        <w:gridCol w:w="1116"/>
        <w:gridCol w:w="75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nil"/>
              <w:right w:val="nil"/>
            </w:tcBorders>
            <w:shd w:val="clear" w:color="auto" w:fill="auto"/>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6"/>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许昌市自然资源确权登记局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6"/>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执行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68.83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70.65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70.65</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102.64%</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bottom"/>
          </w:tcPr>
          <w:p>
            <w:pPr>
              <w:pStyle w:val="Normal_3f45755f-e386-4af1-b7e6-39d6bf257510"/>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7.36</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68.83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70.65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70.65</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102.64%</w:t>
            </w:r>
          </w:p>
        </w:tc>
        <w:tc>
          <w:tcPr>
            <w:vMerge/>
            <w:tcBorders>
              <w:top w:val="single" w:sz="4" w:space="0" w:color="000000"/>
              <w:left w:val="single" w:sz="4" w:space="0" w:color="000000"/>
              <w:bottom w:val="nil"/>
              <w:right w:val="single" w:sz="4" w:space="0" w:color="000000"/>
            </w:tcBorders>
            <w:shd w:val="clear" w:color="auto" w:fill="auto"/>
            <w:noWrap w:val="1"/>
            <w:vAlign w:val="bottom"/>
          </w:tcPr>
          <w:p>
            <w:pPr>
              <w:pStyle w:val="Normal_3f45755f-e386-4af1-b7e6-39d6bf257510"/>
              <w:jc w:val="right"/>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bottom"/>
          </w:tcPr>
          <w:p>
            <w:pPr>
              <w:pStyle w:val="Normal_3f45755f-e386-4af1-b7e6-39d6bf257510"/>
              <w:jc w:val="right"/>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bottom"/>
          </w:tcPr>
          <w:p>
            <w:pPr>
              <w:pStyle w:val="Normal_3f45755f-e386-4af1-b7e6-39d6bf257510"/>
              <w:jc w:val="right"/>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履职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持续优化不动产登记营商环境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集体土地所有权成果汇交</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农村房屋登记颁证工作持续推进</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主要</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持续优化不动产登记营商环境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集体土地所有权成果汇交</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农村房屋登记颁证工作持续推进</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任务完成较好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部门设立的工作目标的依据是否充分；内容是否合法、合规。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部门设立的工作任务是否明确、具体、清晰和科学。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部门设立的绩效指标是否合理。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①收入预算编制是否足额，是否将所有部门预算收入全部编入收入预算；</w:t>
            </w:r>
            <w:r>
              <w:rPr/>
              <w:br/>
            </w:r>
            <w:r>
              <w:rPr>
                <w:rFonts w:ascii="宋体" w:eastAsia="宋体" w:hAnsi="宋体" w:cs="宋体"/>
                <w:i w:val="0"/>
                <w:iCs w:val="0"/>
                <w:color w:val="000000"/>
                <w:kern w:val="0"/>
                <w:sz w:val="18"/>
                <w:szCs w:val="18"/>
                <w:u w:val="none"/>
                <w:bdr w:val="none" w:sz="0" w:space="0" w:color="auto"/>
                <w:lang w:val="en-US" w:eastAsia="zh-CN"/>
              </w:rPr>
              <w:t xml:space="preserve">②支出预算编制是否科学，是否是按人员经费按标准、日常公用经费按定额、专项经费按项目分别编制。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专项资金细化率=（已细化到具体市县和承担单位的资金数/部门参与分配资金总数）×100%。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预算调整率=（预算调整数/预算数）×100%。</w:t>
            </w:r>
            <w:r>
              <w:rPr/>
              <w:br/>
            </w:r>
            <w:r>
              <w:rPr>
                <w:rFonts w:ascii="宋体" w:eastAsia="宋体" w:hAnsi="宋体" w:cs="宋体"/>
                <w:i w:val="0"/>
                <w:iCs w:val="0"/>
                <w:color w:val="000000"/>
                <w:kern w:val="0"/>
                <w:sz w:val="18"/>
                <w:szCs w:val="18"/>
                <w:u w:val="none"/>
                <w:bdr w:val="none" w:sz="0" w:space="0" w:color="auto"/>
                <w:lang w:val="en-US" w:eastAsia="zh-CN"/>
              </w:rPr>
              <w:t xml:space="preserve">预算调整数：部门在本年度内涉及预算的追加、追减或结构调整的资金总和（因落实国家政策、发生不可抗力、上级部门或本级党委政府临时交办而产生的调整除外）。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结转结余变动率=[（本年度累计结转结余资金总额-上年度累计结转结余资金总额）/上年度累计结转结余资金总额]×100%。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“三公经费”控制率=（本年度“三公经费”实际支出总额/本年度“三公经费”预算数）×100%。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44.65%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①资金使用是否符合政府采购的程序和流程；资金使用是否符合公务卡结算相关制度和规定；</w:t>
            </w:r>
            <w:r>
              <w:rPr/>
              <w:br/>
            </w:r>
            <w:r>
              <w:rPr>
                <w:rFonts w:ascii="宋体" w:eastAsia="宋体" w:hAnsi="宋体" w:cs="宋体"/>
                <w:i w:val="0"/>
                <w:iCs w:val="0"/>
                <w:color w:val="000000"/>
                <w:kern w:val="0"/>
                <w:sz w:val="18"/>
                <w:szCs w:val="18"/>
                <w:u w:val="none"/>
                <w:bdr w:val="none" w:sz="0" w:space="0" w:color="auto"/>
                <w:lang w:val="en-US" w:eastAsia="zh-CN"/>
              </w:rPr>
              <w:t xml:space="preserve">②政府采购执行率=（实际政府采购金额/政府采购预算数）×100%；</w:t>
            </w:r>
            <w:r>
              <w:rPr/>
              <w:br/>
            </w:r>
            <w:r>
              <w:rPr>
                <w:rFonts w:ascii="宋体" w:eastAsia="宋体" w:hAnsi="宋体" w:cs="宋体"/>
                <w:i w:val="0"/>
                <w:iCs w:val="0"/>
                <w:color w:val="000000"/>
                <w:kern w:val="0"/>
                <w:sz w:val="18"/>
                <w:szCs w:val="18"/>
                <w:u w:val="none"/>
                <w:bdr w:val="none" w:sz="0" w:space="0" w:color="auto"/>
                <w:lang w:val="en-US" w:eastAsia="zh-CN"/>
              </w:rPr>
              <w:t xml:space="preserve">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①是否按照相关编审要求报送；</w:t>
            </w:r>
            <w:r>
              <w:rPr/>
              <w:br/>
            </w:r>
            <w:r>
              <w:rPr>
                <w:rFonts w:ascii="宋体" w:eastAsia="宋体" w:hAnsi="宋体" w:cs="宋体"/>
                <w:i w:val="0"/>
                <w:iCs w:val="0"/>
                <w:color w:val="000000"/>
                <w:kern w:val="0"/>
                <w:sz w:val="18"/>
                <w:szCs w:val="18"/>
                <w:u w:val="none"/>
                <w:bdr w:val="none" w:sz="0" w:space="0" w:color="auto"/>
                <w:lang w:val="en-US" w:eastAsia="zh-CN"/>
              </w:rPr>
              <w:t xml:space="preserve">②部门决算编报的单位范围和资金范围是否符合相关要求。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资金使用是否合规。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管理制度是否健全。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预决算信息是否公开。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资产管理是否规范。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绩效监控完成率=（实际绩效监控完成数/绩效监控预算数）×100%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绩效自评完成率=（实际绩效自评完成数/绩效自评预算数）×100%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部门绩效评价完成率=（实际部门绩效评价完成数/部门绩效评价预算数）×100%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评价结果应用率=（实际评价结果应用数/评价结果应用预算数）×100%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持续优化不动产登记营商环境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分项具体列示本部门重点工作推进情况，相关情况应予以细化、量化表述。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农村房屋登记颁证工作持续推进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分项具体列示本部门重点工作推进情况，相关情况应予以细化、量化表述。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持续优化不动产登记营商环境</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51"/>
                <w:bdr w:val="none" w:sz="0" w:space="0" w:color="auto"/>
                <w:lang w:val="en-US" w:eastAsia="zh-CN"/>
              </w:rPr>
              <w:t xml:space="preserve">≥</w:t>
            </w:r>
            <w:r>
              <w:rPr>
                <w:rStyle w:val="font81"/>
                <w:bdr w:val="none" w:sz="0" w:space="0" w:color="auto"/>
                <w:lang w:val="en-US" w:eastAsia="zh-CN"/>
              </w:rPr>
              <w:t xml:space="preserve">95%</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分项具体列示本部门重点工作推进情况，相关情况应予以细化、量化表述。</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0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数据一般通过问卷调查的方式获得，用百分比衡量</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若无目标值，则可参考社会效益目标值设定参考值。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数据一般通过问卷调查的方式获得，用百分比衡量</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若无目标值，则可参考社会效益目标值设定参考值。</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总分（100分）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97.36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f45755f-e386-4af1-b7e6-39d6bf257510"/>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60"/>
        </w:trPr>
        <w:tc>
          <w:tcPr>
            <w:tcW w:type="auto" w:w="0"/>
            <w:tcBorders>
              <w:top w:val="nil"/>
              <w:left w:val="single" w:sz="4" w:space="0" w:color="000000"/>
              <w:bottom w:val="single" w:sz="4" w:space="0" w:color="000000"/>
              <w:right w:val="single" w:sz="4" w:space="0" w:color="000000"/>
            </w:tcBorders>
            <w:shd w:val="clear" w:color="auto" w:fill="FFFFFF"/>
            <w:vAlign w:val="center"/>
          </w:tcPr>
          <w:p>
            <w:pPr>
              <w:pStyle w:val="Normal_3f45755f-e386-4af1-b7e6-39d6bf257510"/>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tcBorders>
              <w:top w:val="nil"/>
              <w:left w:val="single" w:sz="4" w:space="0" w:color="000000"/>
              <w:bottom w:val="single" w:sz="4" w:space="0" w:color="000000"/>
              <w:right w:val="single" w:sz="4" w:space="0" w:color="000000"/>
            </w:tcBorders>
            <w:shd w:val="clear" w:color="auto" w:fill="FFFFFF"/>
            <w:vAlign w:val="center"/>
          </w:tcPr>
          <w:p>
            <w:pPr>
              <w:pStyle w:val="Normal_3f45755f-e386-4af1-b7e6-39d6bf257510"/>
              <w:jc w:val="left"/>
              <w:rPr>
                <w:rFonts w:ascii="宋体" w:eastAsia="宋体" w:hAnsi="宋体" w:cs="宋体" w:hint="eastAsia"/>
                <w:i w:val="0"/>
                <w:iCs w:val="0"/>
                <w:color w:val="000000"/>
                <w:sz w:val="18"/>
                <w:szCs w:val="18"/>
                <w:u w:val="none"/>
              </w:rPr>
            </w:pPr>
          </w:p>
        </w:tc>
        <w:tc>
          <w:tcPr>
            <w:tcW w:type="auto" w:w="0"/>
            <w:tcBorders>
              <w:top w:val="nil"/>
              <w:left w:val="single" w:sz="4" w:space="0" w:color="000000"/>
              <w:bottom w:val="single" w:sz="4" w:space="0" w:color="000000"/>
              <w:right w:val="single" w:sz="4" w:space="0" w:color="000000"/>
            </w:tcBorders>
            <w:shd w:val="clear" w:color="auto" w:fill="FFFFFF"/>
            <w:vAlign w:val="center"/>
          </w:tcPr>
          <w:p>
            <w:pPr>
              <w:pStyle w:val="Normal_3f45755f-e386-4af1-b7e6-39d6bf257510"/>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3f45755f-e386-4af1-b7e6-39d6bf257510"/>
              <w:rPr>
                <w:rFonts w:ascii="宋体" w:eastAsia="宋体" w:hAnsi="宋体" w:cs="宋体" w:hint="eastAsia"/>
                <w:i w:val="0"/>
                <w:iCs w:val="0"/>
                <w:color w:val="000000"/>
                <w:sz w:val="22"/>
                <w:szCs w:val="22"/>
                <w:u w:val="none"/>
              </w:rPr>
            </w:pPr>
          </w:p>
        </w:tc>
      </w:tr>
    </w:tbl>
    <w:p>
      <w:pPr>
        <w:pStyle w:val="Normal_3f45755f-e386-4af1-b7e6-39d6bf257510"/>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4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f45755f-e386-4af1-b7e6-39d6bf257510">
    <w:name w:val="Normal_3f45755f-e386-4af1-b7e6-39d6bf257510"/>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styleId="DefaultParagraphFont_4a8e8884-b9fd-4764-a672-c2304d32cf96">
    <w:name w:val="Default Paragraph Font_4a8e8884-b9fd-4764-a672-c2304d32cf96"/>
    <w:semiHidden/>
    <w:rPr/>
  </w:style>
  <w:style w:type="character" w:customStyle="1" w:styleId="font51">
    <w:name w:val="font51"/>
    <w:basedOn w:val="DefaultParagraphFont_4a8e8884-b9fd-4764-a672-c2304d32cf96"/>
    <w:rPr>
      <w:rFonts w:ascii="宋体" w:eastAsia="宋体" w:hAnsi="宋体" w:cs="宋体" w:hint="eastAsia"/>
      <w:color w:val="000000"/>
      <w:sz w:val="18"/>
      <w:szCs w:val="18"/>
      <w:u w:val="none"/>
    </w:rPr>
  </w:style>
  <w:style w:type="character" w:customStyle="1" w:styleId="font81">
    <w:name w:val="font81"/>
    <w:basedOn w:val="DefaultParagraphFont_4a8e8884-b9fd-4764-a672-c2304d32cf96"/>
    <w:rPr>
      <w:rFonts w:ascii="宋体" w:eastAsia="宋体" w:hAnsi="宋体" w:cs="宋体"/>
      <w:color w:val="000000"/>
      <w:sz w:val="18"/>
      <w:szCs w:val="18"/>
      <w:u w:val="none"/>
    </w:rPr>
  </w:style>
  <w:style w:type="table" w:styleId="NormalTable_e23a9fc4-d6d8-4097-a0dc-a0516987256a">
    <w:name w:val="Normal Table_e23a9fc4-d6d8-4097-a0dc-a0516987256a"/>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