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履行全市全民所有土地、矿产、森林、草原、湿地、水等自然资源资产所有者职责和所有国土空间用途管制职责。贯彻执行自然资源和国土空间规划及测绘等法律法规，起草相关地方性法规、规章草案并监督检查执行情况。</w:t>
        <w:br/>
        <w:t xml:space="preserve">        （二）负责全市自然资源调查监测评价。贯彻执行国家自然资源调查监测评价的指标体系和统计标准,建立统一规范的自然资源调查监测评价制度。实施自然资源基础调查、专项调查和监测。负责自然资源调查监测评价成果的监督管理和信息发布。指导全市自然资源调查监测评价工作。</w:t>
        <w:br/>
        <w:t xml:space="preserve">        （三）负责全市自然资源统一确权登记工作。贯彻执行国家各类自然资源和不动产统一确权登记、权籍调查、不动产测绘、争议调处、成果应用的制度、标准、规范。建立健全全市自然资源和不动产登记信息管理基础平台。负责自然资源和不动产登记资料收集、整理、共享、汇交管理等。指导监督全市自然资源和不动产确权登记工作。</w:t>
        <w:br/>
        <w:t xml:space="preserve">        （四）负责全市自然资源资产有偿使用工作。贯彻执行国家全民所有自然资源资产统计制度，负责全民所有自然资源资产核算，编制全民所有自然资源资产负债表。根据全民所有自然资源资产划拨、出让、租赁、作价出资和土地储备政策，合理配置全民所有自然资源资产并监督实施。负责自然资源资产价值评估管理，依法收缴相关资产收益。</w:t>
        <w:br/>
        <w:t xml:space="preserve">        （五）负责全市自然资源的合理开发利用。组织拟订全市自然资源发展规划，贯彻国家自然资源开发利用标准并组织实施，建立政府公示自然资源价格体系，组织开展自然资源分等定级价格评估、自然资源利用评价考核，指导节约集约利用。负责自然资源市场监管。组织研究自然资源管理涉及宏观调控、区域协调和城乡统筹的政策措施。组织编制并监督执行全市森林采伐限额。负责林地管理，拟订林地保护利用规划并组织实施。指导公益林划定和管理工作，管理国有森林资源，负责草原禁牧，草畜平衡和草原生态修复治理工作，监督管理草原的开发利用。负责湿地生态保护修复工作，拟订全市湿地保护规划和相关地方标准，监督管理湿地的开发利用。指导基层林业工作站的建设和管理。</w:t>
        <w:br/>
        <w:t xml:space="preserve">        （六）负责建立全市空间规划体系并监督实施。落实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相关措施并监督实施。组织拟订并实施土地等自然资源年度利用计划。负责土地等国土空间用途转用工作。负责土地征收征用管理。</w:t>
        <w:br/>
        <w:t xml:space="preserve">        （七）负责市级规划的编制和审查报批，指导县（市、区）各类规划的编制并监督实施。负责城市规划区及市政府确定的规划管理区域内建设项目的选址、用地、工程规划管理和规划核实，核发《建设项目选址意见书》、《建设用地规划许可证》、《建设工程规划许可证》；负责全市村镇规划的规范、指导、监督工作；拟定小城镇和村庄规划有关规定、发展规划并指导实施；负责市级以上风景名胜区、风景园林规划的有关工作。负责城建重点项目的谋划、规划技术服务和督导工作；管理全市规划设计市场。</w:t>
        <w:br/>
        <w:t xml:space="preserve">        （八）负责统筹全市国土空间生态修复。牵头组织编制国土空间生态修复规划并实施有关生态修复重大工程。负责自然资源生态修复、国土空间综合整治、土地整理复垦、矿山地质环境恢复治理、绿化造林、防沙治沙等工作。牵头建立和实施生态保护补偿制度，制定合理利用社会资金进行生态修复的相关措施，提出重大备选项目。指导公益林和商品林的培育，指导、监督全民义务植树、城乡绿化工作。指导林业有害生物防治、检疫工作。承担林业和草原应对气候变化的相关工作。</w:t>
        <w:br/>
        <w:t xml:space="preserve">        （九）负责组织实施最严格的耕地保护制度。落实国家耕地保护政策，负责耕地数量、质量、生态保护。组织实施耕地保护责任目标考核和永久基本农田特殊保护。完善耕地占补平衡制度，监督占用耕地补偿制度执行情况。</w:t>
        <w:br/>
        <w:t xml:space="preserve">        （十）负责监督管理荒漠化防治工作。组织开展荒漠化调查。组织拟订全市防沙治沙、石漠化防治建设规划，拟订相关地方标准，监督管理沙化土地的开发利用。</w:t>
        <w:br/>
        <w:t xml:space="preserve">        （十一）负责陆生野生动植物资源监督管理。组织开展陆生野生动植物资源调查，拟订及调整市重点保护陆生野生动物、植物名录，报市政府批准后发布。指导陆生野生动植物的救护繁育、栖息地恢复发展、疫源疫病监测，监督管理陆生野生动植物猎捕或采集、驯养繁殖或培植、经营利用，按分工监督管理野生动植物进出口。承担全市濒危物种进出口和国家保护的野生动植物及其产品的出口审核工作。</w:t>
        <w:br/>
        <w:t xml:space="preserve">        （十二）负责全市各类自然保护地监督管理。落实自然保护地规划和相关地方标准。根据授权负责国家公园等自然保护地的自然资源资产管理和国土空间用途管制。协助组织申报国家级、省级自然保护地，提出新建、调整各类市级自然保护地的审核建议并按程序报批。协助组织开展世界自然遗产的申报，会同有关部门组织开展世界自然和文化双重遗产的申报。负责生物多样性保护有关工作。</w:t>
        <w:br/>
        <w:t xml:space="preserve">        （十三）负责推进林业和草原改革相关工作。拟订全市集体林权制度、国有林场、草原等重大改革意见并监督实施。拟订全市农村林业发展、维护林业经营者合法权益的相关措施，指导农村林地承包经营工作。开展退耕（牧）还林还草，负责天然林保护工作。拟订林业和草原资源优化配置及木材利用相关措施，拟订相关林业产业地方标准并监督实施，组织指导林产品质量监督。指导生态扶贫相关工作。</w:t>
        <w:br/>
        <w:t xml:space="preserve">        （十四）指导国有林场基本建设和发展，承担经济林、花卉管理工作。组织林木种子、草种种质资源普查，组织建立种质资源库，负责良种选育推广，管理林木种苗、草种生产经营行为，监管林木种苗、草种质量。监督管理林业和草原生物种质资源、转基因生物安全、植物新品种保护。指导全市花卉苗木资源化配置和产品质量监督工作，指导有关花卉苗木的展会工作。</w:t>
        <w:br/>
        <w:t xml:space="preserve">        （十五）负责落实综合防灾减灾规划相关要求，组织编制森林和草原火灾防治规划和防护标准并指导实施，指导开展防火巡护、火源管理、防火设施建设等工作。组织指导国有林场和草原开展防火宣传教育、监测预警、督促检查等工作。必要时，可以提请应急管理部门，以市级应急指挥机构名义，部署相关防治工作。依法履行林业安全生产监督管理职责，指导全市国有林场的安全监督管理工作。负责林业系统安全生产统计分析，依法参加有关事故的调查处理。</w:t>
        <w:br/>
        <w:t xml:space="preserve">        （十六）监督管理林业和草原中央和省、市级资金及国有资产。提出林业和草原预算内投资、省、市级财政性资金安排建议；按规定权限审核省、市级规划内和年度计划内投资项目。参与拟订林业和草原经济调节相关措施，组织实施林业和草原生态补偿工作。</w:t>
        <w:br/>
        <w:t xml:space="preserve">        (十七)负责管理全市地质勘查行业和地质工作。编制地质勘查规划并监督检查执行情况。管理地质勘查项目。监督管理地下水过量开采及引发的地面沉降等地质问题。负责古生物化石的监督管理。</w:t>
        <w:br/>
        <w:t xml:space="preserve">        （十八）负责全市地质灾害预防和治理。负责落实综合防灾减灾规划相关要求，编制地质灾害防治规划和防护标准并指导实施。管理市财政出资的地质灾害预防和治理项目，组织指导协调和监督地质灾害调查评价及隐患的普查、详查、排查。指导开展群测群防、专业监测和预报预警等工作，指导开展地质灾害工程治理工作。按规定权限管理地质灾害预防治理等相关资质。承担地质灾害应急救援的技术支撑工作。</w:t>
        <w:br/>
        <w:t xml:space="preserve">        (十九)负责全市矿业权管理工作。负责矿业权出让及审批登记管理。指导全市矿业权审批登记工作，调处重大权属纠纷。会同有关部门承担保护性开采矿种的总量调控及相关管理工作。</w:t>
        <w:br/>
        <w:t xml:space="preserve">        （二十）负责全市矿产资源保护与监督工作。拟订全市矿产资源规范性文件和规划并组织实施。负责全市矿产资源储量管理，负责压覆矿产资源审批。监督指导矿产资源合理利用和保护。监督指导地质资料管理。</w:t>
        <w:br/>
        <w:t xml:space="preserve">        （二十一）负责全市测绘地理信息管理工作。负责基础测绘、地理国情监测及测绘行业管理。负责测绘资质资格与信用管理、监督管理地理信息安全和市场秩序。负责地理信息公共服务管理。负责测绘标志保护。会同有关部门规范和监督指导卫星导航定位基准站的建设运行维护。</w:t>
        <w:br/>
        <w:t xml:space="preserve">        （二十二）推动全市自然资源和规划领域科技发展。制定并实施自然资源和规划领域科技创新发展、人才培养规划和计划。组织制定技术标准、规程规范并监督实施。组织实施重大科技工程及创新能力建设，推进自然资源和规划信息化和信息资料的公共服务。开展全市自然资源和规划领域对外合作。</w:t>
        <w:br/>
        <w:t xml:space="preserve">        (二十三)根据市委、市政府授权或自然资源督察机构安排，对县（市、区）人民政府落实党中央、国务院和省委、省政府及市委、市政府关于自然资源和国土空间规划的重大方针政策、决策部署及法律法规执行情况进行督察。查处自然资源开发利用和国土空间规划及测绘重大违法案件。指导全市自然资源和规划有关行政执法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市委城乡规划委员会办公室秘书科、宏观调控科、政策法规科、自然资源调查监测科、自然资源开发利用和所有者权益科、国土空间用途管制科、国土空间规划科、建设项目管理科、市政交通规划科、国土空间生态修复科、耕地保护监督科、地质勘查与矿业权管理科、矿产资源保护监督科、测绘地理信息管理科、造林绿化管理科、种苗和花卉产业发展管理科、森林资源保护管理科、防灾减灾科、许昌市自然资源督察办公室（信访科）、财务与审计科、人事科、政务服务科、机关党委、离退休干部工作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1.许昌市自然资源和规划局（本级） </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2,359.97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60.10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40.00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260.69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72.26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2,672.23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21.25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65.22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2,399.97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3,151.75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751.78</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3,151.75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3,151.75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2,399.97</w:t>
            </w:r>
          </w:p>
        </w:tc>
        <w:tc>
          <w:tcPr>
            <w:tcW w:w="1440" w:type="dxa"/>
            <w:tcBorders/>
            <w:vAlign w:val="center"/>
          </w:tcPr>
          <w:p>
            <w:pPr>
              <w:jc w:val="right"/>
            </w:pPr>
            <w:r>
              <w:rPr>
                <w:rFonts w:ascii="宋体" w:eastAsia="宋体" w:hAnsi="宋体" w:cs="宋体"/>
                <w:b/>
                <w:i w:val="0"/>
                <w:color w:val="000000"/>
                <w:sz w:val="17"/>
              </w:rPr>
              <w:t xml:space="preserve">2,399.97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60.10</w:t>
            </w:r>
          </w:p>
        </w:tc>
        <w:tc>
          <w:tcPr>
            <w:tcW w:w="1440" w:type="dxa"/>
            <w:tcBorders/>
            <w:vAlign w:val="center"/>
          </w:tcPr>
          <w:p>
            <w:pPr>
              <w:jc w:val="right"/>
            </w:pPr>
            <w:r>
              <w:rPr>
                <w:rFonts w:ascii="宋体" w:eastAsia="宋体" w:hAnsi="宋体" w:cs="宋体"/>
                <w:b w:val="0"/>
                <w:i w:val="0"/>
                <w:color w:val="000000"/>
                <w:sz w:val="17"/>
              </w:rPr>
              <w:t xml:space="preserve">60.10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5.87</w:t>
            </w:r>
          </w:p>
        </w:tc>
        <w:tc>
          <w:tcPr>
            <w:tcW w:w="1440" w:type="dxa"/>
            <w:tcBorders/>
            <w:vAlign w:val="center"/>
          </w:tcPr>
          <w:p>
            <w:pPr>
              <w:jc w:val="right"/>
            </w:pPr>
            <w:r>
              <w:rPr>
                <w:rFonts w:ascii="宋体" w:eastAsia="宋体" w:hAnsi="宋体" w:cs="宋体"/>
                <w:b w:val="0"/>
                <w:i w:val="0"/>
                <w:color w:val="000000"/>
                <w:sz w:val="17"/>
              </w:rPr>
              <w:t xml:space="preserve">5.87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5.87</w:t>
            </w:r>
          </w:p>
        </w:tc>
        <w:tc>
          <w:tcPr>
            <w:tcW w:w="1440" w:type="dxa"/>
            <w:tcBorders/>
            <w:vAlign w:val="center"/>
          </w:tcPr>
          <w:p>
            <w:pPr>
              <w:jc w:val="right"/>
            </w:pPr>
            <w:r>
              <w:rPr>
                <w:rFonts w:ascii="宋体" w:eastAsia="宋体" w:hAnsi="宋体" w:cs="宋体"/>
                <w:b w:val="0"/>
                <w:i w:val="0"/>
                <w:color w:val="000000"/>
                <w:sz w:val="17"/>
              </w:rPr>
              <w:t xml:space="preserve">5.87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260.69</w:t>
            </w:r>
          </w:p>
        </w:tc>
        <w:tc>
          <w:tcPr>
            <w:tcW w:w="1440" w:type="dxa"/>
            <w:tcBorders/>
            <w:vAlign w:val="center"/>
          </w:tcPr>
          <w:p>
            <w:pPr>
              <w:jc w:val="right"/>
            </w:pPr>
            <w:r>
              <w:rPr>
                <w:rFonts w:ascii="宋体" w:eastAsia="宋体" w:hAnsi="宋体" w:cs="宋体"/>
                <w:b w:val="0"/>
                <w:i w:val="0"/>
                <w:color w:val="000000"/>
                <w:sz w:val="17"/>
              </w:rPr>
              <w:t xml:space="preserve">260.69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256.71</w:t>
            </w:r>
          </w:p>
        </w:tc>
        <w:tc>
          <w:tcPr>
            <w:tcW w:w="1440" w:type="dxa"/>
            <w:tcBorders/>
            <w:vAlign w:val="center"/>
          </w:tcPr>
          <w:p>
            <w:pPr>
              <w:jc w:val="right"/>
            </w:pPr>
            <w:r>
              <w:rPr>
                <w:rFonts w:ascii="宋体" w:eastAsia="宋体" w:hAnsi="宋体" w:cs="宋体"/>
                <w:b w:val="0"/>
                <w:i w:val="0"/>
                <w:color w:val="000000"/>
                <w:sz w:val="17"/>
              </w:rPr>
              <w:t xml:space="preserve">256.71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186.37</w:t>
            </w:r>
          </w:p>
        </w:tc>
        <w:tc>
          <w:tcPr>
            <w:tcW w:w="1440" w:type="dxa"/>
            <w:tcBorders/>
            <w:vAlign w:val="center"/>
          </w:tcPr>
          <w:p>
            <w:pPr>
              <w:jc w:val="right"/>
            </w:pPr>
            <w:r>
              <w:rPr>
                <w:rFonts w:ascii="宋体" w:eastAsia="宋体" w:hAnsi="宋体" w:cs="宋体"/>
                <w:b w:val="0"/>
                <w:i w:val="0"/>
                <w:color w:val="000000"/>
                <w:sz w:val="17"/>
              </w:rPr>
              <w:t xml:space="preserve">186.37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70.34</w:t>
            </w:r>
          </w:p>
        </w:tc>
        <w:tc>
          <w:tcPr>
            <w:tcW w:w="1440" w:type="dxa"/>
            <w:tcBorders/>
            <w:vAlign w:val="center"/>
          </w:tcPr>
          <w:p>
            <w:pPr>
              <w:jc w:val="right"/>
            </w:pPr>
            <w:r>
              <w:rPr>
                <w:rFonts w:ascii="宋体" w:eastAsia="宋体" w:hAnsi="宋体" w:cs="宋体"/>
                <w:b w:val="0"/>
                <w:i w:val="0"/>
                <w:color w:val="000000"/>
                <w:sz w:val="17"/>
              </w:rPr>
              <w:t xml:space="preserve">70.34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3.98</w:t>
            </w:r>
          </w:p>
        </w:tc>
        <w:tc>
          <w:tcPr>
            <w:tcW w:w="1440" w:type="dxa"/>
            <w:tcBorders/>
            <w:vAlign w:val="center"/>
          </w:tcPr>
          <w:p>
            <w:pPr>
              <w:jc w:val="right"/>
            </w:pPr>
            <w:r>
              <w:rPr>
                <w:rFonts w:ascii="宋体" w:eastAsia="宋体" w:hAnsi="宋体" w:cs="宋体"/>
                <w:b w:val="0"/>
                <w:i w:val="0"/>
                <w:color w:val="000000"/>
                <w:sz w:val="17"/>
              </w:rPr>
              <w:t xml:space="preserve">3.98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3.98</w:t>
            </w:r>
          </w:p>
        </w:tc>
        <w:tc>
          <w:tcPr>
            <w:tcW w:w="1440" w:type="dxa"/>
            <w:tcBorders/>
            <w:vAlign w:val="center"/>
          </w:tcPr>
          <w:p>
            <w:pPr>
              <w:jc w:val="right"/>
            </w:pPr>
            <w:r>
              <w:rPr>
                <w:rFonts w:ascii="宋体" w:eastAsia="宋体" w:hAnsi="宋体" w:cs="宋体"/>
                <w:b w:val="0"/>
                <w:i w:val="0"/>
                <w:color w:val="000000"/>
                <w:sz w:val="17"/>
              </w:rPr>
              <w:t xml:space="preserve">3.98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72.26</w:t>
            </w:r>
          </w:p>
        </w:tc>
        <w:tc>
          <w:tcPr>
            <w:tcW w:w="1440" w:type="dxa"/>
            <w:tcBorders/>
            <w:vAlign w:val="center"/>
          </w:tcPr>
          <w:p>
            <w:pPr>
              <w:jc w:val="right"/>
            </w:pPr>
            <w:r>
              <w:rPr>
                <w:rFonts w:ascii="宋体" w:eastAsia="宋体" w:hAnsi="宋体" w:cs="宋体"/>
                <w:b w:val="0"/>
                <w:i w:val="0"/>
                <w:color w:val="000000"/>
                <w:sz w:val="17"/>
              </w:rPr>
              <w:t xml:space="preserve">72.26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72.26</w:t>
            </w:r>
          </w:p>
        </w:tc>
        <w:tc>
          <w:tcPr>
            <w:tcW w:w="1440" w:type="dxa"/>
            <w:tcBorders/>
            <w:vAlign w:val="center"/>
          </w:tcPr>
          <w:p>
            <w:pPr>
              <w:jc w:val="right"/>
            </w:pPr>
            <w:r>
              <w:rPr>
                <w:rFonts w:ascii="宋体" w:eastAsia="宋体" w:hAnsi="宋体" w:cs="宋体"/>
                <w:b w:val="0"/>
                <w:i w:val="0"/>
                <w:color w:val="000000"/>
                <w:sz w:val="17"/>
              </w:rPr>
              <w:t xml:space="preserve">72.26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34.21</w:t>
            </w:r>
          </w:p>
        </w:tc>
        <w:tc>
          <w:tcPr>
            <w:tcW w:w="1440" w:type="dxa"/>
            <w:tcBorders/>
            <w:vAlign w:val="center"/>
          </w:tcPr>
          <w:p>
            <w:pPr>
              <w:jc w:val="right"/>
            </w:pPr>
            <w:r>
              <w:rPr>
                <w:rFonts w:ascii="宋体" w:eastAsia="宋体" w:hAnsi="宋体" w:cs="宋体"/>
                <w:b w:val="0"/>
                <w:i w:val="0"/>
                <w:color w:val="000000"/>
                <w:sz w:val="17"/>
              </w:rPr>
              <w:t xml:space="preserve">34.21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38.05</w:t>
            </w:r>
          </w:p>
        </w:tc>
        <w:tc>
          <w:tcPr>
            <w:tcW w:w="1440" w:type="dxa"/>
            <w:tcBorders/>
            <w:vAlign w:val="center"/>
          </w:tcPr>
          <w:p>
            <w:pPr>
              <w:jc w:val="right"/>
            </w:pPr>
            <w:r>
              <w:rPr>
                <w:rFonts w:ascii="宋体" w:eastAsia="宋体" w:hAnsi="宋体" w:cs="宋体"/>
                <w:b w:val="0"/>
                <w:i w:val="0"/>
                <w:color w:val="000000"/>
                <w:sz w:val="17"/>
              </w:rPr>
              <w:t xml:space="preserve">38.05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1,925.95</w:t>
            </w:r>
          </w:p>
        </w:tc>
        <w:tc>
          <w:tcPr>
            <w:tcW w:w="1440" w:type="dxa"/>
            <w:tcBorders/>
            <w:vAlign w:val="center"/>
          </w:tcPr>
          <w:p>
            <w:pPr>
              <w:jc w:val="right"/>
            </w:pPr>
            <w:r>
              <w:rPr>
                <w:rFonts w:ascii="宋体" w:eastAsia="宋体" w:hAnsi="宋体" w:cs="宋体"/>
                <w:b w:val="0"/>
                <w:i w:val="0"/>
                <w:color w:val="000000"/>
                <w:sz w:val="17"/>
              </w:rPr>
              <w:t xml:space="preserve">1,925.95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1,885.95</w:t>
            </w:r>
          </w:p>
        </w:tc>
        <w:tc>
          <w:tcPr>
            <w:tcW w:w="1440" w:type="dxa"/>
            <w:tcBorders/>
            <w:vAlign w:val="center"/>
          </w:tcPr>
          <w:p>
            <w:pPr>
              <w:jc w:val="right"/>
            </w:pPr>
            <w:r>
              <w:rPr>
                <w:rFonts w:ascii="宋体" w:eastAsia="宋体" w:hAnsi="宋体" w:cs="宋体"/>
                <w:b w:val="0"/>
                <w:i w:val="0"/>
                <w:color w:val="000000"/>
                <w:sz w:val="17"/>
              </w:rPr>
              <w:t xml:space="preserve">1,885.95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1,143.02</w:t>
            </w:r>
          </w:p>
        </w:tc>
        <w:tc>
          <w:tcPr>
            <w:tcW w:w="1440" w:type="dxa"/>
            <w:tcBorders/>
            <w:vAlign w:val="center"/>
          </w:tcPr>
          <w:p>
            <w:pPr>
              <w:jc w:val="right"/>
            </w:pPr>
            <w:r>
              <w:rPr>
                <w:rFonts w:ascii="宋体" w:eastAsia="宋体" w:hAnsi="宋体" w:cs="宋体"/>
                <w:b w:val="0"/>
                <w:i w:val="0"/>
                <w:color w:val="000000"/>
                <w:sz w:val="17"/>
              </w:rPr>
              <w:t xml:space="preserve">1,143.02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742.94</w:t>
            </w:r>
          </w:p>
        </w:tc>
        <w:tc>
          <w:tcPr>
            <w:tcW w:w="1440" w:type="dxa"/>
            <w:tcBorders/>
            <w:vAlign w:val="center"/>
          </w:tcPr>
          <w:p>
            <w:pPr>
              <w:jc w:val="right"/>
            </w:pPr>
            <w:r>
              <w:rPr>
                <w:rFonts w:ascii="宋体" w:eastAsia="宋体" w:hAnsi="宋体" w:cs="宋体"/>
                <w:b w:val="0"/>
                <w:i w:val="0"/>
                <w:color w:val="000000"/>
                <w:sz w:val="17"/>
              </w:rPr>
              <w:t xml:space="preserve">742.94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国有土地收益基金安排的支出</w:t>
            </w:r>
          </w:p>
        </w:tc>
        <w:tc>
          <w:tcPr>
            <w:tcW w:w="1440" w:type="dxa"/>
            <w:tcBorders/>
            <w:vAlign w:val="center"/>
          </w:tcPr>
          <w:p>
            <w:pPr>
              <w:jc w:val="right"/>
            </w:pPr>
            <w:r>
              <w:rPr>
                <w:rFonts w:ascii="宋体" w:eastAsia="宋体" w:hAnsi="宋体" w:cs="宋体"/>
                <w:b w:val="0"/>
                <w:i w:val="0"/>
                <w:color w:val="000000"/>
                <w:sz w:val="17"/>
              </w:rPr>
              <w:t xml:space="preserve">40.00</w:t>
            </w:r>
          </w:p>
        </w:tc>
        <w:tc>
          <w:tcPr>
            <w:tcW w:w="1440" w:type="dxa"/>
            <w:tcBorders/>
            <w:vAlign w:val="center"/>
          </w:tcPr>
          <w:p>
            <w:pPr>
              <w:jc w:val="right"/>
            </w:pPr>
            <w:r>
              <w:rPr>
                <w:rFonts w:ascii="宋体" w:eastAsia="宋体" w:hAnsi="宋体" w:cs="宋体"/>
                <w:b w:val="0"/>
                <w:i w:val="0"/>
                <w:color w:val="000000"/>
                <w:sz w:val="17"/>
              </w:rPr>
              <w:t xml:space="preserve">40.00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2121099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其他国有土地收益基金支出</w:t>
            </w:r>
          </w:p>
        </w:tc>
        <w:tc>
          <w:tcPr>
            <w:tcW w:w="1440" w:type="dxa"/>
            <w:tcBorders/>
            <w:vAlign w:val="center"/>
          </w:tcPr>
          <w:p>
            <w:pPr>
              <w:jc w:val="right"/>
            </w:pPr>
            <w:r>
              <w:rPr>
                <w:rFonts w:ascii="宋体" w:eastAsia="宋体" w:hAnsi="宋体" w:cs="宋体"/>
                <w:b w:val="0"/>
                <w:i w:val="0"/>
                <w:color w:val="000000"/>
                <w:sz w:val="17"/>
              </w:rPr>
              <w:t xml:space="preserve">40.00</w:t>
            </w:r>
          </w:p>
        </w:tc>
        <w:tc>
          <w:tcPr>
            <w:tcW w:w="1440" w:type="dxa"/>
            <w:tcBorders/>
            <w:vAlign w:val="center"/>
          </w:tcPr>
          <w:p>
            <w:pPr>
              <w:jc w:val="right"/>
            </w:pPr>
            <w:r>
              <w:rPr>
                <w:rFonts w:ascii="宋体" w:eastAsia="宋体" w:hAnsi="宋体" w:cs="宋体"/>
                <w:b w:val="0"/>
                <w:i w:val="0"/>
                <w:color w:val="000000"/>
                <w:sz w:val="17"/>
              </w:rPr>
              <w:t xml:space="preserve">40.00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15.75</w:t>
            </w:r>
          </w:p>
        </w:tc>
        <w:tc>
          <w:tcPr>
            <w:tcW w:w="1440" w:type="dxa"/>
            <w:tcBorders/>
            <w:vAlign w:val="center"/>
          </w:tcPr>
          <w:p>
            <w:pPr>
              <w:jc w:val="right"/>
            </w:pPr>
            <w:r>
              <w:rPr>
                <w:rFonts w:ascii="宋体" w:eastAsia="宋体" w:hAnsi="宋体" w:cs="宋体"/>
                <w:b w:val="0"/>
                <w:i w:val="0"/>
                <w:color w:val="000000"/>
                <w:sz w:val="17"/>
              </w:rPr>
              <w:t xml:space="preserve">15.75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林业和草原</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2130234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林业草原防灾减灾</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65.22</w:t>
            </w:r>
          </w:p>
        </w:tc>
        <w:tc>
          <w:tcPr>
            <w:tcW w:w="1440" w:type="dxa"/>
            <w:tcBorders/>
            <w:vAlign w:val="center"/>
          </w:tcPr>
          <w:p>
            <w:pPr>
              <w:jc w:val="right"/>
            </w:pPr>
            <w:r>
              <w:rPr>
                <w:rFonts w:ascii="宋体" w:eastAsia="宋体" w:hAnsi="宋体" w:cs="宋体"/>
                <w:b w:val="0"/>
                <w:i w:val="0"/>
                <w:color w:val="000000"/>
                <w:sz w:val="17"/>
              </w:rPr>
              <w:t xml:space="preserve">65.22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65.22</w:t>
            </w:r>
          </w:p>
        </w:tc>
        <w:tc>
          <w:tcPr>
            <w:tcW w:w="1440" w:type="dxa"/>
            <w:tcBorders/>
            <w:vAlign w:val="center"/>
          </w:tcPr>
          <w:p>
            <w:pPr>
              <w:jc w:val="right"/>
            </w:pPr>
            <w:r>
              <w:rPr>
                <w:rFonts w:ascii="宋体" w:eastAsia="宋体" w:hAnsi="宋体" w:cs="宋体"/>
                <w:b w:val="0"/>
                <w:i w:val="0"/>
                <w:color w:val="000000"/>
                <w:sz w:val="17"/>
              </w:rPr>
              <w:t xml:space="preserve">65.22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65.22</w:t>
            </w:r>
          </w:p>
        </w:tc>
        <w:tc>
          <w:tcPr>
            <w:tcW w:w="1440" w:type="dxa"/>
            <w:tcBorders/>
            <w:vAlign w:val="center"/>
          </w:tcPr>
          <w:p>
            <w:pPr>
              <w:jc w:val="right"/>
            </w:pPr>
            <w:r>
              <w:rPr>
                <w:rFonts w:ascii="宋体" w:eastAsia="宋体" w:hAnsi="宋体" w:cs="宋体"/>
                <w:b w:val="0"/>
                <w:i w:val="0"/>
                <w:color w:val="000000"/>
                <w:sz w:val="17"/>
              </w:rPr>
              <w:t xml:space="preserve">65.22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3,151.75</w:t>
            </w:r>
          </w:p>
        </w:tc>
        <w:tc>
          <w:tcPr>
            <w:tcW w:w="1600" w:type="dxa"/>
            <w:tcBorders/>
            <w:vAlign w:val="center"/>
          </w:tcPr>
          <w:p>
            <w:pPr>
              <w:jc w:val="right"/>
            </w:pPr>
            <w:r>
              <w:rPr>
                <w:rFonts w:ascii="宋体" w:eastAsia="宋体" w:hAnsi="宋体" w:cs="宋体"/>
                <w:b/>
                <w:i w:val="0"/>
                <w:color w:val="000000"/>
                <w:sz w:val="19"/>
              </w:rPr>
              <w:t xml:space="preserve">1,590.19</w:t>
            </w:r>
          </w:p>
        </w:tc>
        <w:tc>
          <w:tcPr>
            <w:tcW w:w="1600" w:type="dxa"/>
            <w:tcBorders/>
            <w:vAlign w:val="center"/>
          </w:tcPr>
          <w:p>
            <w:pPr>
              <w:jc w:val="right"/>
            </w:pPr>
            <w:r>
              <w:rPr>
                <w:rFonts w:ascii="宋体" w:eastAsia="宋体" w:hAnsi="宋体" w:cs="宋体"/>
                <w:b/>
                <w:i w:val="0"/>
                <w:color w:val="000000"/>
                <w:sz w:val="19"/>
              </w:rPr>
              <w:t xml:space="preserve">1,561.55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60.10</w:t>
            </w:r>
          </w:p>
        </w:tc>
        <w:tc>
          <w:tcPr>
            <w:tcW w:w="1600" w:type="dxa"/>
            <w:tcBorders/>
            <w:vAlign w:val="center"/>
          </w:tcPr>
          <w:p>
            <w:pPr>
              <w:jc w:val="right"/>
            </w:pPr>
            <w:r>
              <w:rPr>
                <w:rFonts w:ascii="宋体" w:eastAsia="宋体" w:hAnsi="宋体" w:cs="宋体"/>
                <w:b w:val="0"/>
                <w:i w:val="0"/>
                <w:color w:val="000000"/>
                <w:sz w:val="19"/>
              </w:rPr>
              <w:t xml:space="preserve">52.99</w:t>
            </w:r>
          </w:p>
        </w:tc>
        <w:tc>
          <w:tcPr>
            <w:tcW w:w="1600" w:type="dxa"/>
            <w:tcBorders/>
            <w:vAlign w:val="center"/>
          </w:tcPr>
          <w:p>
            <w:pPr>
              <w:jc w:val="right"/>
            </w:pPr>
            <w:r>
              <w:rPr>
                <w:rFonts w:ascii="宋体" w:eastAsia="宋体" w:hAnsi="宋体" w:cs="宋体"/>
                <w:b w:val="0"/>
                <w:i w:val="0"/>
                <w:color w:val="000000"/>
                <w:sz w:val="19"/>
              </w:rPr>
              <w:t xml:space="preserve">7.11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5.87</w:t>
            </w:r>
          </w:p>
        </w:tc>
        <w:tc>
          <w:tcPr>
            <w:tcW w:w="1600" w:type="dxa"/>
            <w:tcBorders/>
            <w:vAlign w:val="center"/>
          </w:tcPr>
          <w:p>
            <w:pPr>
              <w:jc w:val="right"/>
            </w:pPr>
            <w:r>
              <w:rPr>
                <w:rFonts w:ascii="宋体" w:eastAsia="宋体" w:hAnsi="宋体" w:cs="宋体"/>
                <w:b w:val="0"/>
                <w:i w:val="0"/>
                <w:color w:val="000000"/>
                <w:sz w:val="19"/>
              </w:rPr>
              <w:t xml:space="preserve">5.87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5.87</w:t>
            </w:r>
          </w:p>
        </w:tc>
        <w:tc>
          <w:tcPr>
            <w:tcW w:w="1600" w:type="dxa"/>
            <w:tcBorders/>
            <w:vAlign w:val="center"/>
          </w:tcPr>
          <w:p>
            <w:pPr>
              <w:jc w:val="right"/>
            </w:pPr>
            <w:r>
              <w:rPr>
                <w:rFonts w:ascii="宋体" w:eastAsia="宋体" w:hAnsi="宋体" w:cs="宋体"/>
                <w:b w:val="0"/>
                <w:i w:val="0"/>
                <w:color w:val="000000"/>
                <w:sz w:val="19"/>
              </w:rPr>
              <w:t xml:space="preserve">5.87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54.23</w:t>
            </w:r>
          </w:p>
        </w:tc>
        <w:tc>
          <w:tcPr>
            <w:tcW w:w="1600" w:type="dxa"/>
            <w:tcBorders/>
            <w:vAlign w:val="center"/>
          </w:tcPr>
          <w:p>
            <w:pPr>
              <w:jc w:val="right"/>
            </w:pPr>
            <w:r>
              <w:rPr>
                <w:rFonts w:ascii="宋体" w:eastAsia="宋体" w:hAnsi="宋体" w:cs="宋体"/>
                <w:b w:val="0"/>
                <w:i w:val="0"/>
                <w:color w:val="000000"/>
                <w:sz w:val="19"/>
              </w:rPr>
              <w:t xml:space="preserve">47.12</w:t>
            </w:r>
          </w:p>
        </w:tc>
        <w:tc>
          <w:tcPr>
            <w:tcW w:w="1600" w:type="dxa"/>
            <w:tcBorders/>
            <w:vAlign w:val="center"/>
          </w:tcPr>
          <w:p>
            <w:pPr>
              <w:jc w:val="right"/>
            </w:pPr>
            <w:r>
              <w:rPr>
                <w:rFonts w:ascii="宋体" w:eastAsia="宋体" w:hAnsi="宋体" w:cs="宋体"/>
                <w:b w:val="0"/>
                <w:i w:val="0"/>
                <w:color w:val="000000"/>
                <w:sz w:val="19"/>
              </w:rPr>
              <w:t xml:space="preserve">7.11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54.23</w:t>
            </w:r>
          </w:p>
        </w:tc>
        <w:tc>
          <w:tcPr>
            <w:tcW w:w="1600" w:type="dxa"/>
            <w:tcBorders/>
            <w:vAlign w:val="center"/>
          </w:tcPr>
          <w:p>
            <w:pPr>
              <w:jc w:val="right"/>
            </w:pPr>
            <w:r>
              <w:rPr>
                <w:rFonts w:ascii="宋体" w:eastAsia="宋体" w:hAnsi="宋体" w:cs="宋体"/>
                <w:b w:val="0"/>
                <w:i w:val="0"/>
                <w:color w:val="000000"/>
                <w:sz w:val="19"/>
              </w:rPr>
              <w:t xml:space="preserve">47.12</w:t>
            </w:r>
          </w:p>
        </w:tc>
        <w:tc>
          <w:tcPr>
            <w:tcW w:w="1600" w:type="dxa"/>
            <w:tcBorders/>
            <w:vAlign w:val="center"/>
          </w:tcPr>
          <w:p>
            <w:pPr>
              <w:jc w:val="right"/>
            </w:pPr>
            <w:r>
              <w:rPr>
                <w:rFonts w:ascii="宋体" w:eastAsia="宋体" w:hAnsi="宋体" w:cs="宋体"/>
                <w:b w:val="0"/>
                <w:i w:val="0"/>
                <w:color w:val="000000"/>
                <w:sz w:val="19"/>
              </w:rPr>
              <w:t xml:space="preserve">7.11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260.69</w:t>
            </w:r>
          </w:p>
        </w:tc>
        <w:tc>
          <w:tcPr>
            <w:tcW w:w="1600" w:type="dxa"/>
            <w:tcBorders/>
            <w:vAlign w:val="center"/>
          </w:tcPr>
          <w:p>
            <w:pPr>
              <w:jc w:val="right"/>
            </w:pPr>
            <w:r>
              <w:rPr>
                <w:rFonts w:ascii="宋体" w:eastAsia="宋体" w:hAnsi="宋体" w:cs="宋体"/>
                <w:b w:val="0"/>
                <w:i w:val="0"/>
                <w:color w:val="000000"/>
                <w:sz w:val="19"/>
              </w:rPr>
              <w:t xml:space="preserve">256.71</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256.71</w:t>
            </w:r>
          </w:p>
        </w:tc>
        <w:tc>
          <w:tcPr>
            <w:tcW w:w="1600" w:type="dxa"/>
            <w:tcBorders/>
            <w:vAlign w:val="center"/>
          </w:tcPr>
          <w:p>
            <w:pPr>
              <w:jc w:val="right"/>
            </w:pPr>
            <w:r>
              <w:rPr>
                <w:rFonts w:ascii="宋体" w:eastAsia="宋体" w:hAnsi="宋体" w:cs="宋体"/>
                <w:b w:val="0"/>
                <w:i w:val="0"/>
                <w:color w:val="000000"/>
                <w:sz w:val="19"/>
              </w:rPr>
              <w:t xml:space="preserve">256.71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186.37</w:t>
            </w:r>
          </w:p>
        </w:tc>
        <w:tc>
          <w:tcPr>
            <w:tcW w:w="1600" w:type="dxa"/>
            <w:tcBorders/>
            <w:vAlign w:val="center"/>
          </w:tcPr>
          <w:p>
            <w:pPr>
              <w:jc w:val="right"/>
            </w:pPr>
            <w:r>
              <w:rPr>
                <w:rFonts w:ascii="宋体" w:eastAsia="宋体" w:hAnsi="宋体" w:cs="宋体"/>
                <w:b w:val="0"/>
                <w:i w:val="0"/>
                <w:color w:val="000000"/>
                <w:sz w:val="19"/>
              </w:rPr>
              <w:t xml:space="preserve">186.37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70.34</w:t>
            </w:r>
          </w:p>
        </w:tc>
        <w:tc>
          <w:tcPr>
            <w:tcW w:w="1600" w:type="dxa"/>
            <w:tcBorders/>
            <w:vAlign w:val="center"/>
          </w:tcPr>
          <w:p>
            <w:pPr>
              <w:jc w:val="right"/>
            </w:pPr>
            <w:r>
              <w:rPr>
                <w:rFonts w:ascii="宋体" w:eastAsia="宋体" w:hAnsi="宋体" w:cs="宋体"/>
                <w:b w:val="0"/>
                <w:i w:val="0"/>
                <w:color w:val="000000"/>
                <w:sz w:val="19"/>
              </w:rPr>
              <w:t xml:space="preserve">70.34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72.26</w:t>
            </w:r>
          </w:p>
        </w:tc>
        <w:tc>
          <w:tcPr>
            <w:tcW w:w="1600" w:type="dxa"/>
            <w:tcBorders/>
            <w:vAlign w:val="center"/>
          </w:tcPr>
          <w:p>
            <w:pPr>
              <w:jc w:val="right"/>
            </w:pPr>
            <w:r>
              <w:rPr>
                <w:rFonts w:ascii="宋体" w:eastAsia="宋体" w:hAnsi="宋体" w:cs="宋体"/>
                <w:b w:val="0"/>
                <w:i w:val="0"/>
                <w:color w:val="000000"/>
                <w:sz w:val="19"/>
              </w:rPr>
              <w:t xml:space="preserve">72.26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72.26</w:t>
            </w:r>
          </w:p>
        </w:tc>
        <w:tc>
          <w:tcPr>
            <w:tcW w:w="1600" w:type="dxa"/>
            <w:tcBorders/>
            <w:vAlign w:val="center"/>
          </w:tcPr>
          <w:p>
            <w:pPr>
              <w:jc w:val="right"/>
            </w:pPr>
            <w:r>
              <w:rPr>
                <w:rFonts w:ascii="宋体" w:eastAsia="宋体" w:hAnsi="宋体" w:cs="宋体"/>
                <w:b w:val="0"/>
                <w:i w:val="0"/>
                <w:color w:val="000000"/>
                <w:sz w:val="19"/>
              </w:rPr>
              <w:t xml:space="preserve">72.26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34.21</w:t>
            </w:r>
          </w:p>
        </w:tc>
        <w:tc>
          <w:tcPr>
            <w:tcW w:w="1600" w:type="dxa"/>
            <w:tcBorders/>
            <w:vAlign w:val="center"/>
          </w:tcPr>
          <w:p>
            <w:pPr>
              <w:jc w:val="right"/>
            </w:pPr>
            <w:r>
              <w:rPr>
                <w:rFonts w:ascii="宋体" w:eastAsia="宋体" w:hAnsi="宋体" w:cs="宋体"/>
                <w:b w:val="0"/>
                <w:i w:val="0"/>
                <w:color w:val="000000"/>
                <w:sz w:val="19"/>
              </w:rPr>
              <w:t xml:space="preserve">34.21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38.05</w:t>
            </w:r>
          </w:p>
        </w:tc>
        <w:tc>
          <w:tcPr>
            <w:tcW w:w="1600" w:type="dxa"/>
            <w:tcBorders/>
            <w:vAlign w:val="center"/>
          </w:tcPr>
          <w:p>
            <w:pPr>
              <w:jc w:val="right"/>
            </w:pPr>
            <w:r>
              <w:rPr>
                <w:rFonts w:ascii="宋体" w:eastAsia="宋体" w:hAnsi="宋体" w:cs="宋体"/>
                <w:b w:val="0"/>
                <w:i w:val="0"/>
                <w:color w:val="000000"/>
                <w:sz w:val="19"/>
              </w:rPr>
              <w:t xml:space="preserve">38.05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2,672.23</w:t>
            </w:r>
          </w:p>
        </w:tc>
        <w:tc>
          <w:tcPr>
            <w:tcW w:w="1600" w:type="dxa"/>
            <w:tcBorders/>
            <w:vAlign w:val="center"/>
          </w:tcPr>
          <w:p>
            <w:pPr>
              <w:jc w:val="right"/>
            </w:pPr>
            <w:r>
              <w:rPr>
                <w:rFonts w:ascii="宋体" w:eastAsia="宋体" w:hAnsi="宋体" w:cs="宋体"/>
                <w:b w:val="0"/>
                <w:i w:val="0"/>
                <w:color w:val="000000"/>
                <w:sz w:val="19"/>
              </w:rPr>
              <w:t xml:space="preserve">1,143.02</w:t>
            </w:r>
          </w:p>
        </w:tc>
        <w:tc>
          <w:tcPr>
            <w:tcW w:w="1600" w:type="dxa"/>
            <w:tcBorders/>
            <w:vAlign w:val="center"/>
          </w:tcPr>
          <w:p>
            <w:pPr>
              <w:jc w:val="right"/>
            </w:pPr>
            <w:r>
              <w:rPr>
                <w:rFonts w:ascii="宋体" w:eastAsia="宋体" w:hAnsi="宋体" w:cs="宋体"/>
                <w:b w:val="0"/>
                <w:i w:val="0"/>
                <w:color w:val="000000"/>
                <w:sz w:val="19"/>
              </w:rPr>
              <w:t xml:space="preserve">1,529.22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2,632.23</w:t>
            </w:r>
          </w:p>
        </w:tc>
        <w:tc>
          <w:tcPr>
            <w:tcW w:w="1600" w:type="dxa"/>
            <w:tcBorders/>
            <w:vAlign w:val="center"/>
          </w:tcPr>
          <w:p>
            <w:pPr>
              <w:jc w:val="right"/>
            </w:pPr>
            <w:r>
              <w:rPr>
                <w:rFonts w:ascii="宋体" w:eastAsia="宋体" w:hAnsi="宋体" w:cs="宋体"/>
                <w:b w:val="0"/>
                <w:i w:val="0"/>
                <w:color w:val="000000"/>
                <w:sz w:val="19"/>
              </w:rPr>
              <w:t xml:space="preserve">1,143.02</w:t>
            </w:r>
          </w:p>
        </w:tc>
        <w:tc>
          <w:tcPr>
            <w:tcW w:w="1600" w:type="dxa"/>
            <w:tcBorders/>
            <w:vAlign w:val="center"/>
          </w:tcPr>
          <w:p>
            <w:pPr>
              <w:jc w:val="right"/>
            </w:pPr>
            <w:r>
              <w:rPr>
                <w:rFonts w:ascii="宋体" w:eastAsia="宋体" w:hAnsi="宋体" w:cs="宋体"/>
                <w:b w:val="0"/>
                <w:i w:val="0"/>
                <w:color w:val="000000"/>
                <w:sz w:val="19"/>
              </w:rPr>
              <w:t xml:space="preserve">1,489.22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1,143.02</w:t>
            </w:r>
          </w:p>
        </w:tc>
        <w:tc>
          <w:tcPr>
            <w:tcW w:w="1600" w:type="dxa"/>
            <w:tcBorders/>
            <w:vAlign w:val="center"/>
          </w:tcPr>
          <w:p>
            <w:pPr>
              <w:jc w:val="right"/>
            </w:pPr>
            <w:r>
              <w:rPr>
                <w:rFonts w:ascii="宋体" w:eastAsia="宋体" w:hAnsi="宋体" w:cs="宋体"/>
                <w:b w:val="0"/>
                <w:i w:val="0"/>
                <w:color w:val="000000"/>
                <w:sz w:val="19"/>
              </w:rPr>
              <w:t xml:space="preserve">1,143.02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1,069.98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1,069.98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419.23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419.23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国有土地收益基金安排的支出</w:t>
            </w:r>
          </w:p>
        </w:tc>
        <w:tc>
          <w:tcPr>
            <w:tcW w:w="1600" w:type="dxa"/>
            <w:tcBorders/>
            <w:vAlign w:val="center"/>
          </w:tcPr>
          <w:p>
            <w:pPr>
              <w:jc w:val="right"/>
            </w:pPr>
            <w:r>
              <w:rPr>
                <w:rFonts w:ascii="宋体" w:eastAsia="宋体" w:hAnsi="宋体" w:cs="宋体"/>
                <w:b w:val="0"/>
                <w:i w:val="0"/>
                <w:color w:val="000000"/>
                <w:sz w:val="19"/>
              </w:rPr>
              <w:t xml:space="preserve">40.00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2121099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其他国有土地收益基金支出</w:t>
            </w:r>
          </w:p>
        </w:tc>
        <w:tc>
          <w:tcPr>
            <w:tcW w:w="1600" w:type="dxa"/>
            <w:tcBorders/>
            <w:vAlign w:val="center"/>
          </w:tcPr>
          <w:p>
            <w:pPr>
              <w:jc w:val="right"/>
            </w:pPr>
            <w:r>
              <w:rPr>
                <w:rFonts w:ascii="宋体" w:eastAsia="宋体" w:hAnsi="宋体" w:cs="宋体"/>
                <w:b w:val="0"/>
                <w:i w:val="0"/>
                <w:color w:val="000000"/>
                <w:sz w:val="19"/>
              </w:rPr>
              <w:t xml:space="preserve">40.00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21.25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21.25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林业和草原</w:t>
            </w:r>
          </w:p>
        </w:tc>
        <w:tc>
          <w:tcPr>
            <w:tcW w:w="1600" w:type="dxa"/>
            <w:tcBorders/>
            <w:vAlign w:val="center"/>
          </w:tcPr>
          <w:p>
            <w:pPr>
              <w:jc w:val="right"/>
            </w:pPr>
            <w:r>
              <w:rPr>
                <w:rFonts w:ascii="宋体" w:eastAsia="宋体" w:hAnsi="宋体" w:cs="宋体"/>
                <w:b w:val="0"/>
                <w:i w:val="0"/>
                <w:color w:val="000000"/>
                <w:sz w:val="19"/>
              </w:rPr>
              <w:t xml:space="preserve">18.50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2130234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林业草原防灾减灾</w:t>
            </w:r>
          </w:p>
        </w:tc>
        <w:tc>
          <w:tcPr>
            <w:tcW w:w="1600" w:type="dxa"/>
            <w:tcBorders/>
            <w:vAlign w:val="center"/>
          </w:tcPr>
          <w:p>
            <w:pPr>
              <w:jc w:val="right"/>
            </w:pPr>
            <w:r>
              <w:rPr>
                <w:rFonts w:ascii="宋体" w:eastAsia="宋体" w:hAnsi="宋体" w:cs="宋体"/>
                <w:b w:val="0"/>
                <w:i w:val="0"/>
                <w:color w:val="000000"/>
                <w:sz w:val="19"/>
              </w:rPr>
              <w:t xml:space="preserve">18.50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65.22</w:t>
            </w:r>
          </w:p>
        </w:tc>
        <w:tc>
          <w:tcPr>
            <w:tcW w:w="1600" w:type="dxa"/>
            <w:tcBorders/>
            <w:vAlign w:val="center"/>
          </w:tcPr>
          <w:p>
            <w:pPr>
              <w:jc w:val="right"/>
            </w:pPr>
            <w:r>
              <w:rPr>
                <w:rFonts w:ascii="宋体" w:eastAsia="宋体" w:hAnsi="宋体" w:cs="宋体"/>
                <w:b w:val="0"/>
                <w:i w:val="0"/>
                <w:color w:val="000000"/>
                <w:sz w:val="19"/>
              </w:rPr>
              <w:t xml:space="preserve">65.22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65.22</w:t>
            </w:r>
          </w:p>
        </w:tc>
        <w:tc>
          <w:tcPr>
            <w:tcW w:w="1600" w:type="dxa"/>
            <w:tcBorders/>
            <w:vAlign w:val="center"/>
          </w:tcPr>
          <w:p>
            <w:pPr>
              <w:jc w:val="right"/>
            </w:pPr>
            <w:r>
              <w:rPr>
                <w:rFonts w:ascii="宋体" w:eastAsia="宋体" w:hAnsi="宋体" w:cs="宋体"/>
                <w:b w:val="0"/>
                <w:i w:val="0"/>
                <w:color w:val="000000"/>
                <w:sz w:val="19"/>
              </w:rPr>
              <w:t xml:space="preserve">65.22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65.22</w:t>
            </w:r>
          </w:p>
        </w:tc>
        <w:tc>
          <w:tcPr>
            <w:tcW w:w="1600" w:type="dxa"/>
            <w:tcBorders/>
            <w:vAlign w:val="center"/>
          </w:tcPr>
          <w:p>
            <w:pPr>
              <w:jc w:val="right"/>
            </w:pPr>
            <w:r>
              <w:rPr>
                <w:rFonts w:ascii="宋体" w:eastAsia="宋体" w:hAnsi="宋体" w:cs="宋体"/>
                <w:b w:val="0"/>
                <w:i w:val="0"/>
                <w:color w:val="000000"/>
                <w:sz w:val="19"/>
              </w:rPr>
              <w:t xml:space="preserve">65.22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2,359.97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60.10</w:t>
            </w:r>
          </w:p>
        </w:tc>
        <w:tc>
          <w:tcPr>
            <w:tcW w:w="1420" w:type="dxa"/>
            <w:tcBorders/>
            <w:vAlign w:val="center"/>
          </w:tcPr>
          <w:p>
            <w:pPr>
              <w:jc w:val="right"/>
            </w:pPr>
            <w:r>
              <w:rPr>
                <w:rFonts w:ascii="宋体" w:eastAsia="宋体" w:hAnsi="宋体" w:cs="宋体"/>
                <w:b w:val="0"/>
                <w:i w:val="0"/>
                <w:color w:val="000000"/>
                <w:sz w:val="18"/>
              </w:rPr>
              <w:t xml:space="preserve">60.10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40.00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260.69</w:t>
            </w:r>
          </w:p>
        </w:tc>
        <w:tc>
          <w:tcPr>
            <w:tcW w:w="1420" w:type="dxa"/>
            <w:tcBorders/>
            <w:vAlign w:val="center"/>
          </w:tcPr>
          <w:p>
            <w:pPr>
              <w:jc w:val="right"/>
            </w:pPr>
            <w:r>
              <w:rPr>
                <w:rFonts w:ascii="宋体" w:eastAsia="宋体" w:hAnsi="宋体" w:cs="宋体"/>
                <w:b w:val="0"/>
                <w:i w:val="0"/>
                <w:color w:val="000000"/>
                <w:sz w:val="18"/>
              </w:rPr>
              <w:t xml:space="preserve">260.69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72.26</w:t>
            </w:r>
          </w:p>
        </w:tc>
        <w:tc>
          <w:tcPr>
            <w:tcW w:w="1420" w:type="dxa"/>
            <w:tcBorders/>
            <w:vAlign w:val="center"/>
          </w:tcPr>
          <w:p>
            <w:pPr>
              <w:jc w:val="right"/>
            </w:pPr>
            <w:r>
              <w:rPr>
                <w:rFonts w:ascii="宋体" w:eastAsia="宋体" w:hAnsi="宋体" w:cs="宋体"/>
                <w:b w:val="0"/>
                <w:i w:val="0"/>
                <w:color w:val="000000"/>
                <w:sz w:val="18"/>
              </w:rPr>
              <w:t xml:space="preserve">72.26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2,672.23</w:t>
            </w:r>
          </w:p>
        </w:tc>
        <w:tc>
          <w:tcPr>
            <w:tcW w:w="1420" w:type="dxa"/>
            <w:tcBorders/>
            <w:vAlign w:val="center"/>
          </w:tcPr>
          <w:p>
            <w:pPr>
              <w:jc w:val="right"/>
            </w:pPr>
            <w:r>
              <w:rPr>
                <w:rFonts w:ascii="宋体" w:eastAsia="宋体" w:hAnsi="宋体" w:cs="宋体"/>
                <w:b w:val="0"/>
                <w:i w:val="0"/>
                <w:color w:val="000000"/>
                <w:sz w:val="18"/>
              </w:rPr>
              <w:t xml:space="preserve">2,632.23</w:t>
            </w:r>
          </w:p>
        </w:tc>
        <w:tc>
          <w:tcPr>
            <w:tcW w:w="1420" w:type="dxa"/>
            <w:tcBorders/>
            <w:vAlign w:val="center"/>
          </w:tcPr>
          <w:p>
            <w:pPr>
              <w:jc w:val="right"/>
            </w:pPr>
            <w:r>
              <w:rPr>
                <w:rFonts w:ascii="宋体" w:eastAsia="宋体" w:hAnsi="宋体" w:cs="宋体"/>
                <w:b w:val="0"/>
                <w:i w:val="0"/>
                <w:color w:val="000000"/>
                <w:sz w:val="18"/>
              </w:rPr>
              <w:t xml:space="preserve">40.00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21.25</w:t>
            </w:r>
          </w:p>
        </w:tc>
        <w:tc>
          <w:tcPr>
            <w:tcW w:w="1420" w:type="dxa"/>
            <w:tcBorders/>
            <w:vAlign w:val="center"/>
          </w:tcPr>
          <w:p>
            <w:pPr>
              <w:jc w:val="right"/>
            </w:pPr>
            <w:r>
              <w:rPr>
                <w:rFonts w:ascii="宋体" w:eastAsia="宋体" w:hAnsi="宋体" w:cs="宋体"/>
                <w:b w:val="0"/>
                <w:i w:val="0"/>
                <w:color w:val="000000"/>
                <w:sz w:val="18"/>
              </w:rPr>
              <w:t xml:space="preserve">21.25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65.22</w:t>
            </w:r>
          </w:p>
        </w:tc>
        <w:tc>
          <w:tcPr>
            <w:tcW w:w="1420" w:type="dxa"/>
            <w:tcBorders/>
            <w:vAlign w:val="center"/>
          </w:tcPr>
          <w:p>
            <w:pPr>
              <w:jc w:val="right"/>
            </w:pPr>
            <w:r>
              <w:rPr>
                <w:rFonts w:ascii="宋体" w:eastAsia="宋体" w:hAnsi="宋体" w:cs="宋体"/>
                <w:b w:val="0"/>
                <w:i w:val="0"/>
                <w:color w:val="000000"/>
                <w:sz w:val="18"/>
              </w:rPr>
              <w:t xml:space="preserve">65.22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2,399.97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3,151.75</w:t>
            </w:r>
          </w:p>
        </w:tc>
        <w:tc>
          <w:tcPr>
            <w:tcW w:w="1420" w:type="dxa"/>
            <w:tcBorders/>
            <w:vAlign w:val="center"/>
          </w:tcPr>
          <w:p>
            <w:pPr>
              <w:jc w:val="right"/>
            </w:pPr>
            <w:r>
              <w:rPr>
                <w:rFonts w:ascii="宋体" w:eastAsia="宋体" w:hAnsi="宋体" w:cs="宋体"/>
                <w:b w:val="0"/>
                <w:i w:val="0"/>
                <w:color w:val="000000"/>
                <w:sz w:val="18"/>
              </w:rPr>
              <w:t xml:space="preserve">3,111.75</w:t>
            </w:r>
          </w:p>
        </w:tc>
        <w:tc>
          <w:tcPr>
            <w:tcW w:w="1420" w:type="dxa"/>
            <w:tcBorders/>
            <w:vAlign w:val="center"/>
          </w:tcPr>
          <w:p>
            <w:pPr>
              <w:jc w:val="right"/>
            </w:pPr>
            <w:r>
              <w:rPr>
                <w:rFonts w:ascii="宋体" w:eastAsia="宋体" w:hAnsi="宋体" w:cs="宋体"/>
                <w:b w:val="0"/>
                <w:i w:val="0"/>
                <w:color w:val="000000"/>
                <w:sz w:val="18"/>
              </w:rPr>
              <w:t xml:space="preserve">40.00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751.78</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751.78</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3,151.75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3,151.75</w:t>
            </w:r>
          </w:p>
        </w:tc>
        <w:tc>
          <w:tcPr>
            <w:tcW w:w="1420" w:type="dxa"/>
            <w:tcBorders/>
            <w:vAlign w:val="center"/>
          </w:tcPr>
          <w:p>
            <w:pPr>
              <w:jc w:val="right"/>
            </w:pPr>
            <w:r>
              <w:rPr>
                <w:rFonts w:ascii="宋体" w:eastAsia="宋体" w:hAnsi="宋体" w:cs="宋体"/>
                <w:b w:val="0"/>
                <w:i w:val="0"/>
                <w:color w:val="000000"/>
                <w:sz w:val="18"/>
              </w:rPr>
              <w:t xml:space="preserve">3,111.75</w:t>
            </w:r>
          </w:p>
        </w:tc>
        <w:tc>
          <w:tcPr>
            <w:tcW w:w="1420" w:type="dxa"/>
            <w:tcBorders/>
            <w:vAlign w:val="center"/>
          </w:tcPr>
          <w:p>
            <w:pPr>
              <w:jc w:val="right"/>
            </w:pPr>
            <w:r>
              <w:rPr>
                <w:rFonts w:ascii="宋体" w:eastAsia="宋体" w:hAnsi="宋体" w:cs="宋体"/>
                <w:b w:val="0"/>
                <w:i w:val="0"/>
                <w:color w:val="000000"/>
                <w:sz w:val="18"/>
              </w:rPr>
              <w:t xml:space="preserve">40.00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3,111.75</w:t>
            </w:r>
          </w:p>
        </w:tc>
        <w:tc>
          <w:tcPr>
            <w:tcW w:w="2700" w:type="dxa"/>
            <w:tcBorders/>
            <w:vAlign w:val="center"/>
          </w:tcPr>
          <w:p>
            <w:pPr>
              <w:jc w:val="right"/>
            </w:pPr>
            <w:r>
              <w:rPr>
                <w:rFonts w:ascii="宋体" w:eastAsia="宋体" w:hAnsi="宋体" w:cs="宋体"/>
                <w:b/>
                <w:i w:val="0"/>
                <w:color w:val="000000"/>
                <w:sz w:val="25"/>
              </w:rPr>
              <w:t xml:space="preserve">1,590.19</w:t>
            </w:r>
          </w:p>
        </w:tc>
        <w:tc>
          <w:tcPr>
            <w:tcW w:w="2658" w:type="dxa"/>
            <w:tcBorders/>
            <w:vAlign w:val="center"/>
          </w:tcPr>
          <w:p>
            <w:pPr>
              <w:jc w:val="right"/>
            </w:pPr>
            <w:r>
              <w:rPr>
                <w:rFonts w:ascii="宋体" w:eastAsia="宋体" w:hAnsi="宋体" w:cs="宋体"/>
                <w:b/>
                <w:i w:val="0"/>
                <w:color w:val="000000"/>
                <w:sz w:val="25"/>
              </w:rPr>
              <w:t xml:space="preserve">1,521.55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60.10</w:t>
            </w:r>
          </w:p>
        </w:tc>
        <w:tc>
          <w:tcPr>
            <w:tcW w:w="2700" w:type="dxa"/>
            <w:tcBorders/>
            <w:vAlign w:val="center"/>
          </w:tcPr>
          <w:p>
            <w:pPr>
              <w:jc w:val="right"/>
            </w:pPr>
            <w:r>
              <w:rPr>
                <w:rFonts w:ascii="宋体" w:eastAsia="宋体" w:hAnsi="宋体" w:cs="宋体"/>
                <w:b w:val="0"/>
                <w:i w:val="0"/>
                <w:color w:val="000000"/>
                <w:sz w:val="25"/>
              </w:rPr>
              <w:t xml:space="preserve">52.99</w:t>
            </w:r>
          </w:p>
        </w:tc>
        <w:tc>
          <w:tcPr>
            <w:tcW w:w="2658" w:type="dxa"/>
            <w:tcBorders/>
            <w:vAlign w:val="center"/>
          </w:tcPr>
          <w:p>
            <w:pPr>
              <w:jc w:val="right"/>
            </w:pPr>
            <w:r>
              <w:rPr>
                <w:rFonts w:ascii="宋体" w:eastAsia="宋体" w:hAnsi="宋体" w:cs="宋体"/>
                <w:b w:val="0"/>
                <w:i w:val="0"/>
                <w:color w:val="000000"/>
                <w:sz w:val="25"/>
              </w:rPr>
              <w:t xml:space="preserve">7.11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5.87</w:t>
            </w:r>
          </w:p>
        </w:tc>
        <w:tc>
          <w:tcPr>
            <w:tcW w:w="2700" w:type="dxa"/>
            <w:tcBorders/>
            <w:vAlign w:val="center"/>
          </w:tcPr>
          <w:p>
            <w:pPr>
              <w:jc w:val="right"/>
            </w:pPr>
            <w:r>
              <w:rPr>
                <w:rFonts w:ascii="宋体" w:eastAsia="宋体" w:hAnsi="宋体" w:cs="宋体"/>
                <w:b w:val="0"/>
                <w:i w:val="0"/>
                <w:color w:val="000000"/>
                <w:sz w:val="25"/>
              </w:rPr>
              <w:t xml:space="preserve">5.87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5.87</w:t>
            </w:r>
          </w:p>
        </w:tc>
        <w:tc>
          <w:tcPr>
            <w:tcW w:w="2700" w:type="dxa"/>
            <w:tcBorders/>
            <w:vAlign w:val="center"/>
          </w:tcPr>
          <w:p>
            <w:pPr>
              <w:jc w:val="right"/>
            </w:pPr>
            <w:r>
              <w:rPr>
                <w:rFonts w:ascii="宋体" w:eastAsia="宋体" w:hAnsi="宋体" w:cs="宋体"/>
                <w:b w:val="0"/>
                <w:i w:val="0"/>
                <w:color w:val="000000"/>
                <w:sz w:val="25"/>
              </w:rPr>
              <w:t xml:space="preserve">5.87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54.23</w:t>
            </w:r>
          </w:p>
        </w:tc>
        <w:tc>
          <w:tcPr>
            <w:tcW w:w="2700" w:type="dxa"/>
            <w:tcBorders/>
            <w:vAlign w:val="center"/>
          </w:tcPr>
          <w:p>
            <w:pPr>
              <w:jc w:val="right"/>
            </w:pPr>
            <w:r>
              <w:rPr>
                <w:rFonts w:ascii="宋体" w:eastAsia="宋体" w:hAnsi="宋体" w:cs="宋体"/>
                <w:b w:val="0"/>
                <w:i w:val="0"/>
                <w:color w:val="000000"/>
                <w:sz w:val="25"/>
              </w:rPr>
              <w:t xml:space="preserve">47.12</w:t>
            </w:r>
          </w:p>
        </w:tc>
        <w:tc>
          <w:tcPr>
            <w:tcW w:w="2658" w:type="dxa"/>
            <w:tcBorders/>
            <w:vAlign w:val="center"/>
          </w:tcPr>
          <w:p>
            <w:pPr>
              <w:jc w:val="right"/>
            </w:pPr>
            <w:r>
              <w:rPr>
                <w:rFonts w:ascii="宋体" w:eastAsia="宋体" w:hAnsi="宋体" w:cs="宋体"/>
                <w:b w:val="0"/>
                <w:i w:val="0"/>
                <w:color w:val="000000"/>
                <w:sz w:val="25"/>
              </w:rPr>
              <w:t xml:space="preserve">7.11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54.23</w:t>
            </w:r>
          </w:p>
        </w:tc>
        <w:tc>
          <w:tcPr>
            <w:tcW w:w="2700" w:type="dxa"/>
            <w:tcBorders/>
            <w:vAlign w:val="center"/>
          </w:tcPr>
          <w:p>
            <w:pPr>
              <w:jc w:val="right"/>
            </w:pPr>
            <w:r>
              <w:rPr>
                <w:rFonts w:ascii="宋体" w:eastAsia="宋体" w:hAnsi="宋体" w:cs="宋体"/>
                <w:b w:val="0"/>
                <w:i w:val="0"/>
                <w:color w:val="000000"/>
                <w:sz w:val="25"/>
              </w:rPr>
              <w:t xml:space="preserve">47.12</w:t>
            </w:r>
          </w:p>
        </w:tc>
        <w:tc>
          <w:tcPr>
            <w:tcW w:w="2658" w:type="dxa"/>
            <w:tcBorders/>
            <w:vAlign w:val="center"/>
          </w:tcPr>
          <w:p>
            <w:pPr>
              <w:jc w:val="right"/>
            </w:pPr>
            <w:r>
              <w:rPr>
                <w:rFonts w:ascii="宋体" w:eastAsia="宋体" w:hAnsi="宋体" w:cs="宋体"/>
                <w:b w:val="0"/>
                <w:i w:val="0"/>
                <w:color w:val="000000"/>
                <w:sz w:val="25"/>
              </w:rPr>
              <w:t xml:space="preserve">7.11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260.69</w:t>
            </w:r>
          </w:p>
        </w:tc>
        <w:tc>
          <w:tcPr>
            <w:tcW w:w="2700" w:type="dxa"/>
            <w:tcBorders/>
            <w:vAlign w:val="center"/>
          </w:tcPr>
          <w:p>
            <w:pPr>
              <w:jc w:val="right"/>
            </w:pPr>
            <w:r>
              <w:rPr>
                <w:rFonts w:ascii="宋体" w:eastAsia="宋体" w:hAnsi="宋体" w:cs="宋体"/>
                <w:b w:val="0"/>
                <w:i w:val="0"/>
                <w:color w:val="000000"/>
                <w:sz w:val="25"/>
              </w:rPr>
              <w:t xml:space="preserve">256.71</w:t>
            </w:r>
          </w:p>
        </w:tc>
        <w:tc>
          <w:tcPr>
            <w:tcW w:w="2658" w:type="dxa"/>
            <w:tcBorders/>
            <w:vAlign w:val="center"/>
          </w:tcPr>
          <w:p>
            <w:pPr>
              <w:jc w:val="right"/>
            </w:pPr>
            <w:r>
              <w:rPr>
                <w:rFonts w:ascii="宋体" w:eastAsia="宋体" w:hAnsi="宋体" w:cs="宋体"/>
                <w:b w:val="0"/>
                <w:i w:val="0"/>
                <w:color w:val="000000"/>
                <w:sz w:val="25"/>
              </w:rPr>
              <w:t xml:space="preserve">3.98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256.71</w:t>
            </w:r>
          </w:p>
        </w:tc>
        <w:tc>
          <w:tcPr>
            <w:tcW w:w="2700" w:type="dxa"/>
            <w:tcBorders/>
            <w:vAlign w:val="center"/>
          </w:tcPr>
          <w:p>
            <w:pPr>
              <w:jc w:val="right"/>
            </w:pPr>
            <w:r>
              <w:rPr>
                <w:rFonts w:ascii="宋体" w:eastAsia="宋体" w:hAnsi="宋体" w:cs="宋体"/>
                <w:b w:val="0"/>
                <w:i w:val="0"/>
                <w:color w:val="000000"/>
                <w:sz w:val="25"/>
              </w:rPr>
              <w:t xml:space="preserve">256.71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186.37</w:t>
            </w:r>
          </w:p>
        </w:tc>
        <w:tc>
          <w:tcPr>
            <w:tcW w:w="2700" w:type="dxa"/>
            <w:tcBorders/>
            <w:vAlign w:val="center"/>
          </w:tcPr>
          <w:p>
            <w:pPr>
              <w:jc w:val="right"/>
            </w:pPr>
            <w:r>
              <w:rPr>
                <w:rFonts w:ascii="宋体" w:eastAsia="宋体" w:hAnsi="宋体" w:cs="宋体"/>
                <w:b w:val="0"/>
                <w:i w:val="0"/>
                <w:color w:val="000000"/>
                <w:sz w:val="25"/>
              </w:rPr>
              <w:t xml:space="preserve">186.37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70.34</w:t>
            </w:r>
          </w:p>
        </w:tc>
        <w:tc>
          <w:tcPr>
            <w:tcW w:w="2700" w:type="dxa"/>
            <w:tcBorders/>
            <w:vAlign w:val="center"/>
          </w:tcPr>
          <w:p>
            <w:pPr>
              <w:jc w:val="right"/>
            </w:pPr>
            <w:r>
              <w:rPr>
                <w:rFonts w:ascii="宋体" w:eastAsia="宋体" w:hAnsi="宋体" w:cs="宋体"/>
                <w:b w:val="0"/>
                <w:i w:val="0"/>
                <w:color w:val="000000"/>
                <w:sz w:val="25"/>
              </w:rPr>
              <w:t xml:space="preserve">70.34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3.98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3.98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72.26</w:t>
            </w:r>
          </w:p>
        </w:tc>
        <w:tc>
          <w:tcPr>
            <w:tcW w:w="2700" w:type="dxa"/>
            <w:tcBorders/>
            <w:vAlign w:val="center"/>
          </w:tcPr>
          <w:p>
            <w:pPr>
              <w:jc w:val="right"/>
            </w:pPr>
            <w:r>
              <w:rPr>
                <w:rFonts w:ascii="宋体" w:eastAsia="宋体" w:hAnsi="宋体" w:cs="宋体"/>
                <w:b w:val="0"/>
                <w:i w:val="0"/>
                <w:color w:val="000000"/>
                <w:sz w:val="25"/>
              </w:rPr>
              <w:t xml:space="preserve">72.26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72.26</w:t>
            </w:r>
          </w:p>
        </w:tc>
        <w:tc>
          <w:tcPr>
            <w:tcW w:w="2700" w:type="dxa"/>
            <w:tcBorders/>
            <w:vAlign w:val="center"/>
          </w:tcPr>
          <w:p>
            <w:pPr>
              <w:jc w:val="right"/>
            </w:pPr>
            <w:r>
              <w:rPr>
                <w:rFonts w:ascii="宋体" w:eastAsia="宋体" w:hAnsi="宋体" w:cs="宋体"/>
                <w:b w:val="0"/>
                <w:i w:val="0"/>
                <w:color w:val="000000"/>
                <w:sz w:val="25"/>
              </w:rPr>
              <w:t xml:space="preserve">72.26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34.21</w:t>
            </w:r>
          </w:p>
        </w:tc>
        <w:tc>
          <w:tcPr>
            <w:tcW w:w="2700" w:type="dxa"/>
            <w:tcBorders/>
            <w:vAlign w:val="center"/>
          </w:tcPr>
          <w:p>
            <w:pPr>
              <w:jc w:val="right"/>
            </w:pPr>
            <w:r>
              <w:rPr>
                <w:rFonts w:ascii="宋体" w:eastAsia="宋体" w:hAnsi="宋体" w:cs="宋体"/>
                <w:b w:val="0"/>
                <w:i w:val="0"/>
                <w:color w:val="000000"/>
                <w:sz w:val="25"/>
              </w:rPr>
              <w:t xml:space="preserve">34.21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38.05</w:t>
            </w:r>
          </w:p>
        </w:tc>
        <w:tc>
          <w:tcPr>
            <w:tcW w:w="2700" w:type="dxa"/>
            <w:tcBorders/>
            <w:vAlign w:val="center"/>
          </w:tcPr>
          <w:p>
            <w:pPr>
              <w:jc w:val="right"/>
            </w:pPr>
            <w:r>
              <w:rPr>
                <w:rFonts w:ascii="宋体" w:eastAsia="宋体" w:hAnsi="宋体" w:cs="宋体"/>
                <w:b w:val="0"/>
                <w:i w:val="0"/>
                <w:color w:val="000000"/>
                <w:sz w:val="25"/>
              </w:rPr>
              <w:t xml:space="preserve">38.05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2,632.23</w:t>
            </w:r>
          </w:p>
        </w:tc>
        <w:tc>
          <w:tcPr>
            <w:tcW w:w="2700" w:type="dxa"/>
            <w:tcBorders/>
            <w:vAlign w:val="center"/>
          </w:tcPr>
          <w:p>
            <w:pPr>
              <w:jc w:val="right"/>
            </w:pPr>
            <w:r>
              <w:rPr>
                <w:rFonts w:ascii="宋体" w:eastAsia="宋体" w:hAnsi="宋体" w:cs="宋体"/>
                <w:b w:val="0"/>
                <w:i w:val="0"/>
                <w:color w:val="000000"/>
                <w:sz w:val="25"/>
              </w:rPr>
              <w:t xml:space="preserve">1,143.02</w:t>
            </w:r>
          </w:p>
        </w:tc>
        <w:tc>
          <w:tcPr>
            <w:tcW w:w="2658" w:type="dxa"/>
            <w:tcBorders/>
            <w:vAlign w:val="center"/>
          </w:tcPr>
          <w:p>
            <w:pPr>
              <w:jc w:val="right"/>
            </w:pPr>
            <w:r>
              <w:rPr>
                <w:rFonts w:ascii="宋体" w:eastAsia="宋体" w:hAnsi="宋体" w:cs="宋体"/>
                <w:b w:val="0"/>
                <w:i w:val="0"/>
                <w:color w:val="000000"/>
                <w:sz w:val="25"/>
              </w:rPr>
              <w:t xml:space="preserve">1,489.22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2,632.23</w:t>
            </w:r>
          </w:p>
        </w:tc>
        <w:tc>
          <w:tcPr>
            <w:tcW w:w="2700" w:type="dxa"/>
            <w:tcBorders/>
            <w:vAlign w:val="center"/>
          </w:tcPr>
          <w:p>
            <w:pPr>
              <w:jc w:val="right"/>
            </w:pPr>
            <w:r>
              <w:rPr>
                <w:rFonts w:ascii="宋体" w:eastAsia="宋体" w:hAnsi="宋体" w:cs="宋体"/>
                <w:b w:val="0"/>
                <w:i w:val="0"/>
                <w:color w:val="000000"/>
                <w:sz w:val="25"/>
              </w:rPr>
              <w:t xml:space="preserve">1,143.02</w:t>
            </w:r>
          </w:p>
        </w:tc>
        <w:tc>
          <w:tcPr>
            <w:tcW w:w="2658" w:type="dxa"/>
            <w:tcBorders/>
            <w:vAlign w:val="center"/>
          </w:tcPr>
          <w:p>
            <w:pPr>
              <w:jc w:val="right"/>
            </w:pPr>
            <w:r>
              <w:rPr>
                <w:rFonts w:ascii="宋体" w:eastAsia="宋体" w:hAnsi="宋体" w:cs="宋体"/>
                <w:b w:val="0"/>
                <w:i w:val="0"/>
                <w:color w:val="000000"/>
                <w:sz w:val="25"/>
              </w:rPr>
              <w:t xml:space="preserve">1,489.22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1,143.02</w:t>
            </w:r>
          </w:p>
        </w:tc>
        <w:tc>
          <w:tcPr>
            <w:tcW w:w="2700" w:type="dxa"/>
            <w:tcBorders/>
            <w:vAlign w:val="center"/>
          </w:tcPr>
          <w:p>
            <w:pPr>
              <w:jc w:val="right"/>
            </w:pPr>
            <w:r>
              <w:rPr>
                <w:rFonts w:ascii="宋体" w:eastAsia="宋体" w:hAnsi="宋体" w:cs="宋体"/>
                <w:b w:val="0"/>
                <w:i w:val="0"/>
                <w:color w:val="000000"/>
                <w:sz w:val="25"/>
              </w:rPr>
              <w:t xml:space="preserve">1,143.02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1,069.98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1,069.98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419.23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419.23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21.25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21.25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林业和草原</w:t>
            </w:r>
          </w:p>
        </w:tc>
        <w:tc>
          <w:tcPr>
            <w:tcW w:w="2700" w:type="dxa"/>
            <w:tcBorders/>
            <w:vAlign w:val="center"/>
          </w:tcPr>
          <w:p>
            <w:pPr>
              <w:jc w:val="right"/>
            </w:pPr>
            <w:r>
              <w:rPr>
                <w:rFonts w:ascii="宋体" w:eastAsia="宋体" w:hAnsi="宋体" w:cs="宋体"/>
                <w:b w:val="0"/>
                <w:i w:val="0"/>
                <w:color w:val="000000"/>
                <w:sz w:val="25"/>
              </w:rPr>
              <w:t xml:space="preserve">18.50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2130234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林业草原防灾减灾</w:t>
            </w:r>
          </w:p>
        </w:tc>
        <w:tc>
          <w:tcPr>
            <w:tcW w:w="2700" w:type="dxa"/>
            <w:tcBorders/>
            <w:vAlign w:val="center"/>
          </w:tcPr>
          <w:p>
            <w:pPr>
              <w:jc w:val="right"/>
            </w:pPr>
            <w:r>
              <w:rPr>
                <w:rFonts w:ascii="宋体" w:eastAsia="宋体" w:hAnsi="宋体" w:cs="宋体"/>
                <w:b w:val="0"/>
                <w:i w:val="0"/>
                <w:color w:val="000000"/>
                <w:sz w:val="25"/>
              </w:rPr>
              <w:t xml:space="preserve">18.50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65.22</w:t>
            </w:r>
          </w:p>
        </w:tc>
        <w:tc>
          <w:tcPr>
            <w:tcW w:w="2700" w:type="dxa"/>
            <w:tcBorders/>
            <w:vAlign w:val="center"/>
          </w:tcPr>
          <w:p>
            <w:pPr>
              <w:jc w:val="right"/>
            </w:pPr>
            <w:r>
              <w:rPr>
                <w:rFonts w:ascii="宋体" w:eastAsia="宋体" w:hAnsi="宋体" w:cs="宋体"/>
                <w:b w:val="0"/>
                <w:i w:val="0"/>
                <w:color w:val="000000"/>
                <w:sz w:val="25"/>
              </w:rPr>
              <w:t xml:space="preserve">65.22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65.22</w:t>
            </w:r>
          </w:p>
        </w:tc>
        <w:tc>
          <w:tcPr>
            <w:tcW w:w="2700" w:type="dxa"/>
            <w:tcBorders/>
            <w:vAlign w:val="center"/>
          </w:tcPr>
          <w:p>
            <w:pPr>
              <w:jc w:val="right"/>
            </w:pPr>
            <w:r>
              <w:rPr>
                <w:rFonts w:ascii="宋体" w:eastAsia="宋体" w:hAnsi="宋体" w:cs="宋体"/>
                <w:b w:val="0"/>
                <w:i w:val="0"/>
                <w:color w:val="000000"/>
                <w:sz w:val="25"/>
              </w:rPr>
              <w:t xml:space="preserve">65.22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65.22</w:t>
            </w:r>
          </w:p>
        </w:tc>
        <w:tc>
          <w:tcPr>
            <w:tcW w:w="2700" w:type="dxa"/>
            <w:tcBorders/>
            <w:vAlign w:val="center"/>
          </w:tcPr>
          <w:p>
            <w:pPr>
              <w:jc w:val="right"/>
            </w:pPr>
            <w:r>
              <w:rPr>
                <w:rFonts w:ascii="宋体" w:eastAsia="宋体" w:hAnsi="宋体" w:cs="宋体"/>
                <w:b w:val="0"/>
                <w:i w:val="0"/>
                <w:color w:val="000000"/>
                <w:sz w:val="25"/>
              </w:rPr>
              <w:t xml:space="preserve">65.22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1,239.50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154.30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301.22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16.91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415.80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1.44</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314.17</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1.40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1.40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70.37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2.86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34.21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38.05</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13.76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65.22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3.55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194.99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2.85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191.36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1.72</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3.63</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2.37</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12.00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5.87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7.23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18.97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54.50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9.61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1,434.49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155.70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40.00</w:t>
            </w:r>
          </w:p>
        </w:tc>
        <w:tc>
          <w:tcPr>
            <w:tcW w:w="1560" w:type="dxa"/>
            <w:tcBorders/>
            <w:vAlign w:val="center"/>
          </w:tcPr>
          <w:p>
            <w:pPr>
              <w:jc w:val="right"/>
            </w:pPr>
            <w:r>
              <w:rPr>
                <w:rFonts w:ascii="宋体" w:eastAsia="宋体" w:hAnsi="宋体" w:cs="宋体"/>
                <w:b/>
                <w:i w:val="0"/>
                <w:color w:val="000000"/>
                <w:sz w:val="20"/>
              </w:rPr>
              <w:t xml:space="preserve">40.00</w:t>
            </w: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40.00</w:t>
            </w:r>
          </w:p>
        </w:tc>
        <w:tc>
          <w:tcPr>
            <w:tcW w:w="1598" w:type="dxa"/>
            <w:tcBorders/>
            <w:vAlign w:val="center"/>
          </w:tcPr>
          <w:p>
            <w:pPr>
              <w:jc w:val="right"/>
            </w:pPr>
            <w:r>
              <w:rPr>
                <w:rFonts w:ascii="宋体" w:eastAsia="宋体" w:hAnsi="宋体" w:cs="宋体"/>
                <w:b/>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城乡社区支出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21210</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国有土地收益基金安排的支出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2121099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其他国有土地收益基金支出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40.00</w:t>
            </w:r>
          </w:p>
        </w:tc>
        <w:tc>
          <w:tcPr>
            <w:tcW w:w="1598" w:type="dxa"/>
            <w:tcBorders/>
            <w:vAlign w:val="center"/>
          </w:tcPr>
          <w:p>
            <w:pPr>
              <w:jc w:val="right"/>
            </w:pPr>
            <w:r>
              <w:rPr>
                <w:rFonts w:ascii="宋体" w:eastAsia="宋体" w:hAnsi="宋体" w:cs="宋体"/>
                <w:b w:val="0"/>
                <w:i w:val="0"/>
                <w:color w:val="000000"/>
                <w:sz w:val="20"/>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20.69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18.97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18.97</w:t>
            </w:r>
          </w:p>
        </w:tc>
        <w:tc>
          <w:tcPr>
            <w:tcW w:w="1198" w:type="dxa"/>
            <w:tcBorders/>
            <w:vAlign w:val="center"/>
          </w:tcPr>
          <w:p>
            <w:pPr>
              <w:jc w:val="right"/>
            </w:pPr>
            <w:r>
              <w:rPr>
                <w:rFonts w:ascii="宋体" w:eastAsia="宋体" w:hAnsi="宋体" w:cs="宋体"/>
                <w:b w:val="0"/>
                <w:i w:val="0"/>
                <w:color w:val="000000"/>
                <w:sz w:val="17"/>
              </w:rPr>
              <w:t xml:space="preserve">1.72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3151.75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增加623.23万元，增长24.65%</w:t>
      </w:r>
      <w:r>
        <w:rPr>
          <w:rFonts w:ascii="仿宋" w:eastAsia="仿宋" w:hAnsi="仿宋" w:cs="仿宋" w:hint="eastAsia"/>
          <w:kern w:val="0"/>
          <w:sz w:val="32"/>
          <w:szCs w:val="32"/>
          <w:lang w:val="en-US" w:eastAsia="zh-CN"/>
        </w:rPr>
        <w:t xml:space="preserve">。主要原因是项目支出增加。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2399.97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财政拨款收入2399.97万元，占100.00%；上级补助收入0.00万元，占0.00%；事业收入0.00万元，占0.00%；经营收入0.00万元，占0.00%；附属单位上缴收入0.00万元，占0.00%；其他收入0.00万元，占0.00%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3151.75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基本支出1590.19万元，占50.45%；项目支出1561.55万元，占49.55%；上缴上级支出0.00万元，占0.00%；经营支出0.00万元，占0.00%；对附属单位补助支出0.00万元，占0.00%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3151.75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增加623.23万元，增长24.65%</w:t>
      </w:r>
      <w:r>
        <w:rPr>
          <w:rFonts w:ascii="仿宋" w:eastAsia="仿宋" w:hAnsi="仿宋" w:cs="仿宋" w:hint="eastAsia"/>
          <w:kern w:val="0"/>
          <w:sz w:val="32"/>
          <w:szCs w:val="32"/>
          <w:lang w:val="en-US" w:eastAsia="zh-CN"/>
        </w:rPr>
        <w:t xml:space="preserve">。主要原因是项目支出增加。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3111.75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98.73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增加583.23万元，增长23.07%</w:t>
      </w:r>
      <w:r>
        <w:rPr>
          <w:rFonts w:ascii="仿宋" w:eastAsia="仿宋" w:hAnsi="仿宋" w:cs="仿宋" w:hint="eastAsia"/>
          <w:kern w:val="0"/>
          <w:sz w:val="32"/>
          <w:szCs w:val="32"/>
          <w:lang w:val="en-US" w:eastAsia="zh-CN"/>
        </w:rPr>
        <w:t xml:space="preserve">。主要原因是项目支出增加。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3111.75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60.10万元，占1.93%；社会保障和就业支出（类）260.69万元，占8.38%；卫生健康支出（类）72.26万元，占2.32%；城乡社区支出（类）2632.23万元，占84.59%；农林水支出（类）21.25万元，占0.68%；住房保障支出（类）65.22万元，占2.10%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1863.99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3111.75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166.94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1.一般公共服务支出（类）政府办公厅（室）及相关机构事务（款）其他政府办公厅（室）及相关机构事务支出（项）</w:t>
      </w:r>
      <w:r>
        <w:rPr>
          <w:rFonts w:ascii="仿宋" w:eastAsia="仿宋" w:hAnsi="仿宋" w:cs="仿宋" w:hint="default"/>
          <w:kern w:val="2"/>
          <w:sz w:val="32"/>
          <w:szCs w:val="32"/>
          <w:lang w:val="en-US" w:eastAsia="zh-CN"/>
        </w:rPr>
        <w:t xml:space="preserve">年初预算数为459.23万元，决算数0.00万元,完成年初预算的0.00%，决算数与年初预算数存在差异的主要原因是预算经济分类选错。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年初预算数为5.87万元，决算数5.87万元,完成年初预算的100.00%，决算数与年初预算数不存在差异。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年初预算数为6.30万元，决算数54.23万元,完成年初预算的860.79%，决算数与年初预算数存在差异的主要原因是当年追加2021平安建设奖经济分类为该项。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年初预算数为150.70万元，决算数186.37万元,完成年初预算的123.67%，决算数与年初预算数存在差异的主要原因是退休人员基础绩效发放金额增加。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年初预算数为68.39万元，决算数70.34万元,完成年初预算的102.85%，决算数与年初预算数存在差异的主要原因是社保基数调整。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年初预算数为0.00万元，决算数3.98万元,决算数与年初预算数存在差异的主要原因是追加公益性岗位工资。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7.卫生健康支出（类）行政事业单位医疗（款）行政单位医疗（项）</w:t>
      </w:r>
      <w:r>
        <w:rPr>
          <w:rFonts w:ascii="仿宋" w:eastAsia="仿宋" w:hAnsi="仿宋" w:cs="仿宋" w:hint="default"/>
          <w:kern w:val="2"/>
          <w:sz w:val="32"/>
          <w:szCs w:val="32"/>
          <w:lang w:val="en-US" w:eastAsia="zh-CN"/>
        </w:rPr>
        <w:t xml:space="preserve">年初预算数为35.68万元，决算数34.21万元,完成年初预算的95.88%，决算数与年初预算数存在差异的主要原因是社保基数调整。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8.卫生健康支出（类）行政事业单位医疗（款）公务员医疗补助（项）</w:t>
      </w:r>
      <w:r>
        <w:rPr>
          <w:rFonts w:ascii="仿宋" w:eastAsia="仿宋" w:hAnsi="仿宋" w:cs="仿宋" w:hint="default"/>
          <w:kern w:val="2"/>
          <w:sz w:val="32"/>
          <w:szCs w:val="32"/>
          <w:lang w:val="en-US" w:eastAsia="zh-CN"/>
        </w:rPr>
        <w:t xml:space="preserve">年初预算数为39.65万元，决算数38.05万元,完成年初预算的95.96%，决算数与年初预算数存在差异的主要原因是社保基数调整。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9.城乡社区支出（类）城乡社区管理事务（款）行政运行（项）</w:t>
      </w:r>
      <w:r>
        <w:rPr>
          <w:rFonts w:ascii="仿宋" w:eastAsia="仿宋" w:hAnsi="仿宋" w:cs="仿宋" w:hint="default"/>
          <w:kern w:val="2"/>
          <w:sz w:val="32"/>
          <w:szCs w:val="32"/>
          <w:lang w:val="en-US" w:eastAsia="zh-CN"/>
        </w:rPr>
        <w:t xml:space="preserve">年初预算数为1030.21万元，决算数1143.02万元,完成年初预算的110.95%，决算数与年初预算数存在差异的主要原因是追加2022年未休假补贴和平安建设奖。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10.城乡社区支出（类）城乡社区管理事务（款）一般行政管理事务（项）</w:t>
      </w:r>
      <w:r>
        <w:rPr>
          <w:rFonts w:ascii="仿宋" w:eastAsia="仿宋" w:hAnsi="仿宋" w:cs="仿宋" w:hint="default"/>
          <w:kern w:val="2"/>
          <w:sz w:val="32"/>
          <w:szCs w:val="32"/>
          <w:lang w:val="en-US" w:eastAsia="zh-CN"/>
        </w:rPr>
        <w:t xml:space="preserve">年初预算数为0.00万元，决算数1069.98万元,决算数与年初预算数存在差异的主要原因是追加项目支出。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年初预算数为0.00万元，决算数419.23万元,决算数与年初预算数存在差异的主要原因是年初预算经济分类错填为其他政府办公厅（室）及相关机构事务支出。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12.农林水支出（类）林业和草原（款）林业草原防灾减灾（项）</w:t>
      </w:r>
      <w:r>
        <w:rPr>
          <w:rFonts w:ascii="仿宋" w:eastAsia="仿宋" w:hAnsi="仿宋" w:cs="仿宋" w:hint="default"/>
          <w:kern w:val="2"/>
          <w:sz w:val="32"/>
          <w:szCs w:val="32"/>
          <w:lang w:val="en-US" w:eastAsia="zh-CN"/>
        </w:rPr>
        <w:t xml:space="preserve">年初预算数为0.00万元，决算数18.50万元,决算数与年初预算数存在差异的主要原因是此款系上级追加项目资金。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年初预算数为0.00万元，决算数2.75万元,决算数与年初预算数存在差异的主要原因是追加驻村书记补助。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14.住房保障支出（类）住房改革支出（款）住房公积金（项）</w:t>
      </w:r>
      <w:r>
        <w:rPr>
          <w:rFonts w:ascii="仿宋" w:eastAsia="仿宋" w:hAnsi="仿宋" w:cs="仿宋" w:hint="default"/>
          <w:kern w:val="2"/>
          <w:sz w:val="32"/>
          <w:szCs w:val="32"/>
          <w:lang w:val="en-US" w:eastAsia="zh-CN"/>
        </w:rPr>
        <w:t xml:space="preserve">年初预算数为67.97万元，决算数65.22万元,完成年初预算的95.95%，决算数与年初预算数存在差异的主要原因是社保基数调整。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1590.19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其中：人员经费1434.49万元，主要包括：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公用经费155.70万元，主要包括：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2023年度政府性基金预算财政拨款支出年初预算数为0.00万元，支出决算为40.00万元，完成年初预算的0.00%。主要用于市本级基准地价编制项目。</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，完成预算的94.05%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2023年度“三公”经费支出决算数与预算数存在差异的主要原因是严格执行公务接待制度、公车管理制度，厉行勤俭节约。</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18.97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,完成预算的94.85%</w:t>
      </w:r>
      <w:r>
        <w:rPr>
          <w:rFonts w:ascii="仿宋" w:eastAsia="仿宋" w:hAnsi="仿宋" w:cs="仿宋" w:hint="eastAsia"/>
          <w:kern w:val="0"/>
          <w:sz w:val="32"/>
          <w:szCs w:val="32"/>
          <w:lang w:val="en-US" w:eastAsia="zh-CN"/>
        </w:rPr>
        <w:t xml:space="preserve">，占91.69%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1.72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，完成预算的86.00%</w:t>
      </w:r>
      <w:r>
        <w:rPr>
          <w:rFonts w:ascii="仿宋" w:eastAsia="仿宋" w:hAnsi="仿宋" w:cs="仿宋" w:hint="eastAsia"/>
          <w:kern w:val="0"/>
          <w:sz w:val="32"/>
          <w:szCs w:val="32"/>
          <w:lang w:val="en-US" w:eastAsia="zh-CN"/>
        </w:rPr>
        <w:t xml:space="preserve">，占8.31%</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18.97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，完成预算的94.85%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决算数与预算数存在差异的主要原因是严格执行车辆管理规定，减少车辆运行支出。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18.97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主要用于车辆维修维护、保险、路桥费等。</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5</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2.00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1.72</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，完成预算的86.00%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决算数与预算数存在差异的主要原因是认真执行中央八项规定，严格按照规定的范围和标准做好接待工作。</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1.72</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主要用于上级检查工作和外地来许考察等。</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18</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118</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2023年度机关运行经费支出155.70万元，</w:t>
      </w:r>
      <w:r>
        <w:rPr>
          <w:rFonts w:ascii="仿宋" w:eastAsia="仿宋" w:hAnsi="仿宋" w:cs="仿宋" w:hint="eastAsia"/>
          <w:kern w:val="0"/>
          <w:sz w:val="32"/>
          <w:szCs w:val="32"/>
          <w:lang w:val="en-US" w:eastAsia="zh-CN"/>
        </w:rPr>
        <w:t xml:space="preserve">较2022年度下降50.74万元，</w:t>
      </w:r>
      <w:r>
        <w:rPr>
          <w:rFonts w:ascii="仿宋" w:eastAsia="仿宋" w:hAnsi="仿宋" w:cs="仿宋" w:hint="eastAsia"/>
          <w:kern w:val="0"/>
          <w:sz w:val="32"/>
          <w:szCs w:val="32"/>
          <w:lang w:val="en-US" w:eastAsia="zh-CN"/>
        </w:rPr>
        <w:t xml:space="preserve">下降24.58%，</w:t>
      </w:r>
      <w:r>
        <w:rPr>
          <w:rFonts w:ascii="仿宋" w:eastAsia="仿宋" w:hAnsi="仿宋" w:cs="仿宋" w:hint="eastAsia"/>
          <w:kern w:val="0"/>
          <w:sz w:val="32"/>
          <w:szCs w:val="32"/>
          <w:lang w:val="en-US" w:eastAsia="zh-CN"/>
        </w:rPr>
        <w:t xml:space="preserve">主要原因是压缩经费支出。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1061.95</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1061.95</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1863.99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98.50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我部门坚持以习近平生态文明思想为指导，围绕市委、市政府决策部署，锚定“十大战略”，紧紧围绕“五个强市”发展目标，以城乡融合共同富裕先行试验区建设统领自然资源事业发展，谋划开展了“一优双保六提”行动，全面推动自然资源管理工作高质量开展，为全市经济社会高质量发展提供坚强保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基于项目预期目标的实现程度，我单位对2023年度单位预算项目支出（含单位参与分配的转移支付项目）开展绩效自评，涉及项目5个，项目金额492.93万元。其中：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(1)育林基金减收补助资金，自评得分为97.78分，等级为“优”。确保了基层林业科室正常运转。</w:t>
        <w:br/>
        <w:t xml:space="preserve">        (2)城市轨道交通沿线地区控制性详细规划及城市设计规划编制，自评得分为100分，等级为“优”。已完成规划编制工作，并对城市轨道交通沿线地区进行规划指标控制，科学指导市域铁路周边地块开发建设。</w:t>
        <w:br/>
        <w:t xml:space="preserve">        (3)专家论证评审经费，自评得分为91.16分，等级为“优”。组织专家对规划方案进行技术审查，为全市重大项目提供技术指导服务，提高了项目的科学性、合理性。</w:t>
        <w:br/>
        <w:t xml:space="preserve">        (4)专家论证评审经费，自评得分为100分，等级为“优”。较好的完成了规划项目的技术审查，为全市重大项目提供技术指导服务，提高了项目的科学性、合理性。</w:t>
        <w:br/>
        <w:t xml:space="preserve">        (5)市土地开发整理中心人员工资和经费项目，自评得分为100分，等级为“优”。保障了人员工资及经费及时足额发放。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从项目绩效自评情况来看，我单位2023年共有5个预算项目，预算金额492.93万元，预算执行金额480.92万元，绩效目标均完成较好，达到预期目标。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676"/>
        <w:gridCol w:w="2567"/>
        <w:gridCol w:w="1122"/>
        <w:gridCol w:w="1473"/>
        <w:gridCol w:w="8674"/>
        <w:gridCol w:w="2910"/>
        <w:gridCol w:w="1136"/>
        <w:gridCol w:w="596"/>
        <w:gridCol w:w="686"/>
        <w:gridCol w:w="866"/>
        <w:gridCol w:w="56"/>
        <w:gridCol w:w="254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2"/>
            <w:tcBorders>
              <w:top w:val="nil"/>
              <w:left w:val="nil"/>
              <w:bottom w:val="nil"/>
              <w:right w:val="nil"/>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部门整体自评表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许昌市自然资源和规划局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1863.99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bdr w:val="none" w:sz="0" w:space="0" w:color="auto"/>
                <w:lang w:val="en-US" w:eastAsia="zh-CN" w:bidi="en-AU"/>
              </w:rPr>
              <w:t xml:space="preserve">3163.91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bdr w:val="none" w:sz="0" w:space="0" w:color="auto"/>
                <w:lang w:val="en-US" w:eastAsia="zh-CN" w:bidi="en-AU"/>
              </w:rPr>
              <w:t xml:space="preserve">3163.91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bdr w:val="none" w:sz="0" w:space="0" w:color="auto"/>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资金来源：</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1863.99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3163.91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3163.91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年，我们要紧紧围绕市委、市政府和省厅各项决策部署，高质量开展国土空间规划编制，全力保障项目用地空间需求，抓好各项重点工作推进，下大力气攻克需</w:t>
            </w:r>
            <w:r>
              <w:rPr>
                <w:rFonts w:ascii="宋体" w:eastAsia="宋体" w:hAnsi="宋体" w:cs="宋体"/>
                <w:i w:val="0"/>
                <w:iCs w:val="0"/>
                <w:color w:val="000000"/>
                <w:kern w:val="0"/>
                <w:sz w:val="18"/>
                <w:szCs w:val="18"/>
                <w:u w:val="none"/>
                <w:bdr w:val="none" w:sz="0" w:space="0" w:color="auto"/>
                <w:lang w:val="en-US" w:eastAsia="zh-CN" w:bidi="en-AU"/>
              </w:rPr>
              <w:t xml:space="preserve">要</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高质量推进、高标准完成、高效率解决、高水平化</w:t>
            </w:r>
            <w:r>
              <w:rPr>
                <w:rFonts w:ascii="宋体" w:eastAsia="宋体" w:hAnsi="宋体" w:cs="宋体"/>
                <w:i w:val="0"/>
                <w:iCs w:val="0"/>
                <w:color w:val="000000"/>
                <w:kern w:val="0"/>
                <w:sz w:val="18"/>
                <w:szCs w:val="18"/>
                <w:u w:val="none"/>
                <w:bdr w:val="none" w:sz="0" w:space="0" w:color="auto"/>
                <w:lang w:val="en-US" w:eastAsia="zh-CN" w:bidi="en-AU"/>
              </w:rPr>
              <w:t xml:space="preserve">解</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的重点、难点、痛点、堵点问题，不断提升自然资源和规划工作水平。</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高质编制量开展国土空间规划</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按期完成国土空间规划编制，强化底线约束，为构建国土空间开发保护和空间用途管制体系夯实规划基础。</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全力保障项目用地空间需求</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继续坚</w:t>
            </w:r>
            <w:r>
              <w:rPr>
                <w:rFonts w:ascii="宋体" w:eastAsia="宋体" w:hAnsi="宋体" w:cs="宋体"/>
                <w:i w:val="0"/>
                <w:iCs w:val="0"/>
                <w:color w:val="000000"/>
                <w:kern w:val="0"/>
                <w:sz w:val="18"/>
                <w:szCs w:val="18"/>
                <w:u w:val="none"/>
                <w:bdr w:val="none" w:sz="0" w:space="0" w:color="auto"/>
                <w:lang w:val="en-US" w:eastAsia="zh-CN" w:bidi="en-AU"/>
              </w:rPr>
              <w:t xml:space="preserve">持</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项目为</w:t>
            </w:r>
            <w:r>
              <w:rPr>
                <w:rFonts w:ascii="宋体" w:eastAsia="宋体" w:hAnsi="宋体" w:cs="宋体"/>
                <w:i w:val="0"/>
                <w:iCs w:val="0"/>
                <w:color w:val="000000"/>
                <w:kern w:val="0"/>
                <w:sz w:val="18"/>
                <w:szCs w:val="18"/>
                <w:u w:val="none"/>
                <w:bdr w:val="none" w:sz="0" w:space="0" w:color="auto"/>
                <w:lang w:val="en-US" w:eastAsia="zh-CN" w:bidi="en-AU"/>
              </w:rPr>
              <w:t xml:space="preserve">王</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，落</w:t>
            </w:r>
            <w:r>
              <w:rPr>
                <w:rFonts w:ascii="宋体" w:eastAsia="宋体" w:hAnsi="宋体" w:cs="宋体"/>
                <w:i w:val="0"/>
                <w:iCs w:val="0"/>
                <w:color w:val="000000"/>
                <w:kern w:val="0"/>
                <w:sz w:val="18"/>
                <w:szCs w:val="18"/>
                <w:u w:val="none"/>
                <w:bdr w:val="none" w:sz="0" w:space="0" w:color="auto"/>
                <w:lang w:val="en-US" w:eastAsia="zh-CN" w:bidi="en-AU"/>
              </w:rPr>
              <w:t xml:space="preserve">实</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增存挂</w:t>
            </w:r>
            <w:r>
              <w:rPr>
                <w:rFonts w:ascii="宋体" w:eastAsia="宋体" w:hAnsi="宋体" w:cs="宋体"/>
                <w:i w:val="0"/>
                <w:iCs w:val="0"/>
                <w:color w:val="000000"/>
                <w:kern w:val="0"/>
                <w:sz w:val="18"/>
                <w:szCs w:val="18"/>
                <w:u w:val="none"/>
                <w:bdr w:val="none" w:sz="0" w:space="0" w:color="auto"/>
                <w:lang w:val="en-US" w:eastAsia="zh-CN" w:bidi="en-AU"/>
              </w:rPr>
              <w:t xml:space="preserve">钩</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以</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三个一</w:t>
            </w:r>
            <w:r>
              <w:rPr>
                <w:rFonts w:ascii="宋体" w:eastAsia="宋体" w:hAnsi="宋体" w:cs="宋体"/>
                <w:i w:val="0"/>
                <w:iCs w:val="0"/>
                <w:color w:val="000000"/>
                <w:kern w:val="0"/>
                <w:sz w:val="18"/>
                <w:szCs w:val="18"/>
                <w:u w:val="none"/>
                <w:bdr w:val="none" w:sz="0" w:space="0" w:color="auto"/>
                <w:lang w:val="en-US" w:eastAsia="zh-CN" w:bidi="en-AU"/>
              </w:rPr>
              <w:t xml:space="preserve">批</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、灾后重建项目为核心，确保各类重点项目应保尽保。</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加快推进森林许昌生态建设</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深入落实市第八次党代</w:t>
            </w:r>
            <w:r>
              <w:rPr>
                <w:rFonts w:ascii="宋体" w:eastAsia="宋体" w:hAnsi="宋体" w:cs="宋体"/>
                <w:i w:val="0"/>
                <w:iCs w:val="0"/>
                <w:color w:val="000000"/>
                <w:kern w:val="0"/>
                <w:sz w:val="18"/>
                <w:szCs w:val="18"/>
                <w:u w:val="none"/>
                <w:bdr w:val="none" w:sz="0" w:space="0" w:color="auto"/>
                <w:lang w:val="en-US" w:eastAsia="zh-CN" w:bidi="en-AU"/>
              </w:rPr>
              <w:t xml:space="preserve">会</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打造生态安全屏</w:t>
            </w:r>
            <w:r>
              <w:rPr>
                <w:rFonts w:ascii="宋体" w:eastAsia="宋体" w:hAnsi="宋体" w:cs="宋体"/>
                <w:i w:val="0"/>
                <w:iCs w:val="0"/>
                <w:color w:val="000000"/>
                <w:kern w:val="0"/>
                <w:sz w:val="18"/>
                <w:szCs w:val="18"/>
                <w:u w:val="none"/>
                <w:bdr w:val="none" w:sz="0" w:space="0" w:color="auto"/>
                <w:lang w:val="en-US" w:eastAsia="zh-CN" w:bidi="en-AU"/>
              </w:rPr>
              <w:t xml:space="preserve">障</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决策部署，持续推进国土绿化美化，打造良好生态环境，增加森林和湿地碳汇，助力全</w:t>
            </w:r>
            <w:r>
              <w:rPr>
                <w:rFonts w:ascii="宋体" w:eastAsia="宋体" w:hAnsi="宋体" w:cs="宋体"/>
                <w:i w:val="0"/>
                <w:iCs w:val="0"/>
                <w:color w:val="000000"/>
                <w:kern w:val="0"/>
                <w:sz w:val="18"/>
                <w:szCs w:val="18"/>
                <w:u w:val="none"/>
                <w:bdr w:val="none" w:sz="0" w:space="0" w:color="auto"/>
                <w:lang w:val="en-US" w:eastAsia="zh-CN" w:bidi="en-AU"/>
              </w:rPr>
              <w:t xml:space="preserve">市</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双</w:t>
            </w:r>
            <w:r>
              <w:rPr>
                <w:rFonts w:ascii="宋体" w:eastAsia="宋体" w:hAnsi="宋体" w:cs="宋体"/>
                <w:i w:val="0"/>
                <w:iCs w:val="0"/>
                <w:color w:val="000000"/>
                <w:kern w:val="0"/>
                <w:sz w:val="18"/>
                <w:szCs w:val="18"/>
                <w:u w:val="none"/>
                <w:bdr w:val="none" w:sz="0" w:space="0" w:color="auto"/>
                <w:lang w:val="en-US" w:eastAsia="zh-CN" w:bidi="en-AU"/>
              </w:rPr>
              <w:t xml:space="preserve">碳</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工作推进。</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加快大收储改革实施</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不断强化中心城区土地储备供应，高标准开展片区谋划和综合开发，推动土地资源经济价值、社会价值、生态价值实现最大化。</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加快城乡融合发展步伐</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以农村集体经营性建设用地入市改革探索为突破口，全面激活农村闲置土地资源，构建城乡统一的建设用地市场，为城乡融合发展试验区建设提供空间要素保障。</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95%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调整金额为当年追加项目预算</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三公经</w:t>
            </w:r>
            <w:r>
              <w:rPr>
                <w:rFonts w:ascii="宋体" w:eastAsia="宋体" w:hAnsi="宋体" w:cs="宋体"/>
                <w:i w:val="0"/>
                <w:iCs w:val="0"/>
                <w:color w:val="000000"/>
                <w:kern w:val="0"/>
                <w:sz w:val="18"/>
                <w:szCs w:val="18"/>
                <w:u w:val="none"/>
                <w:bdr w:val="none" w:sz="0" w:space="0" w:color="auto"/>
                <w:lang w:val="en-US" w:eastAsia="zh-CN" w:bidi="en-AU"/>
              </w:rPr>
              <w:t xml:space="preserve">费</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高质编制量开展国土空间规划完成率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全力保障项目用地空间需求任务完成率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加快推进森林许昌生态建设任务完成率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加快大收储改革实施完成率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加快城乡融合发展步伐任务完成率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抓好各项工作推进目标实现率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&gt;95%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提升全市自然资源和规划水平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bdr w:val="none" w:sz="0" w:space="0" w:color="auto"/>
                <w:lang w:val="en-US" w:eastAsia="zh-CN" w:bidi="en-AU"/>
              </w:rPr>
              <w:t xml:space="preserve">98.50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2d895c5-3647-4ce8-93bc-9006e119de5f"/>
              <w:rPr>
                <w:rFonts w:ascii="宋体" w:eastAsia="宋体" w:hAnsi="宋体" w:cs="宋体" w:hint="eastAsia"/>
                <w:i w:val="0"/>
                <w:iCs w:val="0"/>
                <w:color w:val="000000"/>
                <w:sz w:val="18"/>
                <w:szCs w:val="18"/>
                <w:u w:val="none"/>
              </w:rPr>
            </w:pPr>
          </w:p>
        </w:tc>
      </w:tr>
    </w:tbl>
    <w:p>
      <w:pPr>
        <w:pStyle w:val="Normal_82d895c5-3647-4ce8-93bc-9006e119de5f"/>
        <w:sectPr>
          <w:pgSz w:w="11906" w:h="16838"/>
          <w:pgMar w:top="1440" w:right="1800" w:bottom="1440" w:left="1800" w:header="851" w:footer="992" w:gutter="0"/>
          <w:docGrid w:type="lines" w:linePitch="312"/>
        </w:sectPr>
      </w:pPr>
    </w:p>
    <w:tbl>
      <w:tblPr>
        <w:tblStyle w:val="NormalTable_bdebbf81-a480-465a-b9bb-39e4bdb42e3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5"/>
        <w:gridCol w:w="555"/>
        <w:gridCol w:w="649"/>
        <w:gridCol w:w="603"/>
        <w:gridCol w:w="516"/>
        <w:gridCol w:w="921"/>
        <w:gridCol w:w="603"/>
        <w:gridCol w:w="517"/>
        <w:gridCol w:w="603"/>
        <w:gridCol w:w="666"/>
        <w:gridCol w:w="523"/>
        <w:gridCol w:w="666"/>
        <w:gridCol w:w="122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育林基金减收补助资金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31.11</w:t>
            </w:r>
          </w:p>
        </w:tc>
        <w:tc>
          <w:tcPr>
            <w:tcW w:type="auto" w:w="0"/>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77.78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7.78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31.11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77.78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弥补降低育林基金征收标准后基层林业部门行政事业收费不足等问题，确保基层林业部门正常运转。</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完成95%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弥补单位经费不足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31.11万元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保障单位职工人数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提高办公效率改善办公环境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设施设备维保及时率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确保单位正常运转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职工满意度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97.78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bl>
    <w:p>
      <w:pPr>
        <w:pStyle w:val="Normal_82d895c5-3647-4ce8-93bc-9006e119de5f"/>
      </w:pPr>
    </w:p>
    <w:p>
      <w:pPr>
        <w:pStyle w:val="Normal_82d895c5-3647-4ce8-93bc-9006e119de5f"/>
      </w:pPr>
    </w:p>
    <w:p>
      <w:pPr>
        <w:pStyle w:val="Normal_82d895c5-3647-4ce8-93bc-9006e119de5f"/>
        <w:bidi w:val="0"/>
        <w:rPr>
          <w:rFonts w:ascii="Calibri" w:eastAsia="宋体" w:hAnsi="Calibri" w:asciiTheme="minorHAnsi" w:eastAsiaTheme="minorEastAsia" w:hAnsiTheme="minorHAnsi" w:cs="Arial" w:cstheme="minorBidi"/>
          <w:kern w:val="2"/>
          <w:sz w:val="21"/>
          <w:szCs w:val="24"/>
          <w:lang w:val="en-US" w:eastAsia="zh-CN" w:bidi="ar-SA"/>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rPr>
          <w:lang w:val="en-US" w:eastAsia="zh-CN"/>
        </w:rPr>
      </w:pPr>
    </w:p>
    <w:p>
      <w:pPr>
        <w:pStyle w:val="Normal_82d895c5-3647-4ce8-93bc-9006e119de5f"/>
        <w:bidi w:val="0"/>
        <w:jc w:val="right"/>
        <w:rPr>
          <w:lang w:val="en-US" w:eastAsia="zh-CN"/>
        </w:rPr>
      </w:pPr>
    </w:p>
    <w:p>
      <w:pPr>
        <w:pStyle w:val="Normal_82d895c5-3647-4ce8-93bc-9006e119de5f"/>
        <w:bidi w:val="0"/>
        <w:jc w:val="right"/>
        <w:rPr>
          <w:lang w:val="en-US" w:eastAsia="zh-CN"/>
        </w:rPr>
      </w:pPr>
    </w:p>
    <w:p>
      <w:pPr>
        <w:pStyle w:val="Normal_82d895c5-3647-4ce8-93bc-9006e119de5f"/>
        <w:bidi w:val="0"/>
        <w:jc w:val="right"/>
        <w:rPr>
          <w:lang w:val="en-US" w:eastAsia="zh-CN"/>
        </w:rPr>
      </w:pPr>
    </w:p>
    <w:tbl>
      <w:tblPr>
        <w:tblStyle w:val="NormalTable_bdebbf81-a480-465a-b9bb-39e4bdb42e3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9"/>
        <w:gridCol w:w="559"/>
        <w:gridCol w:w="653"/>
        <w:gridCol w:w="607"/>
        <w:gridCol w:w="520"/>
        <w:gridCol w:w="1026"/>
        <w:gridCol w:w="607"/>
        <w:gridCol w:w="521"/>
        <w:gridCol w:w="608"/>
        <w:gridCol w:w="608"/>
        <w:gridCol w:w="528"/>
        <w:gridCol w:w="576"/>
        <w:gridCol w:w="1230"/>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城市轨道交通沿线地区控制性详细规划及城市设计规划编制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23.9</w:t>
            </w:r>
          </w:p>
        </w:tc>
        <w:tc>
          <w:tcPr>
            <w:tcW w:type="auto" w:w="0"/>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对郑州机场至许昌市域铁路工程许昌段沿线两侧1000米左右地块，按照《城市轨道沿线地区规划设计导则》的标准要求进行编制，在城市层面、线路层面、站点层面开展规划研究，进一步对土地综合开发提供法定依据于政策指导。</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已完成规划编制工作，并对城市轨道交通沿线地区进行规划指标控制，科学指导市域铁路周边地块开发建设。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规划编制费用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编制规划总用地面积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57.34平方公里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57.34平方公里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规划编制数量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1套</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规划评审通过率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规划期限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2020-2035年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2035年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规划编制完成及时率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对城市产业和区域经济发展的作用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城市空间形态优化情况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有效利用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上级主管部门满意度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bl>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pPr>
    </w:p>
    <w:p>
      <w:pPr>
        <w:pStyle w:val="Normal_82d895c5-3647-4ce8-93bc-9006e119de5f"/>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bdebbf81-a480-465a-b9bb-39e4bdb42e3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75"/>
        <w:gridCol w:w="555"/>
        <w:gridCol w:w="649"/>
        <w:gridCol w:w="603"/>
        <w:gridCol w:w="516"/>
        <w:gridCol w:w="921"/>
        <w:gridCol w:w="603"/>
        <w:gridCol w:w="517"/>
        <w:gridCol w:w="603"/>
        <w:gridCol w:w="666"/>
        <w:gridCol w:w="523"/>
        <w:gridCol w:w="666"/>
        <w:gridCol w:w="122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专家论证评审经费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3.18</w:t>
            </w:r>
          </w:p>
        </w:tc>
        <w:tc>
          <w:tcPr>
            <w:tcW w:type="auto" w:w="0"/>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50.48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50.48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根据项目情况邀请规划、建筑、绿化景观、道路交通等相关专业的专家，组织对规划方案进行技术审查，为全市重大项目提供技术指导服务，提升项目的科学性和合理性。</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组织专家对规划方案进行技术审查，为全市重大项目提供技术指导服务，提高了项目的科学性、合理性。</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规划咨询设计标准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参照河南省政府采购评审专家劳务报酬支付标准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83"/>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邀请专家人次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≥36人次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6.11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-38.89%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年度规划项目减少，整体会议召开次数较上年较少；专家评审费用标准较上年有所改变；部分专家因为增值税发票开具不及时，导致部分费用未及时拨付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规划方案的科学性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审查结果提交及时性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项目质量和规划水平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参会人员满意度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91.16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bl>
    <w:p>
      <w:pPr>
        <w:pStyle w:val="Normal_82d895c5-3647-4ce8-93bc-9006e119de5f"/>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bdebbf81-a480-465a-b9bb-39e4bdb42e31"/>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28"/>
        <w:gridCol w:w="645"/>
        <w:gridCol w:w="1248"/>
        <w:gridCol w:w="303"/>
        <w:gridCol w:w="303"/>
        <w:gridCol w:w="1666"/>
        <w:gridCol w:w="724"/>
        <w:gridCol w:w="535"/>
        <w:gridCol w:w="535"/>
        <w:gridCol w:w="458"/>
        <w:gridCol w:w="686"/>
        <w:gridCol w:w="795"/>
      </w:tblGrid>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2"/>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专家论证评审经费</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根据项目情况邀请规划、建筑、绿化景观、道路交通等相关专业的专家，组织对规划方案进行技术审查，为全市重大项目提供技术指导服务，提升项目的科学性和合理性。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较好的完成了规划项目的技术审查，为全市重大项目提供技术指导服务，提高了项目的科学性、合理性。</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规划咨询设计标准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参照河南省政府采购评审专家劳务报酬支付标准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邀请专家人次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规划方案的科学性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项目质量和规划水平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参会人员满意度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0" w:type="auto"/>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bl>
    <w:p>
      <w:pPr>
        <w:pStyle w:val="Normal_82d895c5-3647-4ce8-93bc-9006e119de5f"/>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tbl>
      <w:tblPr>
        <w:tblStyle w:val="NormalTable_bdebbf81-a480-465a-b9bb-39e4bdb42e3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87"/>
        <w:gridCol w:w="567"/>
        <w:gridCol w:w="661"/>
        <w:gridCol w:w="616"/>
        <w:gridCol w:w="529"/>
        <w:gridCol w:w="934"/>
        <w:gridCol w:w="616"/>
        <w:gridCol w:w="530"/>
        <w:gridCol w:w="616"/>
        <w:gridCol w:w="616"/>
        <w:gridCol w:w="536"/>
        <w:gridCol w:w="576"/>
        <w:gridCol w:w="123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3"/>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市土地开发整理中心人员工资和经费项目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许昌市自然资源和规划局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419.23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419.23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419.23</w:t>
            </w:r>
          </w:p>
        </w:tc>
        <w:tc>
          <w:tcPr>
            <w:tcW w:type="auto" w:w="0"/>
            <w:tcBorders>
              <w:top w:val="nil"/>
              <w:left w:val="nil"/>
              <w:bottom w:val="nil"/>
              <w:right w:val="nil"/>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419.23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419.23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419.23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预算绩效管理满意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保障人员工资及经费及时足额发放</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人员工资及经费及时足额发放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保障人员经费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419.23万元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419.23万元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职工人数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工资经费足额发放率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薪酬支付及时率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保障单位职工基本生活水平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工资福利正常发放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职工满意率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82d895c5-3647-4ce8-93bc-9006e119de5f"/>
              <w:jc w:val="center"/>
              <w:rPr>
                <w:rFonts w:ascii="宋体" w:eastAsia="宋体" w:hAnsi="宋体" w:cs="宋体" w:hint="eastAsia"/>
                <w:i w:val="0"/>
                <w:iCs w:val="0"/>
                <w:color w:val="000000"/>
                <w:sz w:val="18"/>
                <w:szCs w:val="18"/>
                <w:u w:val="none"/>
              </w:rPr>
            </w:pPr>
          </w:p>
        </w:tc>
      </w:tr>
    </w:tbl>
    <w:p>
      <w:pPr>
        <w:pStyle w:val="Normal_82d895c5-3647-4ce8-93bc-9006e119de5f"/>
        <w:bidi w:val="0"/>
        <w:jc w:val="left"/>
        <w:rPr>
          <w:lang w:val="en-US" w:eastAsia="zh-CN"/>
        </w:rPr>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4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82d895c5-3647-4ce8-93bc-9006e119de5f">
    <w:name w:val="Normal_82d895c5-3647-4ce8-93bc-9006e119de5f"/>
    <w:qFormat/>
    <w:pPr>
      <w:widowControl w:val="0"/>
      <w:jc w:val="both"/>
    </w:pPr>
    <w:rPr>
      <w:rFonts w:ascii="Calibri" w:eastAsia="宋体" w:hAnsi="Calibri" w:cs="Times New Roman"/>
      <w:kern w:val="2"/>
      <w:sz w:val="21"/>
      <w:szCs w:val="24"/>
      <w:lang w:val="en-US" w:eastAsia="zh-CN" w:bidi="ar-SA"/>
    </w:rPr>
  </w:style>
  <w:style w:type="table" w:styleId="NormalTable_bdebbf81-a480-465a-b9bb-39e4bdb42e31">
    <w:name w:val="Normal Table_bdebbf81-a480-465a-b9bb-39e4bdb42e31"/>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