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许昌市自然资源和规划局经济技术开发区服务中心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许昌市自然资源和规划局经济技术开发区服务中心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许昌市自然资源和规划局经济技术开发区服务中心概况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（一）负责辖区内基础测绘、地籍测绘、行政区域界限测绘和其他重大测绘项目，指导监督测绘成果、质量管理和测绘成果资料汇交、审核重要地理信息数据。            </w:t>
        <w:br/>
        <w:t xml:space="preserve">    （二）负责规划区内建设项目规划方案的初审、论证及上报工作:负责辖区内详细规划、专项规划、城市设计、建设工程设计方案等初审工作，为前期研究、技术审核、初步论证等工作提供技术服务;协助分局做好规划审批工作。</w:t>
        <w:br/>
        <w:t xml:space="preserve">    （三）负责对国土空间规划编制、实施管理政策进行研究，为规划管理工作提供技术保障;协助分局做好辖区内国土空间规划和建设项目日常规划管理工作。</w:t>
        <w:br/>
        <w:t xml:space="preserve">    （四）负责辖区内不动产登记前期工作，承担辖区内建设项目档案管理、查询服务等工作，做好不动产权属争议、纠纷、矛盾协调处理。</w:t>
        <w:br/>
        <w:t xml:space="preserve">    （五）协助分局做好辖区内自然资源基础调查、变更调查、动态监测及自然资源专项调查监测工作。</w:t>
        <w:br/>
        <w:t xml:space="preserve">    （六）协助分局做好自然资源国土空间用途管制、调查监测评价、自然资源有偿使用及合理开发利用:协助分局做好辖区内土地资源开发、整理、复垦、监督管理工作;协助分局做好造林绿化工作。</w:t>
        <w:br/>
        <w:t xml:space="preserve">    （七）负责辖区内耕地保护和基本农田保护工作，严格落实耕地保护及各类自然资源保护地监督管理制度，做好国土空间生态修复工作。承担辖区内自然资源巡查职责，及时发现和制止土地、矿产等自然资源违法行为，协助分局处理自然资源违法违规案件及其他事务性工作，配合分局做好自然资源信访工作。许昌市自然资源和规划局经济技术开发区服务中心是正科级参公管理事业单位，主要负责宣传和贯彻执行中央、省、市有关城乡规划的法律、法规、规章及方针、政策；负责拟订辖区城乡规划编制计划；负责组织编制辖区内分区规划、控制性详细规划、城市设计、专项规划、重要地块修建性详细规划，并负责所编制规划的论证及上报工作；负责辖区内建设项目规划方案的初审、论证及上报工作；负责辖区内建设项目的批后监管工作；做好本辖区城建重点项目的谋划、规划技术服务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许昌市自然资源和规划局经济技术开发区服务中心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许昌市自然资源和规划局经济技术开发区服务中心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许昌市自然资源和规划局经济技术开发区服务中心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单位：许昌市自然资源和规划局经济技术开发区服务中心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140.35</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5.33</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12.39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7.14</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110.55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6.28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140.35</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141.68</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8.35</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7.02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148.70</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148.70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单位：许昌市自然资源和规划局经济技术开发区服务中心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140.35</w:t>
            </w:r>
          </w:p>
        </w:tc>
        <w:tc>
          <w:tcPr>
            <w:tcW w:w="1440" w:type="dxa"/>
            <w:tcBorders/>
            <w:vAlign w:val="center"/>
          </w:tcPr>
          <w:p>
            <w:pPr>
              <w:jc w:val="right"/>
            </w:pPr>
            <w:r>
              <w:rPr>
                <w:rFonts w:ascii="宋体" w:eastAsia="宋体" w:hAnsi="宋体" w:cs="宋体"/>
                <w:b/>
                <w:i w:val="0"/>
                <w:color w:val="000000"/>
                <w:sz w:val="17"/>
              </w:rPr>
              <w:t xml:space="preserve">140.35</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5.33</w:t>
            </w:r>
          </w:p>
        </w:tc>
        <w:tc>
          <w:tcPr>
            <w:tcW w:w="1440" w:type="dxa"/>
            <w:tcBorders/>
            <w:vAlign w:val="center"/>
          </w:tcPr>
          <w:p>
            <w:pPr>
              <w:jc w:val="right"/>
            </w:pPr>
            <w:r>
              <w:rPr>
                <w:rFonts w:ascii="宋体" w:eastAsia="宋体" w:hAnsi="宋体" w:cs="宋体"/>
                <w:b w:val="0"/>
                <w:i w:val="0"/>
                <w:color w:val="000000"/>
                <w:sz w:val="17"/>
              </w:rPr>
              <w:t xml:space="preserve">5.33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0.55</w:t>
            </w:r>
          </w:p>
        </w:tc>
        <w:tc>
          <w:tcPr>
            <w:tcW w:w="1440" w:type="dxa"/>
            <w:tcBorders/>
            <w:vAlign w:val="center"/>
          </w:tcPr>
          <w:p>
            <w:pPr>
              <w:jc w:val="right"/>
            </w:pPr>
            <w:r>
              <w:rPr>
                <w:rFonts w:ascii="宋体" w:eastAsia="宋体" w:hAnsi="宋体" w:cs="宋体"/>
                <w:b w:val="0"/>
                <w:i w:val="0"/>
                <w:color w:val="000000"/>
                <w:sz w:val="17"/>
              </w:rPr>
              <w:t xml:space="preserve">0.55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0.55</w:t>
            </w:r>
          </w:p>
        </w:tc>
        <w:tc>
          <w:tcPr>
            <w:tcW w:w="1440" w:type="dxa"/>
            <w:tcBorders/>
            <w:vAlign w:val="center"/>
          </w:tcPr>
          <w:p>
            <w:pPr>
              <w:jc w:val="right"/>
            </w:pPr>
            <w:r>
              <w:rPr>
                <w:rFonts w:ascii="宋体" w:eastAsia="宋体" w:hAnsi="宋体" w:cs="宋体"/>
                <w:b w:val="0"/>
                <w:i w:val="0"/>
                <w:color w:val="000000"/>
                <w:sz w:val="17"/>
              </w:rPr>
              <w:t xml:space="preserve">0.55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4.78</w:t>
            </w:r>
          </w:p>
        </w:tc>
        <w:tc>
          <w:tcPr>
            <w:tcW w:w="1440" w:type="dxa"/>
            <w:tcBorders/>
            <w:vAlign w:val="center"/>
          </w:tcPr>
          <w:p>
            <w:pPr>
              <w:jc w:val="right"/>
            </w:pPr>
            <w:r>
              <w:rPr>
                <w:rFonts w:ascii="宋体" w:eastAsia="宋体" w:hAnsi="宋体" w:cs="宋体"/>
                <w:b w:val="0"/>
                <w:i w:val="0"/>
                <w:color w:val="000000"/>
                <w:sz w:val="17"/>
              </w:rPr>
              <w:t xml:space="preserve">4.78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4.78</w:t>
            </w:r>
          </w:p>
        </w:tc>
        <w:tc>
          <w:tcPr>
            <w:tcW w:w="1440" w:type="dxa"/>
            <w:tcBorders/>
            <w:vAlign w:val="center"/>
          </w:tcPr>
          <w:p>
            <w:pPr>
              <w:jc w:val="right"/>
            </w:pPr>
            <w:r>
              <w:rPr>
                <w:rFonts w:ascii="宋体" w:eastAsia="宋体" w:hAnsi="宋体" w:cs="宋体"/>
                <w:b w:val="0"/>
                <w:i w:val="0"/>
                <w:color w:val="000000"/>
                <w:sz w:val="17"/>
              </w:rPr>
              <w:t xml:space="preserve">4.78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12.39</w:t>
            </w:r>
          </w:p>
        </w:tc>
        <w:tc>
          <w:tcPr>
            <w:tcW w:w="1440" w:type="dxa"/>
            <w:tcBorders/>
            <w:vAlign w:val="center"/>
          </w:tcPr>
          <w:p>
            <w:pPr>
              <w:jc w:val="right"/>
            </w:pPr>
            <w:r>
              <w:rPr>
                <w:rFonts w:ascii="宋体" w:eastAsia="宋体" w:hAnsi="宋体" w:cs="宋体"/>
                <w:b w:val="0"/>
                <w:i w:val="0"/>
                <w:color w:val="000000"/>
                <w:sz w:val="17"/>
              </w:rPr>
              <w:t xml:space="preserve">12.39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12.39</w:t>
            </w:r>
          </w:p>
        </w:tc>
        <w:tc>
          <w:tcPr>
            <w:tcW w:w="1440" w:type="dxa"/>
            <w:tcBorders/>
            <w:vAlign w:val="center"/>
          </w:tcPr>
          <w:p>
            <w:pPr>
              <w:jc w:val="right"/>
            </w:pPr>
            <w:r>
              <w:rPr>
                <w:rFonts w:ascii="宋体" w:eastAsia="宋体" w:hAnsi="宋体" w:cs="宋体"/>
                <w:b w:val="0"/>
                <w:i w:val="0"/>
                <w:color w:val="000000"/>
                <w:sz w:val="17"/>
              </w:rPr>
              <w:t xml:space="preserve">12.39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5.61</w:t>
            </w:r>
          </w:p>
        </w:tc>
        <w:tc>
          <w:tcPr>
            <w:tcW w:w="1440" w:type="dxa"/>
            <w:tcBorders/>
            <w:vAlign w:val="center"/>
          </w:tcPr>
          <w:p>
            <w:pPr>
              <w:jc w:val="right"/>
            </w:pPr>
            <w:r>
              <w:rPr>
                <w:rFonts w:ascii="宋体" w:eastAsia="宋体" w:hAnsi="宋体" w:cs="宋体"/>
                <w:b w:val="0"/>
                <w:i w:val="0"/>
                <w:color w:val="000000"/>
                <w:sz w:val="17"/>
              </w:rPr>
              <w:t xml:space="preserve">5.61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6.79</w:t>
            </w:r>
          </w:p>
        </w:tc>
        <w:tc>
          <w:tcPr>
            <w:tcW w:w="1440" w:type="dxa"/>
            <w:tcBorders/>
            <w:vAlign w:val="center"/>
          </w:tcPr>
          <w:p>
            <w:pPr>
              <w:jc w:val="right"/>
            </w:pPr>
            <w:r>
              <w:rPr>
                <w:rFonts w:ascii="宋体" w:eastAsia="宋体" w:hAnsi="宋体" w:cs="宋体"/>
                <w:b w:val="0"/>
                <w:i w:val="0"/>
                <w:color w:val="000000"/>
                <w:sz w:val="17"/>
              </w:rPr>
              <w:t xml:space="preserve">6.79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7.14</w:t>
            </w:r>
          </w:p>
        </w:tc>
        <w:tc>
          <w:tcPr>
            <w:tcW w:w="1440" w:type="dxa"/>
            <w:tcBorders/>
            <w:vAlign w:val="center"/>
          </w:tcPr>
          <w:p>
            <w:pPr>
              <w:jc w:val="right"/>
            </w:pPr>
            <w:r>
              <w:rPr>
                <w:rFonts w:ascii="宋体" w:eastAsia="宋体" w:hAnsi="宋体" w:cs="宋体"/>
                <w:b w:val="0"/>
                <w:i w:val="0"/>
                <w:color w:val="000000"/>
                <w:sz w:val="17"/>
              </w:rPr>
              <w:t xml:space="preserve">7.14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7.14</w:t>
            </w:r>
          </w:p>
        </w:tc>
        <w:tc>
          <w:tcPr>
            <w:tcW w:w="1440" w:type="dxa"/>
            <w:tcBorders/>
            <w:vAlign w:val="center"/>
          </w:tcPr>
          <w:p>
            <w:pPr>
              <w:jc w:val="right"/>
            </w:pPr>
            <w:r>
              <w:rPr>
                <w:rFonts w:ascii="宋体" w:eastAsia="宋体" w:hAnsi="宋体" w:cs="宋体"/>
                <w:b w:val="0"/>
                <w:i w:val="0"/>
                <w:color w:val="000000"/>
                <w:sz w:val="17"/>
              </w:rPr>
              <w:t xml:space="preserve">7.14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3.38</w:t>
            </w:r>
          </w:p>
        </w:tc>
        <w:tc>
          <w:tcPr>
            <w:tcW w:w="1440" w:type="dxa"/>
            <w:tcBorders/>
            <w:vAlign w:val="center"/>
          </w:tcPr>
          <w:p>
            <w:pPr>
              <w:jc w:val="right"/>
            </w:pPr>
            <w:r>
              <w:rPr>
                <w:rFonts w:ascii="宋体" w:eastAsia="宋体" w:hAnsi="宋体" w:cs="宋体"/>
                <w:b w:val="0"/>
                <w:i w:val="0"/>
                <w:color w:val="000000"/>
                <w:sz w:val="17"/>
              </w:rPr>
              <w:t xml:space="preserve">3.38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3.76</w:t>
            </w:r>
          </w:p>
        </w:tc>
        <w:tc>
          <w:tcPr>
            <w:tcW w:w="1440" w:type="dxa"/>
            <w:tcBorders/>
            <w:vAlign w:val="center"/>
          </w:tcPr>
          <w:p>
            <w:pPr>
              <w:jc w:val="right"/>
            </w:pPr>
            <w:r>
              <w:rPr>
                <w:rFonts w:ascii="宋体" w:eastAsia="宋体" w:hAnsi="宋体" w:cs="宋体"/>
                <w:b w:val="0"/>
                <w:i w:val="0"/>
                <w:color w:val="000000"/>
                <w:sz w:val="17"/>
              </w:rPr>
              <w:t xml:space="preserve">3.76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城乡社区支出</w:t>
            </w:r>
          </w:p>
        </w:tc>
        <w:tc>
          <w:tcPr>
            <w:tcW w:w="1440" w:type="dxa"/>
            <w:tcBorders/>
            <w:vAlign w:val="center"/>
          </w:tcPr>
          <w:p>
            <w:pPr>
              <w:jc w:val="right"/>
            </w:pPr>
            <w:r>
              <w:rPr>
                <w:rFonts w:ascii="宋体" w:eastAsia="宋体" w:hAnsi="宋体" w:cs="宋体"/>
                <w:b w:val="0"/>
                <w:i w:val="0"/>
                <w:color w:val="000000"/>
                <w:sz w:val="17"/>
              </w:rPr>
              <w:t xml:space="preserve">109.22</w:t>
            </w:r>
          </w:p>
        </w:tc>
        <w:tc>
          <w:tcPr>
            <w:tcW w:w="1440" w:type="dxa"/>
            <w:tcBorders/>
            <w:vAlign w:val="center"/>
          </w:tcPr>
          <w:p>
            <w:pPr>
              <w:jc w:val="right"/>
            </w:pPr>
            <w:r>
              <w:rPr>
                <w:rFonts w:ascii="宋体" w:eastAsia="宋体" w:hAnsi="宋体" w:cs="宋体"/>
                <w:b w:val="0"/>
                <w:i w:val="0"/>
                <w:color w:val="000000"/>
                <w:sz w:val="17"/>
              </w:rPr>
              <w:t xml:space="preserve">109.22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城乡社区管理事务</w:t>
            </w:r>
          </w:p>
        </w:tc>
        <w:tc>
          <w:tcPr>
            <w:tcW w:w="1440" w:type="dxa"/>
            <w:tcBorders/>
            <w:vAlign w:val="center"/>
          </w:tcPr>
          <w:p>
            <w:pPr>
              <w:jc w:val="right"/>
            </w:pPr>
            <w:r>
              <w:rPr>
                <w:rFonts w:ascii="宋体" w:eastAsia="宋体" w:hAnsi="宋体" w:cs="宋体"/>
                <w:b w:val="0"/>
                <w:i w:val="0"/>
                <w:color w:val="000000"/>
                <w:sz w:val="17"/>
              </w:rPr>
              <w:t xml:space="preserve">109.22</w:t>
            </w:r>
          </w:p>
        </w:tc>
        <w:tc>
          <w:tcPr>
            <w:tcW w:w="1440" w:type="dxa"/>
            <w:tcBorders/>
            <w:vAlign w:val="center"/>
          </w:tcPr>
          <w:p>
            <w:pPr>
              <w:jc w:val="right"/>
            </w:pPr>
            <w:r>
              <w:rPr>
                <w:rFonts w:ascii="宋体" w:eastAsia="宋体" w:hAnsi="宋体" w:cs="宋体"/>
                <w:b w:val="0"/>
                <w:i w:val="0"/>
                <w:color w:val="000000"/>
                <w:sz w:val="17"/>
              </w:rPr>
              <w:t xml:space="preserve">109.22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109.22</w:t>
            </w:r>
          </w:p>
        </w:tc>
        <w:tc>
          <w:tcPr>
            <w:tcW w:w="1440" w:type="dxa"/>
            <w:tcBorders/>
            <w:vAlign w:val="center"/>
          </w:tcPr>
          <w:p>
            <w:pPr>
              <w:jc w:val="right"/>
            </w:pPr>
            <w:r>
              <w:rPr>
                <w:rFonts w:ascii="宋体" w:eastAsia="宋体" w:hAnsi="宋体" w:cs="宋体"/>
                <w:b w:val="0"/>
                <w:i w:val="0"/>
                <w:color w:val="000000"/>
                <w:sz w:val="17"/>
              </w:rPr>
              <w:t xml:space="preserve">109.22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6.28</w:t>
            </w:r>
          </w:p>
        </w:tc>
        <w:tc>
          <w:tcPr>
            <w:tcW w:w="1440" w:type="dxa"/>
            <w:tcBorders/>
            <w:vAlign w:val="center"/>
          </w:tcPr>
          <w:p>
            <w:pPr>
              <w:jc w:val="right"/>
            </w:pPr>
            <w:r>
              <w:rPr>
                <w:rFonts w:ascii="宋体" w:eastAsia="宋体" w:hAnsi="宋体" w:cs="宋体"/>
                <w:b w:val="0"/>
                <w:i w:val="0"/>
                <w:color w:val="000000"/>
                <w:sz w:val="17"/>
              </w:rPr>
              <w:t xml:space="preserve">6.28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6.28</w:t>
            </w:r>
          </w:p>
        </w:tc>
        <w:tc>
          <w:tcPr>
            <w:tcW w:w="1440" w:type="dxa"/>
            <w:tcBorders/>
            <w:vAlign w:val="center"/>
          </w:tcPr>
          <w:p>
            <w:pPr>
              <w:jc w:val="right"/>
            </w:pPr>
            <w:r>
              <w:rPr>
                <w:rFonts w:ascii="宋体" w:eastAsia="宋体" w:hAnsi="宋体" w:cs="宋体"/>
                <w:b w:val="0"/>
                <w:i w:val="0"/>
                <w:color w:val="000000"/>
                <w:sz w:val="17"/>
              </w:rPr>
              <w:t xml:space="preserve">6.28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6.28</w:t>
            </w:r>
          </w:p>
        </w:tc>
        <w:tc>
          <w:tcPr>
            <w:tcW w:w="1440" w:type="dxa"/>
            <w:tcBorders/>
            <w:vAlign w:val="center"/>
          </w:tcPr>
          <w:p>
            <w:pPr>
              <w:jc w:val="right"/>
            </w:pPr>
            <w:r>
              <w:rPr>
                <w:rFonts w:ascii="宋体" w:eastAsia="宋体" w:hAnsi="宋体" w:cs="宋体"/>
                <w:b w:val="0"/>
                <w:i w:val="0"/>
                <w:color w:val="000000"/>
                <w:sz w:val="17"/>
              </w:rPr>
              <w:t xml:space="preserve">6.28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单位：许昌市自然资源和规划局经济技术开发区服务中心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141.68</w:t>
            </w:r>
          </w:p>
        </w:tc>
        <w:tc>
          <w:tcPr>
            <w:tcW w:w="1600" w:type="dxa"/>
            <w:tcBorders/>
            <w:vAlign w:val="center"/>
          </w:tcPr>
          <w:p>
            <w:pPr>
              <w:jc w:val="right"/>
            </w:pPr>
            <w:r>
              <w:rPr>
                <w:rFonts w:ascii="宋体" w:eastAsia="宋体" w:hAnsi="宋体" w:cs="宋体"/>
                <w:b/>
                <w:i w:val="0"/>
                <w:color w:val="000000"/>
                <w:sz w:val="19"/>
              </w:rPr>
              <w:t xml:space="preserve">141.68</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5.33</w:t>
            </w:r>
          </w:p>
        </w:tc>
        <w:tc>
          <w:tcPr>
            <w:tcW w:w="1600" w:type="dxa"/>
            <w:tcBorders/>
            <w:vAlign w:val="center"/>
          </w:tcPr>
          <w:p>
            <w:pPr>
              <w:jc w:val="right"/>
            </w:pPr>
            <w:r>
              <w:rPr>
                <w:rFonts w:ascii="宋体" w:eastAsia="宋体" w:hAnsi="宋体" w:cs="宋体"/>
                <w:b w:val="0"/>
                <w:i w:val="0"/>
                <w:color w:val="000000"/>
                <w:sz w:val="19"/>
              </w:rPr>
              <w:t xml:space="preserve">5.33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0.55</w:t>
            </w:r>
          </w:p>
        </w:tc>
        <w:tc>
          <w:tcPr>
            <w:tcW w:w="1600" w:type="dxa"/>
            <w:tcBorders/>
            <w:vAlign w:val="center"/>
          </w:tcPr>
          <w:p>
            <w:pPr>
              <w:jc w:val="right"/>
            </w:pPr>
            <w:r>
              <w:rPr>
                <w:rFonts w:ascii="宋体" w:eastAsia="宋体" w:hAnsi="宋体" w:cs="宋体"/>
                <w:b w:val="0"/>
                <w:i w:val="0"/>
                <w:color w:val="000000"/>
                <w:sz w:val="19"/>
              </w:rPr>
              <w:t xml:space="preserve">0.55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0.55</w:t>
            </w:r>
          </w:p>
        </w:tc>
        <w:tc>
          <w:tcPr>
            <w:tcW w:w="1600" w:type="dxa"/>
            <w:tcBorders/>
            <w:vAlign w:val="center"/>
          </w:tcPr>
          <w:p>
            <w:pPr>
              <w:jc w:val="right"/>
            </w:pPr>
            <w:r>
              <w:rPr>
                <w:rFonts w:ascii="宋体" w:eastAsia="宋体" w:hAnsi="宋体" w:cs="宋体"/>
                <w:b w:val="0"/>
                <w:i w:val="0"/>
                <w:color w:val="000000"/>
                <w:sz w:val="19"/>
              </w:rPr>
              <w:t xml:space="preserve">0.55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4.78</w:t>
            </w:r>
          </w:p>
        </w:tc>
        <w:tc>
          <w:tcPr>
            <w:tcW w:w="1600" w:type="dxa"/>
            <w:tcBorders/>
            <w:vAlign w:val="center"/>
          </w:tcPr>
          <w:p>
            <w:pPr>
              <w:jc w:val="right"/>
            </w:pPr>
            <w:r>
              <w:rPr>
                <w:rFonts w:ascii="宋体" w:eastAsia="宋体" w:hAnsi="宋体" w:cs="宋体"/>
                <w:b w:val="0"/>
                <w:i w:val="0"/>
                <w:color w:val="000000"/>
                <w:sz w:val="19"/>
              </w:rPr>
              <w:t xml:space="preserve">4.78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4.78</w:t>
            </w:r>
          </w:p>
        </w:tc>
        <w:tc>
          <w:tcPr>
            <w:tcW w:w="1600" w:type="dxa"/>
            <w:tcBorders/>
            <w:vAlign w:val="center"/>
          </w:tcPr>
          <w:p>
            <w:pPr>
              <w:jc w:val="right"/>
            </w:pPr>
            <w:r>
              <w:rPr>
                <w:rFonts w:ascii="宋体" w:eastAsia="宋体" w:hAnsi="宋体" w:cs="宋体"/>
                <w:b w:val="0"/>
                <w:i w:val="0"/>
                <w:color w:val="000000"/>
                <w:sz w:val="19"/>
              </w:rPr>
              <w:t xml:space="preserve">4.78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12.39</w:t>
            </w:r>
          </w:p>
        </w:tc>
        <w:tc>
          <w:tcPr>
            <w:tcW w:w="1600" w:type="dxa"/>
            <w:tcBorders/>
            <w:vAlign w:val="center"/>
          </w:tcPr>
          <w:p>
            <w:pPr>
              <w:jc w:val="right"/>
            </w:pPr>
            <w:r>
              <w:rPr>
                <w:rFonts w:ascii="宋体" w:eastAsia="宋体" w:hAnsi="宋体" w:cs="宋体"/>
                <w:b w:val="0"/>
                <w:i w:val="0"/>
                <w:color w:val="000000"/>
                <w:sz w:val="19"/>
              </w:rPr>
              <w:t xml:space="preserve">12.39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12.39</w:t>
            </w:r>
          </w:p>
        </w:tc>
        <w:tc>
          <w:tcPr>
            <w:tcW w:w="1600" w:type="dxa"/>
            <w:tcBorders/>
            <w:vAlign w:val="center"/>
          </w:tcPr>
          <w:p>
            <w:pPr>
              <w:jc w:val="right"/>
            </w:pPr>
            <w:r>
              <w:rPr>
                <w:rFonts w:ascii="宋体" w:eastAsia="宋体" w:hAnsi="宋体" w:cs="宋体"/>
                <w:b w:val="0"/>
                <w:i w:val="0"/>
                <w:color w:val="000000"/>
                <w:sz w:val="19"/>
              </w:rPr>
              <w:t xml:space="preserve">12.39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5.61</w:t>
            </w:r>
          </w:p>
        </w:tc>
        <w:tc>
          <w:tcPr>
            <w:tcW w:w="1600" w:type="dxa"/>
            <w:tcBorders/>
            <w:vAlign w:val="center"/>
          </w:tcPr>
          <w:p>
            <w:pPr>
              <w:jc w:val="right"/>
            </w:pPr>
            <w:r>
              <w:rPr>
                <w:rFonts w:ascii="宋体" w:eastAsia="宋体" w:hAnsi="宋体" w:cs="宋体"/>
                <w:b w:val="0"/>
                <w:i w:val="0"/>
                <w:color w:val="000000"/>
                <w:sz w:val="19"/>
              </w:rPr>
              <w:t xml:space="preserve">5.61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6.79</w:t>
            </w:r>
          </w:p>
        </w:tc>
        <w:tc>
          <w:tcPr>
            <w:tcW w:w="1600" w:type="dxa"/>
            <w:tcBorders/>
            <w:vAlign w:val="center"/>
          </w:tcPr>
          <w:p>
            <w:pPr>
              <w:jc w:val="right"/>
            </w:pPr>
            <w:r>
              <w:rPr>
                <w:rFonts w:ascii="宋体" w:eastAsia="宋体" w:hAnsi="宋体" w:cs="宋体"/>
                <w:b w:val="0"/>
                <w:i w:val="0"/>
                <w:color w:val="000000"/>
                <w:sz w:val="19"/>
              </w:rPr>
              <w:t xml:space="preserve">6.79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7.14</w:t>
            </w:r>
          </w:p>
        </w:tc>
        <w:tc>
          <w:tcPr>
            <w:tcW w:w="1600" w:type="dxa"/>
            <w:tcBorders/>
            <w:vAlign w:val="center"/>
          </w:tcPr>
          <w:p>
            <w:pPr>
              <w:jc w:val="right"/>
            </w:pPr>
            <w:r>
              <w:rPr>
                <w:rFonts w:ascii="宋体" w:eastAsia="宋体" w:hAnsi="宋体" w:cs="宋体"/>
                <w:b w:val="0"/>
                <w:i w:val="0"/>
                <w:color w:val="000000"/>
                <w:sz w:val="19"/>
              </w:rPr>
              <w:t xml:space="preserve">7.14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7.14</w:t>
            </w:r>
          </w:p>
        </w:tc>
        <w:tc>
          <w:tcPr>
            <w:tcW w:w="1600" w:type="dxa"/>
            <w:tcBorders/>
            <w:vAlign w:val="center"/>
          </w:tcPr>
          <w:p>
            <w:pPr>
              <w:jc w:val="right"/>
            </w:pPr>
            <w:r>
              <w:rPr>
                <w:rFonts w:ascii="宋体" w:eastAsia="宋体" w:hAnsi="宋体" w:cs="宋体"/>
                <w:b w:val="0"/>
                <w:i w:val="0"/>
                <w:color w:val="000000"/>
                <w:sz w:val="19"/>
              </w:rPr>
              <w:t xml:space="preserve">7.14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3.38</w:t>
            </w:r>
          </w:p>
        </w:tc>
        <w:tc>
          <w:tcPr>
            <w:tcW w:w="1600" w:type="dxa"/>
            <w:tcBorders/>
            <w:vAlign w:val="center"/>
          </w:tcPr>
          <w:p>
            <w:pPr>
              <w:jc w:val="right"/>
            </w:pPr>
            <w:r>
              <w:rPr>
                <w:rFonts w:ascii="宋体" w:eastAsia="宋体" w:hAnsi="宋体" w:cs="宋体"/>
                <w:b w:val="0"/>
                <w:i w:val="0"/>
                <w:color w:val="000000"/>
                <w:sz w:val="19"/>
              </w:rPr>
              <w:t xml:space="preserve">3.38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3.76</w:t>
            </w:r>
          </w:p>
        </w:tc>
        <w:tc>
          <w:tcPr>
            <w:tcW w:w="1600" w:type="dxa"/>
            <w:tcBorders/>
            <w:vAlign w:val="center"/>
          </w:tcPr>
          <w:p>
            <w:pPr>
              <w:jc w:val="right"/>
            </w:pPr>
            <w:r>
              <w:rPr>
                <w:rFonts w:ascii="宋体" w:eastAsia="宋体" w:hAnsi="宋体" w:cs="宋体"/>
                <w:b w:val="0"/>
                <w:i w:val="0"/>
                <w:color w:val="000000"/>
                <w:sz w:val="19"/>
              </w:rPr>
              <w:t xml:space="preserve">3.76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城乡社区支出</w:t>
            </w:r>
          </w:p>
        </w:tc>
        <w:tc>
          <w:tcPr>
            <w:tcW w:w="1600" w:type="dxa"/>
            <w:tcBorders/>
            <w:vAlign w:val="center"/>
          </w:tcPr>
          <w:p>
            <w:pPr>
              <w:jc w:val="right"/>
            </w:pPr>
            <w:r>
              <w:rPr>
                <w:rFonts w:ascii="宋体" w:eastAsia="宋体" w:hAnsi="宋体" w:cs="宋体"/>
                <w:b w:val="0"/>
                <w:i w:val="0"/>
                <w:color w:val="000000"/>
                <w:sz w:val="19"/>
              </w:rPr>
              <w:t xml:space="preserve">110.55</w:t>
            </w:r>
          </w:p>
        </w:tc>
        <w:tc>
          <w:tcPr>
            <w:tcW w:w="1600" w:type="dxa"/>
            <w:tcBorders/>
            <w:vAlign w:val="center"/>
          </w:tcPr>
          <w:p>
            <w:pPr>
              <w:jc w:val="right"/>
            </w:pPr>
            <w:r>
              <w:rPr>
                <w:rFonts w:ascii="宋体" w:eastAsia="宋体" w:hAnsi="宋体" w:cs="宋体"/>
                <w:b w:val="0"/>
                <w:i w:val="0"/>
                <w:color w:val="000000"/>
                <w:sz w:val="19"/>
              </w:rPr>
              <w:t xml:space="preserve">110.55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城乡社区管理事务</w:t>
            </w:r>
          </w:p>
        </w:tc>
        <w:tc>
          <w:tcPr>
            <w:tcW w:w="1600" w:type="dxa"/>
            <w:tcBorders/>
            <w:vAlign w:val="center"/>
          </w:tcPr>
          <w:p>
            <w:pPr>
              <w:jc w:val="right"/>
            </w:pPr>
            <w:r>
              <w:rPr>
                <w:rFonts w:ascii="宋体" w:eastAsia="宋体" w:hAnsi="宋体" w:cs="宋体"/>
                <w:b w:val="0"/>
                <w:i w:val="0"/>
                <w:color w:val="000000"/>
                <w:sz w:val="19"/>
              </w:rPr>
              <w:t xml:space="preserve">109.22</w:t>
            </w:r>
          </w:p>
        </w:tc>
        <w:tc>
          <w:tcPr>
            <w:tcW w:w="1600" w:type="dxa"/>
            <w:tcBorders/>
            <w:vAlign w:val="center"/>
          </w:tcPr>
          <w:p>
            <w:pPr>
              <w:jc w:val="right"/>
            </w:pPr>
            <w:r>
              <w:rPr>
                <w:rFonts w:ascii="宋体" w:eastAsia="宋体" w:hAnsi="宋体" w:cs="宋体"/>
                <w:b w:val="0"/>
                <w:i w:val="0"/>
                <w:color w:val="000000"/>
                <w:sz w:val="19"/>
              </w:rPr>
              <w:t xml:space="preserve">109.22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109.22</w:t>
            </w:r>
          </w:p>
        </w:tc>
        <w:tc>
          <w:tcPr>
            <w:tcW w:w="1600" w:type="dxa"/>
            <w:tcBorders/>
            <w:vAlign w:val="center"/>
          </w:tcPr>
          <w:p>
            <w:pPr>
              <w:jc w:val="right"/>
            </w:pPr>
            <w:r>
              <w:rPr>
                <w:rFonts w:ascii="宋体" w:eastAsia="宋体" w:hAnsi="宋体" w:cs="宋体"/>
                <w:b w:val="0"/>
                <w:i w:val="0"/>
                <w:color w:val="000000"/>
                <w:sz w:val="19"/>
              </w:rPr>
              <w:t xml:space="preserve">109.22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其他城乡社区支出</w:t>
            </w:r>
          </w:p>
        </w:tc>
        <w:tc>
          <w:tcPr>
            <w:tcW w:w="1600" w:type="dxa"/>
            <w:tcBorders/>
            <w:vAlign w:val="center"/>
          </w:tcPr>
          <w:p>
            <w:pPr>
              <w:jc w:val="right"/>
            </w:pPr>
            <w:r>
              <w:rPr>
                <w:rFonts w:ascii="宋体" w:eastAsia="宋体" w:hAnsi="宋体" w:cs="宋体"/>
                <w:b w:val="0"/>
                <w:i w:val="0"/>
                <w:color w:val="000000"/>
                <w:sz w:val="19"/>
              </w:rPr>
              <w:t xml:space="preserve">1.33</w:t>
            </w:r>
          </w:p>
        </w:tc>
        <w:tc>
          <w:tcPr>
            <w:tcW w:w="1600" w:type="dxa"/>
            <w:tcBorders/>
            <w:vAlign w:val="center"/>
          </w:tcPr>
          <w:p>
            <w:pPr>
              <w:jc w:val="right"/>
            </w:pPr>
            <w:r>
              <w:rPr>
                <w:rFonts w:ascii="宋体" w:eastAsia="宋体" w:hAnsi="宋体" w:cs="宋体"/>
                <w:b w:val="0"/>
                <w:i w:val="0"/>
                <w:color w:val="000000"/>
                <w:sz w:val="19"/>
              </w:rPr>
              <w:t xml:space="preserve">1.33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其他城乡社区支出</w:t>
            </w:r>
          </w:p>
        </w:tc>
        <w:tc>
          <w:tcPr>
            <w:tcW w:w="1600" w:type="dxa"/>
            <w:tcBorders/>
            <w:vAlign w:val="center"/>
          </w:tcPr>
          <w:p>
            <w:pPr>
              <w:jc w:val="right"/>
            </w:pPr>
            <w:r>
              <w:rPr>
                <w:rFonts w:ascii="宋体" w:eastAsia="宋体" w:hAnsi="宋体" w:cs="宋体"/>
                <w:b w:val="0"/>
                <w:i w:val="0"/>
                <w:color w:val="000000"/>
                <w:sz w:val="19"/>
              </w:rPr>
              <w:t xml:space="preserve">1.33</w:t>
            </w:r>
          </w:p>
        </w:tc>
        <w:tc>
          <w:tcPr>
            <w:tcW w:w="1600" w:type="dxa"/>
            <w:tcBorders/>
            <w:vAlign w:val="center"/>
          </w:tcPr>
          <w:p>
            <w:pPr>
              <w:jc w:val="right"/>
            </w:pPr>
            <w:r>
              <w:rPr>
                <w:rFonts w:ascii="宋体" w:eastAsia="宋体" w:hAnsi="宋体" w:cs="宋体"/>
                <w:b w:val="0"/>
                <w:i w:val="0"/>
                <w:color w:val="000000"/>
                <w:sz w:val="19"/>
              </w:rPr>
              <w:t xml:space="preserve">1.33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6.28</w:t>
            </w:r>
          </w:p>
        </w:tc>
        <w:tc>
          <w:tcPr>
            <w:tcW w:w="1600" w:type="dxa"/>
            <w:tcBorders/>
            <w:vAlign w:val="center"/>
          </w:tcPr>
          <w:p>
            <w:pPr>
              <w:jc w:val="right"/>
            </w:pPr>
            <w:r>
              <w:rPr>
                <w:rFonts w:ascii="宋体" w:eastAsia="宋体" w:hAnsi="宋体" w:cs="宋体"/>
                <w:b w:val="0"/>
                <w:i w:val="0"/>
                <w:color w:val="000000"/>
                <w:sz w:val="19"/>
              </w:rPr>
              <w:t xml:space="preserve">6.28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6.28</w:t>
            </w:r>
          </w:p>
        </w:tc>
        <w:tc>
          <w:tcPr>
            <w:tcW w:w="1600" w:type="dxa"/>
            <w:tcBorders/>
            <w:vAlign w:val="center"/>
          </w:tcPr>
          <w:p>
            <w:pPr>
              <w:jc w:val="right"/>
            </w:pPr>
            <w:r>
              <w:rPr>
                <w:rFonts w:ascii="宋体" w:eastAsia="宋体" w:hAnsi="宋体" w:cs="宋体"/>
                <w:b w:val="0"/>
                <w:i w:val="0"/>
                <w:color w:val="000000"/>
                <w:sz w:val="19"/>
              </w:rPr>
              <w:t xml:space="preserve">6.28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6.28</w:t>
            </w:r>
          </w:p>
        </w:tc>
        <w:tc>
          <w:tcPr>
            <w:tcW w:w="1600" w:type="dxa"/>
            <w:tcBorders/>
            <w:vAlign w:val="center"/>
          </w:tcPr>
          <w:p>
            <w:pPr>
              <w:jc w:val="right"/>
            </w:pPr>
            <w:r>
              <w:rPr>
                <w:rFonts w:ascii="宋体" w:eastAsia="宋体" w:hAnsi="宋体" w:cs="宋体"/>
                <w:b w:val="0"/>
                <w:i w:val="0"/>
                <w:color w:val="000000"/>
                <w:sz w:val="19"/>
              </w:rPr>
              <w:t xml:space="preserve">6.28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单位：许昌市自然资源和规划局经济技术开发区服务中心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140.35</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5.33</w:t>
            </w:r>
          </w:p>
        </w:tc>
        <w:tc>
          <w:tcPr>
            <w:tcW w:w="1420" w:type="dxa"/>
            <w:tcBorders/>
            <w:vAlign w:val="center"/>
          </w:tcPr>
          <w:p>
            <w:pPr>
              <w:jc w:val="right"/>
            </w:pPr>
            <w:r>
              <w:rPr>
                <w:rFonts w:ascii="宋体" w:eastAsia="宋体" w:hAnsi="宋体" w:cs="宋体"/>
                <w:b w:val="0"/>
                <w:i w:val="0"/>
                <w:color w:val="000000"/>
                <w:sz w:val="18"/>
              </w:rPr>
              <w:t xml:space="preserve">5.33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12.39</w:t>
            </w:r>
          </w:p>
        </w:tc>
        <w:tc>
          <w:tcPr>
            <w:tcW w:w="1420" w:type="dxa"/>
            <w:tcBorders/>
            <w:vAlign w:val="center"/>
          </w:tcPr>
          <w:p>
            <w:pPr>
              <w:jc w:val="right"/>
            </w:pPr>
            <w:r>
              <w:rPr>
                <w:rFonts w:ascii="宋体" w:eastAsia="宋体" w:hAnsi="宋体" w:cs="宋体"/>
                <w:b w:val="0"/>
                <w:i w:val="0"/>
                <w:color w:val="000000"/>
                <w:sz w:val="18"/>
              </w:rPr>
              <w:t xml:space="preserve">12.39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7.14</w:t>
            </w:r>
          </w:p>
        </w:tc>
        <w:tc>
          <w:tcPr>
            <w:tcW w:w="1420" w:type="dxa"/>
            <w:tcBorders/>
            <w:vAlign w:val="center"/>
          </w:tcPr>
          <w:p>
            <w:pPr>
              <w:jc w:val="right"/>
            </w:pPr>
            <w:r>
              <w:rPr>
                <w:rFonts w:ascii="宋体" w:eastAsia="宋体" w:hAnsi="宋体" w:cs="宋体"/>
                <w:b w:val="0"/>
                <w:i w:val="0"/>
                <w:color w:val="000000"/>
                <w:sz w:val="18"/>
              </w:rPr>
              <w:t xml:space="preserve">7.14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109.22</w:t>
            </w:r>
          </w:p>
        </w:tc>
        <w:tc>
          <w:tcPr>
            <w:tcW w:w="1420" w:type="dxa"/>
            <w:tcBorders/>
            <w:vAlign w:val="center"/>
          </w:tcPr>
          <w:p>
            <w:pPr>
              <w:jc w:val="right"/>
            </w:pPr>
            <w:r>
              <w:rPr>
                <w:rFonts w:ascii="宋体" w:eastAsia="宋体" w:hAnsi="宋体" w:cs="宋体"/>
                <w:b w:val="0"/>
                <w:i w:val="0"/>
                <w:color w:val="000000"/>
                <w:sz w:val="18"/>
              </w:rPr>
              <w:t xml:space="preserve">109.22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6.28</w:t>
            </w:r>
          </w:p>
        </w:tc>
        <w:tc>
          <w:tcPr>
            <w:tcW w:w="1420" w:type="dxa"/>
            <w:tcBorders/>
            <w:vAlign w:val="center"/>
          </w:tcPr>
          <w:p>
            <w:pPr>
              <w:jc w:val="right"/>
            </w:pPr>
            <w:r>
              <w:rPr>
                <w:rFonts w:ascii="宋体" w:eastAsia="宋体" w:hAnsi="宋体" w:cs="宋体"/>
                <w:b w:val="0"/>
                <w:i w:val="0"/>
                <w:color w:val="000000"/>
                <w:sz w:val="18"/>
              </w:rPr>
              <w:t xml:space="preserve">6.28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140.35</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140.35</w:t>
            </w:r>
          </w:p>
        </w:tc>
        <w:tc>
          <w:tcPr>
            <w:tcW w:w="1420" w:type="dxa"/>
            <w:tcBorders/>
            <w:vAlign w:val="center"/>
          </w:tcPr>
          <w:p>
            <w:pPr>
              <w:jc w:val="right"/>
            </w:pPr>
            <w:r>
              <w:rPr>
                <w:rFonts w:ascii="宋体" w:eastAsia="宋体" w:hAnsi="宋体" w:cs="宋体"/>
                <w:b w:val="0"/>
                <w:i w:val="0"/>
                <w:color w:val="000000"/>
                <w:sz w:val="18"/>
              </w:rPr>
              <w:t xml:space="preserve">140.35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140.35</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140.35</w:t>
            </w:r>
          </w:p>
        </w:tc>
        <w:tc>
          <w:tcPr>
            <w:tcW w:w="1420" w:type="dxa"/>
            <w:tcBorders/>
            <w:vAlign w:val="center"/>
          </w:tcPr>
          <w:p>
            <w:pPr>
              <w:jc w:val="right"/>
            </w:pPr>
            <w:r>
              <w:rPr>
                <w:rFonts w:ascii="宋体" w:eastAsia="宋体" w:hAnsi="宋体" w:cs="宋体"/>
                <w:b w:val="0"/>
                <w:i w:val="0"/>
                <w:color w:val="000000"/>
                <w:sz w:val="18"/>
              </w:rPr>
              <w:t xml:space="preserve">140.35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单位：许昌市自然资源和规划局经济技术开发区服务中心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140.35</w:t>
            </w:r>
          </w:p>
        </w:tc>
        <w:tc>
          <w:tcPr>
            <w:tcW w:w="2700" w:type="dxa"/>
            <w:tcBorders/>
            <w:vAlign w:val="center"/>
          </w:tcPr>
          <w:p>
            <w:pPr>
              <w:jc w:val="right"/>
            </w:pPr>
            <w:r>
              <w:rPr>
                <w:rFonts w:ascii="宋体" w:eastAsia="宋体" w:hAnsi="宋体" w:cs="宋体"/>
                <w:b/>
                <w:i w:val="0"/>
                <w:color w:val="000000"/>
                <w:sz w:val="25"/>
              </w:rPr>
              <w:t xml:space="preserve">140.35</w:t>
            </w:r>
          </w:p>
        </w:tc>
        <w:tc>
          <w:tcPr>
            <w:tcW w:w="2658" w:type="dxa"/>
            <w:tcBorders/>
            <w:vAlign w:val="center"/>
          </w:tcPr>
          <w:p>
            <w:pPr>
              <w:jc w:val="right"/>
            </w:pPr>
            <w:r>
              <w:rPr>
                <w:rFonts w:ascii="宋体" w:eastAsia="宋体" w:hAnsi="宋体" w:cs="宋体"/>
                <w:b/>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5.33</w:t>
            </w:r>
          </w:p>
        </w:tc>
        <w:tc>
          <w:tcPr>
            <w:tcW w:w="2700" w:type="dxa"/>
            <w:tcBorders/>
            <w:vAlign w:val="center"/>
          </w:tcPr>
          <w:p>
            <w:pPr>
              <w:jc w:val="right"/>
            </w:pPr>
            <w:r>
              <w:rPr>
                <w:rFonts w:ascii="宋体" w:eastAsia="宋体" w:hAnsi="宋体" w:cs="宋体"/>
                <w:b w:val="0"/>
                <w:i w:val="0"/>
                <w:color w:val="000000"/>
                <w:sz w:val="25"/>
              </w:rPr>
              <w:t xml:space="preserve">5.33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0.55</w:t>
            </w:r>
          </w:p>
        </w:tc>
        <w:tc>
          <w:tcPr>
            <w:tcW w:w="2700" w:type="dxa"/>
            <w:tcBorders/>
            <w:vAlign w:val="center"/>
          </w:tcPr>
          <w:p>
            <w:pPr>
              <w:jc w:val="right"/>
            </w:pPr>
            <w:r>
              <w:rPr>
                <w:rFonts w:ascii="宋体" w:eastAsia="宋体" w:hAnsi="宋体" w:cs="宋体"/>
                <w:b w:val="0"/>
                <w:i w:val="0"/>
                <w:color w:val="000000"/>
                <w:sz w:val="25"/>
              </w:rPr>
              <w:t xml:space="preserve">0.55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0.55</w:t>
            </w:r>
          </w:p>
        </w:tc>
        <w:tc>
          <w:tcPr>
            <w:tcW w:w="2700" w:type="dxa"/>
            <w:tcBorders/>
            <w:vAlign w:val="center"/>
          </w:tcPr>
          <w:p>
            <w:pPr>
              <w:jc w:val="right"/>
            </w:pPr>
            <w:r>
              <w:rPr>
                <w:rFonts w:ascii="宋体" w:eastAsia="宋体" w:hAnsi="宋体" w:cs="宋体"/>
                <w:b w:val="0"/>
                <w:i w:val="0"/>
                <w:color w:val="000000"/>
                <w:sz w:val="25"/>
              </w:rPr>
              <w:t xml:space="preserve">0.55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4.78</w:t>
            </w:r>
          </w:p>
        </w:tc>
        <w:tc>
          <w:tcPr>
            <w:tcW w:w="2700" w:type="dxa"/>
            <w:tcBorders/>
            <w:vAlign w:val="center"/>
          </w:tcPr>
          <w:p>
            <w:pPr>
              <w:jc w:val="right"/>
            </w:pPr>
            <w:r>
              <w:rPr>
                <w:rFonts w:ascii="宋体" w:eastAsia="宋体" w:hAnsi="宋体" w:cs="宋体"/>
                <w:b w:val="0"/>
                <w:i w:val="0"/>
                <w:color w:val="000000"/>
                <w:sz w:val="25"/>
              </w:rPr>
              <w:t xml:space="preserve">4.78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4.78</w:t>
            </w:r>
          </w:p>
        </w:tc>
        <w:tc>
          <w:tcPr>
            <w:tcW w:w="2700" w:type="dxa"/>
            <w:tcBorders/>
            <w:vAlign w:val="center"/>
          </w:tcPr>
          <w:p>
            <w:pPr>
              <w:jc w:val="right"/>
            </w:pPr>
            <w:r>
              <w:rPr>
                <w:rFonts w:ascii="宋体" w:eastAsia="宋体" w:hAnsi="宋体" w:cs="宋体"/>
                <w:b w:val="0"/>
                <w:i w:val="0"/>
                <w:color w:val="000000"/>
                <w:sz w:val="25"/>
              </w:rPr>
              <w:t xml:space="preserve">4.78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12.39</w:t>
            </w:r>
          </w:p>
        </w:tc>
        <w:tc>
          <w:tcPr>
            <w:tcW w:w="2700" w:type="dxa"/>
            <w:tcBorders/>
            <w:vAlign w:val="center"/>
          </w:tcPr>
          <w:p>
            <w:pPr>
              <w:jc w:val="right"/>
            </w:pPr>
            <w:r>
              <w:rPr>
                <w:rFonts w:ascii="宋体" w:eastAsia="宋体" w:hAnsi="宋体" w:cs="宋体"/>
                <w:b w:val="0"/>
                <w:i w:val="0"/>
                <w:color w:val="000000"/>
                <w:sz w:val="25"/>
              </w:rPr>
              <w:t xml:space="preserve">12.39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12.39</w:t>
            </w:r>
          </w:p>
        </w:tc>
        <w:tc>
          <w:tcPr>
            <w:tcW w:w="2700" w:type="dxa"/>
            <w:tcBorders/>
            <w:vAlign w:val="center"/>
          </w:tcPr>
          <w:p>
            <w:pPr>
              <w:jc w:val="right"/>
            </w:pPr>
            <w:r>
              <w:rPr>
                <w:rFonts w:ascii="宋体" w:eastAsia="宋体" w:hAnsi="宋体" w:cs="宋体"/>
                <w:b w:val="0"/>
                <w:i w:val="0"/>
                <w:color w:val="000000"/>
                <w:sz w:val="25"/>
              </w:rPr>
              <w:t xml:space="preserve">12.39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5.61</w:t>
            </w:r>
          </w:p>
        </w:tc>
        <w:tc>
          <w:tcPr>
            <w:tcW w:w="2700" w:type="dxa"/>
            <w:tcBorders/>
            <w:vAlign w:val="center"/>
          </w:tcPr>
          <w:p>
            <w:pPr>
              <w:jc w:val="right"/>
            </w:pPr>
            <w:r>
              <w:rPr>
                <w:rFonts w:ascii="宋体" w:eastAsia="宋体" w:hAnsi="宋体" w:cs="宋体"/>
                <w:b w:val="0"/>
                <w:i w:val="0"/>
                <w:color w:val="000000"/>
                <w:sz w:val="25"/>
              </w:rPr>
              <w:t xml:space="preserve">5.61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6.79</w:t>
            </w:r>
          </w:p>
        </w:tc>
        <w:tc>
          <w:tcPr>
            <w:tcW w:w="2700" w:type="dxa"/>
            <w:tcBorders/>
            <w:vAlign w:val="center"/>
          </w:tcPr>
          <w:p>
            <w:pPr>
              <w:jc w:val="right"/>
            </w:pPr>
            <w:r>
              <w:rPr>
                <w:rFonts w:ascii="宋体" w:eastAsia="宋体" w:hAnsi="宋体" w:cs="宋体"/>
                <w:b w:val="0"/>
                <w:i w:val="0"/>
                <w:color w:val="000000"/>
                <w:sz w:val="25"/>
              </w:rPr>
              <w:t xml:space="preserve">6.79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7.14</w:t>
            </w:r>
          </w:p>
        </w:tc>
        <w:tc>
          <w:tcPr>
            <w:tcW w:w="2700" w:type="dxa"/>
            <w:tcBorders/>
            <w:vAlign w:val="center"/>
          </w:tcPr>
          <w:p>
            <w:pPr>
              <w:jc w:val="right"/>
            </w:pPr>
            <w:r>
              <w:rPr>
                <w:rFonts w:ascii="宋体" w:eastAsia="宋体" w:hAnsi="宋体" w:cs="宋体"/>
                <w:b w:val="0"/>
                <w:i w:val="0"/>
                <w:color w:val="000000"/>
                <w:sz w:val="25"/>
              </w:rPr>
              <w:t xml:space="preserve">7.14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7.14</w:t>
            </w:r>
          </w:p>
        </w:tc>
        <w:tc>
          <w:tcPr>
            <w:tcW w:w="2700" w:type="dxa"/>
            <w:tcBorders/>
            <w:vAlign w:val="center"/>
          </w:tcPr>
          <w:p>
            <w:pPr>
              <w:jc w:val="right"/>
            </w:pPr>
            <w:r>
              <w:rPr>
                <w:rFonts w:ascii="宋体" w:eastAsia="宋体" w:hAnsi="宋体" w:cs="宋体"/>
                <w:b w:val="0"/>
                <w:i w:val="0"/>
                <w:color w:val="000000"/>
                <w:sz w:val="25"/>
              </w:rPr>
              <w:t xml:space="preserve">7.14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3.38</w:t>
            </w:r>
          </w:p>
        </w:tc>
        <w:tc>
          <w:tcPr>
            <w:tcW w:w="2700" w:type="dxa"/>
            <w:tcBorders/>
            <w:vAlign w:val="center"/>
          </w:tcPr>
          <w:p>
            <w:pPr>
              <w:jc w:val="right"/>
            </w:pPr>
            <w:r>
              <w:rPr>
                <w:rFonts w:ascii="宋体" w:eastAsia="宋体" w:hAnsi="宋体" w:cs="宋体"/>
                <w:b w:val="0"/>
                <w:i w:val="0"/>
                <w:color w:val="000000"/>
                <w:sz w:val="25"/>
              </w:rPr>
              <w:t xml:space="preserve">3.38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3.76</w:t>
            </w:r>
          </w:p>
        </w:tc>
        <w:tc>
          <w:tcPr>
            <w:tcW w:w="2700" w:type="dxa"/>
            <w:tcBorders/>
            <w:vAlign w:val="center"/>
          </w:tcPr>
          <w:p>
            <w:pPr>
              <w:jc w:val="right"/>
            </w:pPr>
            <w:r>
              <w:rPr>
                <w:rFonts w:ascii="宋体" w:eastAsia="宋体" w:hAnsi="宋体" w:cs="宋体"/>
                <w:b w:val="0"/>
                <w:i w:val="0"/>
                <w:color w:val="000000"/>
                <w:sz w:val="25"/>
              </w:rPr>
              <w:t xml:space="preserve">3.76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城乡社区支出</w:t>
            </w:r>
          </w:p>
        </w:tc>
        <w:tc>
          <w:tcPr>
            <w:tcW w:w="2700" w:type="dxa"/>
            <w:tcBorders/>
            <w:vAlign w:val="center"/>
          </w:tcPr>
          <w:p>
            <w:pPr>
              <w:jc w:val="right"/>
            </w:pPr>
            <w:r>
              <w:rPr>
                <w:rFonts w:ascii="宋体" w:eastAsia="宋体" w:hAnsi="宋体" w:cs="宋体"/>
                <w:b w:val="0"/>
                <w:i w:val="0"/>
                <w:color w:val="000000"/>
                <w:sz w:val="25"/>
              </w:rPr>
              <w:t xml:space="preserve">109.22</w:t>
            </w:r>
          </w:p>
        </w:tc>
        <w:tc>
          <w:tcPr>
            <w:tcW w:w="2700" w:type="dxa"/>
            <w:tcBorders/>
            <w:vAlign w:val="center"/>
          </w:tcPr>
          <w:p>
            <w:pPr>
              <w:jc w:val="right"/>
            </w:pPr>
            <w:r>
              <w:rPr>
                <w:rFonts w:ascii="宋体" w:eastAsia="宋体" w:hAnsi="宋体" w:cs="宋体"/>
                <w:b w:val="0"/>
                <w:i w:val="0"/>
                <w:color w:val="000000"/>
                <w:sz w:val="25"/>
              </w:rPr>
              <w:t xml:space="preserve">109.22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城乡社区管理事务</w:t>
            </w:r>
          </w:p>
        </w:tc>
        <w:tc>
          <w:tcPr>
            <w:tcW w:w="2700" w:type="dxa"/>
            <w:tcBorders/>
            <w:vAlign w:val="center"/>
          </w:tcPr>
          <w:p>
            <w:pPr>
              <w:jc w:val="right"/>
            </w:pPr>
            <w:r>
              <w:rPr>
                <w:rFonts w:ascii="宋体" w:eastAsia="宋体" w:hAnsi="宋体" w:cs="宋体"/>
                <w:b w:val="0"/>
                <w:i w:val="0"/>
                <w:color w:val="000000"/>
                <w:sz w:val="25"/>
              </w:rPr>
              <w:t xml:space="preserve">109.22</w:t>
            </w:r>
          </w:p>
        </w:tc>
        <w:tc>
          <w:tcPr>
            <w:tcW w:w="2700" w:type="dxa"/>
            <w:tcBorders/>
            <w:vAlign w:val="center"/>
          </w:tcPr>
          <w:p>
            <w:pPr>
              <w:jc w:val="right"/>
            </w:pPr>
            <w:r>
              <w:rPr>
                <w:rFonts w:ascii="宋体" w:eastAsia="宋体" w:hAnsi="宋体" w:cs="宋体"/>
                <w:b w:val="0"/>
                <w:i w:val="0"/>
                <w:color w:val="000000"/>
                <w:sz w:val="25"/>
              </w:rPr>
              <w:t xml:space="preserve">109.22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109.22</w:t>
            </w:r>
          </w:p>
        </w:tc>
        <w:tc>
          <w:tcPr>
            <w:tcW w:w="2700" w:type="dxa"/>
            <w:tcBorders/>
            <w:vAlign w:val="center"/>
          </w:tcPr>
          <w:p>
            <w:pPr>
              <w:jc w:val="right"/>
            </w:pPr>
            <w:r>
              <w:rPr>
                <w:rFonts w:ascii="宋体" w:eastAsia="宋体" w:hAnsi="宋体" w:cs="宋体"/>
                <w:b w:val="0"/>
                <w:i w:val="0"/>
                <w:color w:val="000000"/>
                <w:sz w:val="25"/>
              </w:rPr>
              <w:t xml:space="preserve">109.22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6.28</w:t>
            </w:r>
          </w:p>
        </w:tc>
        <w:tc>
          <w:tcPr>
            <w:tcW w:w="2700" w:type="dxa"/>
            <w:tcBorders/>
            <w:vAlign w:val="center"/>
          </w:tcPr>
          <w:p>
            <w:pPr>
              <w:jc w:val="right"/>
            </w:pPr>
            <w:r>
              <w:rPr>
                <w:rFonts w:ascii="宋体" w:eastAsia="宋体" w:hAnsi="宋体" w:cs="宋体"/>
                <w:b w:val="0"/>
                <w:i w:val="0"/>
                <w:color w:val="000000"/>
                <w:sz w:val="25"/>
              </w:rPr>
              <w:t xml:space="preserve">6.28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6.28</w:t>
            </w:r>
          </w:p>
        </w:tc>
        <w:tc>
          <w:tcPr>
            <w:tcW w:w="2700" w:type="dxa"/>
            <w:tcBorders/>
            <w:vAlign w:val="center"/>
          </w:tcPr>
          <w:p>
            <w:pPr>
              <w:jc w:val="right"/>
            </w:pPr>
            <w:r>
              <w:rPr>
                <w:rFonts w:ascii="宋体" w:eastAsia="宋体" w:hAnsi="宋体" w:cs="宋体"/>
                <w:b w:val="0"/>
                <w:i w:val="0"/>
                <w:color w:val="000000"/>
                <w:sz w:val="25"/>
              </w:rPr>
              <w:t xml:space="preserve">6.28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6.28</w:t>
            </w:r>
          </w:p>
        </w:tc>
        <w:tc>
          <w:tcPr>
            <w:tcW w:w="2700" w:type="dxa"/>
            <w:tcBorders/>
            <w:vAlign w:val="center"/>
          </w:tcPr>
          <w:p>
            <w:pPr>
              <w:jc w:val="right"/>
            </w:pPr>
            <w:r>
              <w:rPr>
                <w:rFonts w:ascii="宋体" w:eastAsia="宋体" w:hAnsi="宋体" w:cs="宋体"/>
                <w:b w:val="0"/>
                <w:i w:val="0"/>
                <w:color w:val="000000"/>
                <w:sz w:val="25"/>
              </w:rPr>
              <w:t xml:space="preserve">6.28</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单位：许昌市自然资源和规划局经济技术开发区服务中心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121.40</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13.35</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29.08</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3.48</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40.47</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2.28</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31.50</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6.79</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0.09</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3.38</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3.76</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0.07</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0.34</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6.28</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0.08</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0.08</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5.61</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0.06</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5.61</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0.63</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0.55</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0.68</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5.15</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127.00</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13.35</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单位：许昌市自然资源和规划局经济技术开发区服务中心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单位：许昌市自然资源和规划局经济技术开发区服务中心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单位：许昌市自然资源和规划局经济技术开发区服务中心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148.70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增加18.44万元，增长14.16%</w:t>
      </w:r>
      <w:r>
        <w:rPr>
          <w:rFonts w:ascii="仿宋" w:eastAsia="仿宋" w:hAnsi="仿宋" w:cs="仿宋" w:hint="eastAsia"/>
          <w:kern w:val="0"/>
          <w:sz w:val="32"/>
          <w:szCs w:val="32"/>
          <w:lang w:val="en-US" w:eastAsia="zh-CN"/>
        </w:rPr>
        <w:t xml:space="preserve">。主要原因是2023年度在职人员、退休人员工资调标，2023年度业务量增加，工作经费增长。</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140.35</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财政拨款收入140.35万元，占100.00%；上级补助收入0.00万元，占0.00%；事业收入0.00万元，占0.00%；经营收入0.00万元，占0.00%；附属单位上缴收入0.00万元，占0.00%；其他收入0.00万元，占0.00%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141.68</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基本支出141.68万元，占100.00%；项目支出0.00万元，占0.00%；上缴上级支出0.00万元，占0.00%；经营支出0.00万元，占0.00%；对附属单位补助支出0.00万元，占0.00%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140.35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增加22.35万元，增长18.94%</w:t>
      </w:r>
      <w:r>
        <w:rPr>
          <w:rFonts w:ascii="仿宋" w:eastAsia="仿宋" w:hAnsi="仿宋" w:cs="仿宋" w:hint="eastAsia"/>
          <w:kern w:val="0"/>
          <w:sz w:val="32"/>
          <w:szCs w:val="32"/>
          <w:lang w:val="en-US" w:eastAsia="zh-CN"/>
        </w:rPr>
        <w:t xml:space="preserve">。主要原因是2023年度在职人员、退休人员工资调标，2023年度业务量增加，工作经费增长。</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140.35</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99.06</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增加22.35万元，增长18.94%</w:t>
      </w:r>
      <w:r>
        <w:rPr>
          <w:rFonts w:ascii="仿宋" w:eastAsia="仿宋" w:hAnsi="仿宋" w:cs="仿宋" w:hint="eastAsia"/>
          <w:kern w:val="0"/>
          <w:sz w:val="32"/>
          <w:szCs w:val="32"/>
          <w:lang w:val="en-US" w:eastAsia="zh-CN"/>
        </w:rPr>
        <w:t xml:space="preserve">。主要原因是2023年度在职人员、退休人员工资调标，2023年度业务量增加，工作经费增长。</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140.35</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一般公共服务支出（类）5.33万元，占3.80%；社会保障和就业支出（类）12.39万元，占8.83%；卫生健康支出（类）7.14万元，占5.09%；城乡社区支出（类）109.22万元，占77.82%；住房保障支出（类）6.28万元，占4.47%</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122.99</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140.35</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114.11</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年初预算数为0.55万元，决算数0.55万元,完成年初预算的100.00%，决算数与年初预算数不存在差异。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年初预算数为0.00万元，决算数4.78万元,决算数与年初预算数存在差异的主要原因是在职人员工资调标，人员经费增加，发放2021年度平安建设奖。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3.社会保障和就业支出（类）行政事业单位养老支出（款）行政单位离退休（项）</w:t>
      </w:r>
      <w:r>
        <w:rPr>
          <w:rFonts w:ascii="仿宋" w:eastAsia="仿宋" w:hAnsi="仿宋" w:cs="仿宋" w:hint="default"/>
          <w:kern w:val="2"/>
          <w:sz w:val="32"/>
          <w:szCs w:val="32"/>
          <w:lang w:val="en-US" w:eastAsia="zh-CN"/>
        </w:rPr>
        <w:t xml:space="preserve">年初预算数为5.01万元，决算数5.61万元,完成年初预算的111.98%，决算数与年初预算数存在差异的主要原因是2023年度在职人员、退休人员工资调标。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年初预算数为6.98万元，决算数6.79万元,完成年初预算的97.28%，决算数与年初预算数存在差异的主要原因是社保基数调整，导致预决算存在差异。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5.卫生健康支出（类）行政事业单位医疗（款）行政单位医疗（项）</w:t>
      </w:r>
      <w:r>
        <w:rPr>
          <w:rFonts w:ascii="仿宋" w:eastAsia="仿宋" w:hAnsi="仿宋" w:cs="仿宋" w:hint="default"/>
          <w:kern w:val="2"/>
          <w:sz w:val="32"/>
          <w:szCs w:val="32"/>
          <w:lang w:val="en-US" w:eastAsia="zh-CN"/>
        </w:rPr>
        <w:t xml:space="preserve">年初预算数为3.40万元，决算数3.38万元,完成年初预算的99.41%，决算数与年初预算数存在差异的主要原因是社保基数调整，导致预决算存在差异。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6.卫生健康支出（类）行政事业单位医疗（款）公务员医疗补助（项）</w:t>
      </w:r>
      <w:r>
        <w:rPr>
          <w:rFonts w:ascii="仿宋" w:eastAsia="仿宋" w:hAnsi="仿宋" w:cs="仿宋" w:hint="default"/>
          <w:kern w:val="2"/>
          <w:sz w:val="32"/>
          <w:szCs w:val="32"/>
          <w:lang w:val="en-US" w:eastAsia="zh-CN"/>
        </w:rPr>
        <w:t xml:space="preserve">年初预算数为3.78万元，决算数3.76万元,完成年初预算的99.47%，决算数与年初预算数存在差异的主要原因是社保基数调整，导致预决算存在差异。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7.城乡社区支出（类）城乡社区管理事务（款）行政运行（项）</w:t>
      </w:r>
      <w:r>
        <w:rPr>
          <w:rFonts w:ascii="仿宋" w:eastAsia="仿宋" w:hAnsi="仿宋" w:cs="仿宋" w:hint="default"/>
          <w:kern w:val="2"/>
          <w:sz w:val="32"/>
          <w:szCs w:val="32"/>
          <w:lang w:val="en-US" w:eastAsia="zh-CN"/>
        </w:rPr>
        <w:t xml:space="preserve">年初预算数为96.80万元，决算数109.22万元,完成年初预算的112.83%，决算数与年初预算数存在差异的主要原因是2023年度在职人员、退休人员工资调标，2023年度业务量增加，工作经费增长。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8.住房保障支出（类）住房改革支出（款）住房公积金（项）</w:t>
      </w:r>
      <w:r>
        <w:rPr>
          <w:rFonts w:ascii="仿宋" w:eastAsia="仿宋" w:hAnsi="仿宋" w:cs="仿宋" w:hint="default"/>
          <w:kern w:val="2"/>
          <w:sz w:val="32"/>
          <w:szCs w:val="32"/>
          <w:lang w:val="en-US" w:eastAsia="zh-CN"/>
        </w:rPr>
        <w:t xml:space="preserve">年初预算数为6.48万元，决算数6.28万元,完成年初预算的96.91%，决算数与年初预算数存在差异的主要原因是我单位住房公积金基数每年7月调整，导致预决算存在差异。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140.35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其中：人员经费127.00万元，主要包括：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公用经费13.35万元，主要包括：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2023年度机关运行经费支出13.35万元，</w:t>
      </w:r>
      <w:r>
        <w:rPr>
          <w:rFonts w:ascii="仿宋" w:eastAsia="仿宋" w:hAnsi="仿宋" w:cs="仿宋" w:hint="eastAsia"/>
          <w:kern w:val="0"/>
          <w:sz w:val="32"/>
          <w:szCs w:val="32"/>
          <w:lang w:val="en-US" w:eastAsia="zh-CN"/>
        </w:rPr>
        <w:t xml:space="preserve">较2022年度增长3.43万元，</w:t>
      </w:r>
      <w:r>
        <w:rPr>
          <w:rFonts w:ascii="仿宋" w:eastAsia="仿宋" w:hAnsi="仿宋" w:cs="仿宋" w:hint="eastAsia"/>
          <w:kern w:val="0"/>
          <w:sz w:val="32"/>
          <w:szCs w:val="32"/>
          <w:lang w:val="en-US" w:eastAsia="zh-CN"/>
        </w:rPr>
        <w:t xml:space="preserve">增长34.58%，</w:t>
      </w:r>
      <w:r>
        <w:rPr>
          <w:rFonts w:ascii="仿宋" w:eastAsia="仿宋" w:hAnsi="仿宋" w:cs="仿宋" w:hint="eastAsia"/>
          <w:kern w:val="0"/>
          <w:sz w:val="32"/>
          <w:szCs w:val="32"/>
          <w:lang w:val="en-US" w:eastAsia="zh-CN"/>
        </w:rPr>
        <w:t xml:space="preserve">主要原因是2023年度业务量增加，工作经费增长。</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140.35</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97.3</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2023年度单位主要工作任务和目标是做好本辖区城建重点项目的谋划、规划技术服务工作及土地的保障工作，年度任务均已实现并完成较好，根据2023年年初设定的绩效目标，单位整体绩效自评为优，达到年初预期目标</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696a8513-ad3f-42c1-9ec2-cfcdb47fb50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616"/>
        <w:gridCol w:w="764"/>
        <w:gridCol w:w="544"/>
        <w:gridCol w:w="456"/>
        <w:gridCol w:w="1255"/>
        <w:gridCol w:w="789"/>
        <w:gridCol w:w="1019"/>
        <w:gridCol w:w="486"/>
        <w:gridCol w:w="576"/>
        <w:gridCol w:w="576"/>
        <w:gridCol w:w="545"/>
        <w:gridCol w:w="896"/>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3"/>
        </w:trPr>
        <w:tc>
          <w:tcPr>
            <w:tcW w:type="auto" w:w="0"/>
            <w:gridSpan w:val="12"/>
            <w:tcBorders>
              <w:top w:val="nil"/>
              <w:left w:val="nil"/>
              <w:bottom w:val="nil"/>
              <w:right w:val="nil"/>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单位整体自评表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单位名称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许昌市自然资源和规划局经济技术开发区服务中心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单位整体支出情况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单位预算总额（万元）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122.99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140.35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140.35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资金来源：（1）政府预算资金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122.99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140.35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140.35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（2）财政专户管理资金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（3）单位资金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5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负责宣传和贯彻执行中央、省、市有关自然资源的法律法规及方针政策,做好本辖区城建重点项目的谋划、规划技术服务工作及土地的保障工作。</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达到95%以上</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vMerge w:val="restart"/>
            <w:tcBorders>
              <w:top w:val="single" w:sz="4" w:space="0" w:color="000000"/>
              <w:left w:val="single" w:sz="4" w:space="0" w:color="000000"/>
              <w:bottom w:val="nil"/>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1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保障我区重点项目用地需求</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编制完成开发区成片开发方案</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达到95%以上</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10"/>
        </w:trPr>
        <w:tc>
          <w:tcPr>
            <w:vMerge/>
            <w:tcBorders>
              <w:top w:val="single" w:sz="4" w:space="0" w:color="000000"/>
              <w:left w:val="single" w:sz="4" w:space="0" w:color="000000"/>
              <w:bottom w:val="nil"/>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规划编制</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开发区建设项目规划方案的初审、论证及上报及批后监管工作</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达到94%以上</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0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投入管理指标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目标充分、内容合法合规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合理、清晰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完整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预算调整率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结转结余率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“三公经费”控制率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无三公经费预算</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决算真实性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真实</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健全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完善财务制度</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真实</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nil"/>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gridSpan w:val="2"/>
            <w:vMerge w:val="restart"/>
            <w:tcBorders>
              <w:top w:val="nil"/>
              <w:left w:val="single" w:sz="4" w:space="0" w:color="000000"/>
              <w:bottom w:val="single" w:sz="4" w:space="0" w:color="000000"/>
              <w:right w:val="nil"/>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绩效目标编制完成率</w:t>
            </w:r>
          </w:p>
        </w:tc>
        <w:tc>
          <w:tcPr>
            <w:tcW w:type="auto" w:w="0"/>
            <w:tcBorders>
              <w:top w:val="single" w:sz="4" w:space="0" w:color="000000"/>
              <w:left w:val="nil"/>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gridSpan w:val="2"/>
            <w:vMerge/>
            <w:tcBorders>
              <w:top w:val="nil"/>
              <w:left w:val="single" w:sz="4" w:space="0" w:color="000000"/>
              <w:bottom w:val="single" w:sz="4" w:space="0" w:color="000000"/>
              <w:right w:val="nil"/>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绩效监控完成率</w:t>
            </w:r>
          </w:p>
        </w:tc>
        <w:tc>
          <w:tcPr>
            <w:tcW w:type="auto" w:w="0"/>
            <w:tcBorders>
              <w:top w:val="single" w:sz="4" w:space="0" w:color="000000"/>
              <w:left w:val="nil"/>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gridSpan w:val="2"/>
            <w:vMerge/>
            <w:tcBorders>
              <w:top w:val="nil"/>
              <w:left w:val="single" w:sz="4" w:space="0" w:color="000000"/>
              <w:bottom w:val="single" w:sz="4" w:space="0" w:color="000000"/>
              <w:right w:val="nil"/>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绩效自评完成率</w:t>
            </w:r>
          </w:p>
        </w:tc>
        <w:tc>
          <w:tcPr>
            <w:tcW w:type="auto" w:w="0"/>
            <w:tcBorders>
              <w:top w:val="single" w:sz="4" w:space="0" w:color="000000"/>
              <w:left w:val="nil"/>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gridSpan w:val="2"/>
            <w:vMerge/>
            <w:tcBorders>
              <w:top w:val="nil"/>
              <w:left w:val="single" w:sz="4" w:space="0" w:color="000000"/>
              <w:bottom w:val="single" w:sz="4" w:space="0" w:color="000000"/>
              <w:right w:val="nil"/>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部门绩效评价完成率</w:t>
            </w:r>
          </w:p>
        </w:tc>
        <w:tc>
          <w:tcPr>
            <w:tcW w:type="auto" w:w="0"/>
            <w:tcBorders>
              <w:top w:val="single" w:sz="4" w:space="0" w:color="000000"/>
              <w:left w:val="nil"/>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加强绩效评价工作</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gridSpan w:val="2"/>
            <w:vMerge/>
            <w:tcBorders>
              <w:top w:val="nil"/>
              <w:left w:val="single" w:sz="4" w:space="0" w:color="000000"/>
              <w:bottom w:val="single" w:sz="4" w:space="0" w:color="000000"/>
              <w:right w:val="nil"/>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评价结果应用率</w:t>
            </w:r>
          </w:p>
        </w:tc>
        <w:tc>
          <w:tcPr>
            <w:tcW w:type="auto" w:w="0"/>
            <w:tcBorders>
              <w:top w:val="single" w:sz="4" w:space="0" w:color="000000"/>
              <w:left w:val="nil"/>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加强评价结果应用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开发区用地布局优化完成率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提升布局优化工作</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gridSpan w:val="2"/>
            <w:vMerge w:val="restart"/>
            <w:tcBorders>
              <w:top w:val="nil"/>
              <w:left w:val="single" w:sz="4" w:space="0" w:color="000000"/>
              <w:bottom w:val="nil"/>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土地审批实现率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gridSpan w:val="2"/>
            <w:vMerge/>
            <w:tcBorders>
              <w:top w:val="nil"/>
              <w:left w:val="single" w:sz="4" w:space="0" w:color="000000"/>
              <w:bottom w:val="nil"/>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开发区成片开发方案实现率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gridSpan w:val="2"/>
            <w:vMerge/>
            <w:tcBorders>
              <w:top w:val="nil"/>
              <w:left w:val="single" w:sz="4" w:space="0" w:color="000000"/>
              <w:bottom w:val="nil"/>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规划编制实现率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履职效益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提升自然资源规划工作水平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w:t>
            </w:r>
          </w:p>
        </w:tc>
        <w:tc>
          <w:tcPr>
            <w:tcW w:type="auto" w:w="0"/>
            <w:tcBorders>
              <w:top w:val="single" w:sz="4" w:space="0" w:color="000000"/>
              <w:left w:val="single" w:sz="4" w:space="0" w:color="000000"/>
              <w:bottom w:val="nil"/>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i w:val="0"/>
                <w:iCs w:val="0"/>
                <w:color w:val="000000"/>
                <w:kern w:val="0"/>
                <w:sz w:val="18"/>
                <w:szCs w:val="18"/>
                <w:u w:val="none"/>
                <w:lang w:val="en-US" w:eastAsia="zh-CN"/>
              </w:rPr>
              <w:t xml:space="preserve">9</w:t>
            </w:r>
            <w:r>
              <w:rPr>
                <w:rFonts w:ascii="宋体" w:eastAsia="宋体" w:hAnsi="宋体" w:cs="宋体" w:hint="eastAsia"/>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加强满意度</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服务对象满意度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i w:val="0"/>
                <w:iCs w:val="0"/>
                <w:color w:val="000000"/>
                <w:kern w:val="0"/>
                <w:sz w:val="18"/>
                <w:szCs w:val="18"/>
                <w:u w:val="none"/>
                <w:lang w:val="en-US" w:eastAsia="zh-CN"/>
              </w:rPr>
              <w:t xml:space="preserve">9</w:t>
            </w:r>
            <w:r>
              <w:rPr>
                <w:rFonts w:ascii="宋体" w:eastAsia="宋体" w:hAnsi="宋体" w:cs="宋体" w:hint="eastAsia"/>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加强满意度</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i w:val="0"/>
                <w:iCs w:val="0"/>
                <w:color w:val="000000"/>
                <w:kern w:val="0"/>
                <w:sz w:val="18"/>
                <w:szCs w:val="18"/>
                <w:u w:val="none"/>
                <w:lang w:val="en-US" w:eastAsia="zh-CN"/>
              </w:rPr>
              <w:t xml:space="preserve">9</w:t>
            </w:r>
            <w:r>
              <w:rPr>
                <w:rFonts w:ascii="宋体" w:eastAsia="宋体" w:hAnsi="宋体" w:cs="宋体" w:hint="eastAsia"/>
                <w:i w:val="0"/>
                <w:iCs w:val="0"/>
                <w:color w:val="000000"/>
                <w:kern w:val="0"/>
                <w:sz w:val="18"/>
                <w:szCs w:val="18"/>
                <w:u w:val="none"/>
                <w:lang w:val="en-US" w:eastAsia="zh-CN"/>
              </w:rPr>
              <w:t xml:space="preserve">7.3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ade5aa4-ca13-4423-ba62-47c51dbfdf9d"/>
              <w:rPr>
                <w:rFonts w:ascii="宋体" w:eastAsia="宋体" w:hAnsi="宋体" w:cs="宋体" w:hint="eastAsia"/>
                <w:i w:val="0"/>
                <w:iCs w:val="0"/>
                <w:color w:val="000000"/>
                <w:sz w:val="18"/>
                <w:szCs w:val="18"/>
                <w:u w:val="none"/>
              </w:rPr>
            </w:pPr>
          </w:p>
        </w:tc>
      </w:tr>
    </w:tbl>
    <w:p>
      <w:pPr>
        <w:pStyle w:val="Normal_0ade5aa4-ca13-4423-ba62-47c51dbfdf9d"/>
        <w:sectPr>
          <w:pgSz w:w="11906" w:h="16838" w:orient="portrait"/>
          <w:pgMar w:top="1440" w:right="1800" w:bottom="1440" w:left="1800" w:header="851" w:footer="992" w:gutter="0"/>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4"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58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0ade5aa4-ca13-4423-ba62-47c51dbfdf9d">
    <w:name w:val="Normal_0ade5aa4-ca13-4423-ba62-47c51dbfdf9d"/>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table" w:styleId="NormalTable_696a8513-ad3f-42c1-9ec2-cfcdb47fb503">
    <w:name w:val="Normal Table_696a8513-ad3f-42c1-9ec2-cfcdb47fb503"/>
    <w:semiHidden/>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2024-10-10T09:21:26Z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