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许昌市自然资源和规划局城乡一体化示范区服务中心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许昌市自然资源和规划局城乡一体化示范区服务中心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许昌市自然资源和规划局城乡一体化示范区服务中心概况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（一）负责辖区内基础测绘、地籍测绘、行政区域界限测绘和其他重大测绘项目，指导监督测绘成果、质量管理和测绘成果资料汇交、审核重要地理信息数据。</w:t>
        <w:br/>
        <w:t xml:space="preserve">    （二）负责辖区内自然资源信息系统的建设、管理、维护和技术指导工作，推进自然资源信息化建设，提供自然资源基础数据服务，提升自然资源信息化水平。</w:t>
        <w:br/>
        <w:t xml:space="preserve">    （三）负责规划区内建设项目规划方案的初审、论证及上报工作；负责辖区内单元控规、控制性详细规划、专项规划、城市设计、建设工程设计方案等初审工作，为前期研究、划审批工作。</w:t>
        <w:br/>
        <w:t xml:space="preserve">    （四）负责对国土空间规划编制、实施管理政策进行研究，为规划管理工作提供技术保障；协助分局做好辖区内国土空间规划和建设项目日常规划管理工作。</w:t>
        <w:br/>
        <w:t xml:space="preserve">    （五）负责辖区内不动产登记前期工作，承担辖区内建设项目档案管理、查询服务等工作，做好不动产权属争议、纠纷、矛盾协调处理。</w:t>
        <w:br/>
        <w:t xml:space="preserve">    （六）协助分局做好辖区内自然资源基础调查、变更调查、动态监测及自然资源专项调查监测工作。</w:t>
        <w:br/>
        <w:t xml:space="preserve">    （七）协助分局做好自然资源国土空间用途管制、调查监测评价、自然资源有偿使用及合理开发利用；协助分局做好辖区内土地资源开发、整理、复垦、监督管理工作；协助分局做好造林绿化工作。</w:t>
        <w:br/>
        <w:t xml:space="preserve">    （八）负责辖区内耕地保护和基本农田保护工作，严格落实耕地保护及各类自然资源保护地监督管理制度，做好国土空间生态修复工作。承担辖区内自然资源巡查职责，及时发现和制止土地、矿产等自然资源违法行为，协助分局处理自然资源违法违规案件及其他事务性工作，配合分局做好自然资源信访工作。</w:t>
        <w:br/>
        <w:t xml:space="preserve">    （九）协助分局做好地质灾害预防和治理、矿业权管理及矿产资源保护与监督工作。</w:t>
        <w:br/>
        <w:t xml:space="preserve">    （十）协助分局做好各类土地用途转用、征收征用报件的上报工作；协助开展防火巡护、火源管理、防火设施建设等工作；为城建重点项目提供规划技术服务工作。</w:t>
        <w:br/>
        <w:t xml:space="preserve">    (十一)承办市局交办协助分局的其他工作。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许昌市自然资源和规划局城乡一体化示范区服务中心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许昌市自然资源和规划局城乡一体化示范区服务中心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许昌市自然资源和规划局城乡一体化示范区服务中心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98.43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4.21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8.74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75.73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98.43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98.43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98.43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98.43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98.43</w:t>
            </w:r>
          </w:p>
        </w:tc>
        <w:tc>
          <w:tcPr>
            <w:tcW w:w="1440" w:type="dxa"/>
            <w:tcBorders/>
            <w:vAlign w:val="center"/>
          </w:tcPr>
          <w:p>
            <w:pPr>
              <w:jc w:val="right"/>
            </w:pPr>
            <w:r>
              <w:rPr>
                <w:rFonts w:ascii="宋体" w:eastAsia="宋体" w:hAnsi="宋体" w:cs="宋体"/>
                <w:b/>
                <w:i w:val="0"/>
                <w:color w:val="000000"/>
                <w:sz w:val="17"/>
              </w:rPr>
              <w:t xml:space="preserve">98.43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4.21</w:t>
            </w:r>
          </w:p>
        </w:tc>
        <w:tc>
          <w:tcPr>
            <w:tcW w:w="1440" w:type="dxa"/>
            <w:tcBorders/>
            <w:vAlign w:val="center"/>
          </w:tcPr>
          <w:p>
            <w:pPr>
              <w:jc w:val="right"/>
            </w:pPr>
            <w:r>
              <w:rPr>
                <w:rFonts w:ascii="宋体" w:eastAsia="宋体" w:hAnsi="宋体" w:cs="宋体"/>
                <w:b w:val="0"/>
                <w:i w:val="0"/>
                <w:color w:val="000000"/>
                <w:sz w:val="17"/>
              </w:rPr>
              <w:t xml:space="preserve">4.21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0.40</w:t>
            </w:r>
          </w:p>
        </w:tc>
        <w:tc>
          <w:tcPr>
            <w:tcW w:w="1440" w:type="dxa"/>
            <w:tcBorders/>
            <w:vAlign w:val="center"/>
          </w:tcPr>
          <w:p>
            <w:pPr>
              <w:jc w:val="right"/>
            </w:pPr>
            <w:r>
              <w:rPr>
                <w:rFonts w:ascii="宋体" w:eastAsia="宋体" w:hAnsi="宋体" w:cs="宋体"/>
                <w:b w:val="0"/>
                <w:i w:val="0"/>
                <w:color w:val="000000"/>
                <w:sz w:val="17"/>
              </w:rPr>
              <w:t xml:space="preserve">0.40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0.40</w:t>
            </w:r>
          </w:p>
        </w:tc>
        <w:tc>
          <w:tcPr>
            <w:tcW w:w="1440" w:type="dxa"/>
            <w:tcBorders/>
            <w:vAlign w:val="center"/>
          </w:tcPr>
          <w:p>
            <w:pPr>
              <w:jc w:val="right"/>
            </w:pPr>
            <w:r>
              <w:rPr>
                <w:rFonts w:ascii="宋体" w:eastAsia="宋体" w:hAnsi="宋体" w:cs="宋体"/>
                <w:b w:val="0"/>
                <w:i w:val="0"/>
                <w:color w:val="000000"/>
                <w:sz w:val="17"/>
              </w:rPr>
              <w:t xml:space="preserve">0.40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3.81</w:t>
            </w:r>
          </w:p>
        </w:tc>
        <w:tc>
          <w:tcPr>
            <w:tcW w:w="1440" w:type="dxa"/>
            <w:tcBorders/>
            <w:vAlign w:val="center"/>
          </w:tcPr>
          <w:p>
            <w:pPr>
              <w:jc w:val="right"/>
            </w:pPr>
            <w:r>
              <w:rPr>
                <w:rFonts w:ascii="宋体" w:eastAsia="宋体" w:hAnsi="宋体" w:cs="宋体"/>
                <w:b w:val="0"/>
                <w:i w:val="0"/>
                <w:color w:val="000000"/>
                <w:sz w:val="17"/>
              </w:rPr>
              <w:t xml:space="preserve">3.81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3.81</w:t>
            </w:r>
          </w:p>
        </w:tc>
        <w:tc>
          <w:tcPr>
            <w:tcW w:w="1440" w:type="dxa"/>
            <w:tcBorders/>
            <w:vAlign w:val="center"/>
          </w:tcPr>
          <w:p>
            <w:pPr>
              <w:jc w:val="right"/>
            </w:pPr>
            <w:r>
              <w:rPr>
                <w:rFonts w:ascii="宋体" w:eastAsia="宋体" w:hAnsi="宋体" w:cs="宋体"/>
                <w:b w:val="0"/>
                <w:i w:val="0"/>
                <w:color w:val="000000"/>
                <w:sz w:val="17"/>
              </w:rPr>
              <w:t xml:space="preserve">3.81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8.74</w:t>
            </w:r>
          </w:p>
        </w:tc>
        <w:tc>
          <w:tcPr>
            <w:tcW w:w="1440" w:type="dxa"/>
            <w:tcBorders/>
            <w:vAlign w:val="center"/>
          </w:tcPr>
          <w:p>
            <w:pPr>
              <w:jc w:val="right"/>
            </w:pPr>
            <w:r>
              <w:rPr>
                <w:rFonts w:ascii="宋体" w:eastAsia="宋体" w:hAnsi="宋体" w:cs="宋体"/>
                <w:b w:val="0"/>
                <w:i w:val="0"/>
                <w:color w:val="000000"/>
                <w:sz w:val="17"/>
              </w:rPr>
              <w:t xml:space="preserve">8.74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8.74</w:t>
            </w:r>
          </w:p>
        </w:tc>
        <w:tc>
          <w:tcPr>
            <w:tcW w:w="1440" w:type="dxa"/>
            <w:tcBorders/>
            <w:vAlign w:val="center"/>
          </w:tcPr>
          <w:p>
            <w:pPr>
              <w:jc w:val="right"/>
            </w:pPr>
            <w:r>
              <w:rPr>
                <w:rFonts w:ascii="宋体" w:eastAsia="宋体" w:hAnsi="宋体" w:cs="宋体"/>
                <w:b w:val="0"/>
                <w:i w:val="0"/>
                <w:color w:val="000000"/>
                <w:sz w:val="17"/>
              </w:rPr>
              <w:t xml:space="preserve">8.74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4.89</w:t>
            </w:r>
          </w:p>
        </w:tc>
        <w:tc>
          <w:tcPr>
            <w:tcW w:w="1440" w:type="dxa"/>
            <w:tcBorders/>
            <w:vAlign w:val="center"/>
          </w:tcPr>
          <w:p>
            <w:pPr>
              <w:jc w:val="right"/>
            </w:pPr>
            <w:r>
              <w:rPr>
                <w:rFonts w:ascii="宋体" w:eastAsia="宋体" w:hAnsi="宋体" w:cs="宋体"/>
                <w:b w:val="0"/>
                <w:i w:val="0"/>
                <w:color w:val="000000"/>
                <w:sz w:val="17"/>
              </w:rPr>
              <w:t xml:space="preserve">4.89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5.29</w:t>
            </w:r>
          </w:p>
        </w:tc>
        <w:tc>
          <w:tcPr>
            <w:tcW w:w="1440" w:type="dxa"/>
            <w:tcBorders/>
            <w:vAlign w:val="center"/>
          </w:tcPr>
          <w:p>
            <w:pPr>
              <w:jc w:val="right"/>
            </w:pPr>
            <w:r>
              <w:rPr>
                <w:rFonts w:ascii="宋体" w:eastAsia="宋体" w:hAnsi="宋体" w:cs="宋体"/>
                <w:b w:val="0"/>
                <w:i w:val="0"/>
                <w:color w:val="000000"/>
                <w:sz w:val="17"/>
              </w:rPr>
              <w:t xml:space="preserve">5.29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5.29</w:t>
            </w:r>
          </w:p>
        </w:tc>
        <w:tc>
          <w:tcPr>
            <w:tcW w:w="1440" w:type="dxa"/>
            <w:tcBorders/>
            <w:vAlign w:val="center"/>
          </w:tcPr>
          <w:p>
            <w:pPr>
              <w:jc w:val="right"/>
            </w:pPr>
            <w:r>
              <w:rPr>
                <w:rFonts w:ascii="宋体" w:eastAsia="宋体" w:hAnsi="宋体" w:cs="宋体"/>
                <w:b w:val="0"/>
                <w:i w:val="0"/>
                <w:color w:val="000000"/>
                <w:sz w:val="17"/>
              </w:rPr>
              <w:t xml:space="preserve">5.29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75.73</w:t>
            </w:r>
          </w:p>
        </w:tc>
        <w:tc>
          <w:tcPr>
            <w:tcW w:w="1440" w:type="dxa"/>
            <w:tcBorders/>
            <w:vAlign w:val="center"/>
          </w:tcPr>
          <w:p>
            <w:pPr>
              <w:jc w:val="right"/>
            </w:pPr>
            <w:r>
              <w:rPr>
                <w:rFonts w:ascii="宋体" w:eastAsia="宋体" w:hAnsi="宋体" w:cs="宋体"/>
                <w:b w:val="0"/>
                <w:i w:val="0"/>
                <w:color w:val="000000"/>
                <w:sz w:val="17"/>
              </w:rPr>
              <w:t xml:space="preserve">75.73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0.54</w:t>
            </w:r>
          </w:p>
        </w:tc>
        <w:tc>
          <w:tcPr>
            <w:tcW w:w="1440" w:type="dxa"/>
            <w:tcBorders/>
            <w:vAlign w:val="center"/>
          </w:tcPr>
          <w:p>
            <w:pPr>
              <w:jc w:val="right"/>
            </w:pPr>
            <w:r>
              <w:rPr>
                <w:rFonts w:ascii="宋体" w:eastAsia="宋体" w:hAnsi="宋体" w:cs="宋体"/>
                <w:b w:val="0"/>
                <w:i w:val="0"/>
                <w:color w:val="000000"/>
                <w:sz w:val="17"/>
              </w:rPr>
              <w:t xml:space="preserve">0.54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0.54</w:t>
            </w:r>
          </w:p>
        </w:tc>
        <w:tc>
          <w:tcPr>
            <w:tcW w:w="1440" w:type="dxa"/>
            <w:tcBorders/>
            <w:vAlign w:val="center"/>
          </w:tcPr>
          <w:p>
            <w:pPr>
              <w:jc w:val="right"/>
            </w:pPr>
            <w:r>
              <w:rPr>
                <w:rFonts w:ascii="宋体" w:eastAsia="宋体" w:hAnsi="宋体" w:cs="宋体"/>
                <w:b w:val="0"/>
                <w:i w:val="0"/>
                <w:color w:val="000000"/>
                <w:sz w:val="17"/>
              </w:rPr>
              <w:t xml:space="preserve">0.54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75.19</w:t>
            </w:r>
          </w:p>
        </w:tc>
        <w:tc>
          <w:tcPr>
            <w:tcW w:w="1440" w:type="dxa"/>
            <w:tcBorders/>
            <w:vAlign w:val="center"/>
          </w:tcPr>
          <w:p>
            <w:pPr>
              <w:jc w:val="right"/>
            </w:pPr>
            <w:r>
              <w:rPr>
                <w:rFonts w:ascii="宋体" w:eastAsia="宋体" w:hAnsi="宋体" w:cs="宋体"/>
                <w:b w:val="0"/>
                <w:i w:val="0"/>
                <w:color w:val="000000"/>
                <w:sz w:val="17"/>
              </w:rPr>
              <w:t xml:space="preserve">75.19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75.19</w:t>
            </w:r>
          </w:p>
        </w:tc>
        <w:tc>
          <w:tcPr>
            <w:tcW w:w="1440" w:type="dxa"/>
            <w:tcBorders/>
            <w:vAlign w:val="center"/>
          </w:tcPr>
          <w:p>
            <w:pPr>
              <w:jc w:val="right"/>
            </w:pPr>
            <w:r>
              <w:rPr>
                <w:rFonts w:ascii="宋体" w:eastAsia="宋体" w:hAnsi="宋体" w:cs="宋体"/>
                <w:b w:val="0"/>
                <w:i w:val="0"/>
                <w:color w:val="000000"/>
                <w:sz w:val="17"/>
              </w:rPr>
              <w:t xml:space="preserve">75.19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98.43</w:t>
            </w:r>
          </w:p>
        </w:tc>
        <w:tc>
          <w:tcPr>
            <w:tcW w:w="1600" w:type="dxa"/>
            <w:tcBorders/>
            <w:vAlign w:val="center"/>
          </w:tcPr>
          <w:p>
            <w:pPr>
              <w:jc w:val="right"/>
            </w:pPr>
            <w:r>
              <w:rPr>
                <w:rFonts w:ascii="宋体" w:eastAsia="宋体" w:hAnsi="宋体" w:cs="宋体"/>
                <w:b/>
                <w:i w:val="0"/>
                <w:color w:val="000000"/>
                <w:sz w:val="19"/>
              </w:rPr>
              <w:t xml:space="preserve">98.43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4.21</w:t>
            </w:r>
          </w:p>
        </w:tc>
        <w:tc>
          <w:tcPr>
            <w:tcW w:w="1600" w:type="dxa"/>
            <w:tcBorders/>
            <w:vAlign w:val="center"/>
          </w:tcPr>
          <w:p>
            <w:pPr>
              <w:jc w:val="right"/>
            </w:pPr>
            <w:r>
              <w:rPr>
                <w:rFonts w:ascii="宋体" w:eastAsia="宋体" w:hAnsi="宋体" w:cs="宋体"/>
                <w:b w:val="0"/>
                <w:i w:val="0"/>
                <w:color w:val="000000"/>
                <w:sz w:val="19"/>
              </w:rPr>
              <w:t xml:space="preserve">4.21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0.40</w:t>
            </w:r>
          </w:p>
        </w:tc>
        <w:tc>
          <w:tcPr>
            <w:tcW w:w="1600" w:type="dxa"/>
            <w:tcBorders/>
            <w:vAlign w:val="center"/>
          </w:tcPr>
          <w:p>
            <w:pPr>
              <w:jc w:val="right"/>
            </w:pPr>
            <w:r>
              <w:rPr>
                <w:rFonts w:ascii="宋体" w:eastAsia="宋体" w:hAnsi="宋体" w:cs="宋体"/>
                <w:b w:val="0"/>
                <w:i w:val="0"/>
                <w:color w:val="000000"/>
                <w:sz w:val="19"/>
              </w:rPr>
              <w:t xml:space="preserve">0.40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0.40</w:t>
            </w:r>
          </w:p>
        </w:tc>
        <w:tc>
          <w:tcPr>
            <w:tcW w:w="1600" w:type="dxa"/>
            <w:tcBorders/>
            <w:vAlign w:val="center"/>
          </w:tcPr>
          <w:p>
            <w:pPr>
              <w:jc w:val="right"/>
            </w:pPr>
            <w:r>
              <w:rPr>
                <w:rFonts w:ascii="宋体" w:eastAsia="宋体" w:hAnsi="宋体" w:cs="宋体"/>
                <w:b w:val="0"/>
                <w:i w:val="0"/>
                <w:color w:val="000000"/>
                <w:sz w:val="19"/>
              </w:rPr>
              <w:t xml:space="preserve">0.40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3.81</w:t>
            </w:r>
          </w:p>
        </w:tc>
        <w:tc>
          <w:tcPr>
            <w:tcW w:w="1600" w:type="dxa"/>
            <w:tcBorders/>
            <w:vAlign w:val="center"/>
          </w:tcPr>
          <w:p>
            <w:pPr>
              <w:jc w:val="right"/>
            </w:pPr>
            <w:r>
              <w:rPr>
                <w:rFonts w:ascii="宋体" w:eastAsia="宋体" w:hAnsi="宋体" w:cs="宋体"/>
                <w:b w:val="0"/>
                <w:i w:val="0"/>
                <w:color w:val="000000"/>
                <w:sz w:val="19"/>
              </w:rPr>
              <w:t xml:space="preserve">3.81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3.81</w:t>
            </w:r>
          </w:p>
        </w:tc>
        <w:tc>
          <w:tcPr>
            <w:tcW w:w="1600" w:type="dxa"/>
            <w:tcBorders/>
            <w:vAlign w:val="center"/>
          </w:tcPr>
          <w:p>
            <w:pPr>
              <w:jc w:val="right"/>
            </w:pPr>
            <w:r>
              <w:rPr>
                <w:rFonts w:ascii="宋体" w:eastAsia="宋体" w:hAnsi="宋体" w:cs="宋体"/>
                <w:b w:val="0"/>
                <w:i w:val="0"/>
                <w:color w:val="000000"/>
                <w:sz w:val="19"/>
              </w:rPr>
              <w:t xml:space="preserve">3.81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8.74</w:t>
            </w:r>
          </w:p>
        </w:tc>
        <w:tc>
          <w:tcPr>
            <w:tcW w:w="1600" w:type="dxa"/>
            <w:tcBorders/>
            <w:vAlign w:val="center"/>
          </w:tcPr>
          <w:p>
            <w:pPr>
              <w:jc w:val="right"/>
            </w:pPr>
            <w:r>
              <w:rPr>
                <w:rFonts w:ascii="宋体" w:eastAsia="宋体" w:hAnsi="宋体" w:cs="宋体"/>
                <w:b w:val="0"/>
                <w:i w:val="0"/>
                <w:color w:val="000000"/>
                <w:sz w:val="19"/>
              </w:rPr>
              <w:t xml:space="preserve">8.74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8.74</w:t>
            </w:r>
          </w:p>
        </w:tc>
        <w:tc>
          <w:tcPr>
            <w:tcW w:w="1600" w:type="dxa"/>
            <w:tcBorders/>
            <w:vAlign w:val="center"/>
          </w:tcPr>
          <w:p>
            <w:pPr>
              <w:jc w:val="right"/>
            </w:pPr>
            <w:r>
              <w:rPr>
                <w:rFonts w:ascii="宋体" w:eastAsia="宋体" w:hAnsi="宋体" w:cs="宋体"/>
                <w:b w:val="0"/>
                <w:i w:val="0"/>
                <w:color w:val="000000"/>
                <w:sz w:val="19"/>
              </w:rPr>
              <w:t xml:space="preserve">8.74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4.89</w:t>
            </w:r>
          </w:p>
        </w:tc>
        <w:tc>
          <w:tcPr>
            <w:tcW w:w="1600" w:type="dxa"/>
            <w:tcBorders/>
            <w:vAlign w:val="center"/>
          </w:tcPr>
          <w:p>
            <w:pPr>
              <w:jc w:val="right"/>
            </w:pPr>
            <w:r>
              <w:rPr>
                <w:rFonts w:ascii="宋体" w:eastAsia="宋体" w:hAnsi="宋体" w:cs="宋体"/>
                <w:b w:val="0"/>
                <w:i w:val="0"/>
                <w:color w:val="000000"/>
                <w:sz w:val="19"/>
              </w:rPr>
              <w:t xml:space="preserve">4.89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5.29</w:t>
            </w:r>
          </w:p>
        </w:tc>
        <w:tc>
          <w:tcPr>
            <w:tcW w:w="1600" w:type="dxa"/>
            <w:tcBorders/>
            <w:vAlign w:val="center"/>
          </w:tcPr>
          <w:p>
            <w:pPr>
              <w:jc w:val="right"/>
            </w:pPr>
            <w:r>
              <w:rPr>
                <w:rFonts w:ascii="宋体" w:eastAsia="宋体" w:hAnsi="宋体" w:cs="宋体"/>
                <w:b w:val="0"/>
                <w:i w:val="0"/>
                <w:color w:val="000000"/>
                <w:sz w:val="19"/>
              </w:rPr>
              <w:t xml:space="preserve">5.29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5.29</w:t>
            </w:r>
          </w:p>
        </w:tc>
        <w:tc>
          <w:tcPr>
            <w:tcW w:w="1600" w:type="dxa"/>
            <w:tcBorders/>
            <w:vAlign w:val="center"/>
          </w:tcPr>
          <w:p>
            <w:pPr>
              <w:jc w:val="right"/>
            </w:pPr>
            <w:r>
              <w:rPr>
                <w:rFonts w:ascii="宋体" w:eastAsia="宋体" w:hAnsi="宋体" w:cs="宋体"/>
                <w:b w:val="0"/>
                <w:i w:val="0"/>
                <w:color w:val="000000"/>
                <w:sz w:val="19"/>
              </w:rPr>
              <w:t xml:space="preserve">5.29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75.73</w:t>
            </w:r>
          </w:p>
        </w:tc>
        <w:tc>
          <w:tcPr>
            <w:tcW w:w="1600" w:type="dxa"/>
            <w:tcBorders/>
            <w:vAlign w:val="center"/>
          </w:tcPr>
          <w:p>
            <w:pPr>
              <w:jc w:val="right"/>
            </w:pPr>
            <w:r>
              <w:rPr>
                <w:rFonts w:ascii="宋体" w:eastAsia="宋体" w:hAnsi="宋体" w:cs="宋体"/>
                <w:b w:val="0"/>
                <w:i w:val="0"/>
                <w:color w:val="000000"/>
                <w:sz w:val="19"/>
              </w:rPr>
              <w:t xml:space="preserve">75.73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0.54</w:t>
            </w:r>
          </w:p>
        </w:tc>
        <w:tc>
          <w:tcPr>
            <w:tcW w:w="1600" w:type="dxa"/>
            <w:tcBorders/>
            <w:vAlign w:val="center"/>
          </w:tcPr>
          <w:p>
            <w:pPr>
              <w:jc w:val="right"/>
            </w:pPr>
            <w:r>
              <w:rPr>
                <w:rFonts w:ascii="宋体" w:eastAsia="宋体" w:hAnsi="宋体" w:cs="宋体"/>
                <w:b w:val="0"/>
                <w:i w:val="0"/>
                <w:color w:val="000000"/>
                <w:sz w:val="19"/>
              </w:rPr>
              <w:t xml:space="preserve">0.54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0.54</w:t>
            </w:r>
          </w:p>
        </w:tc>
        <w:tc>
          <w:tcPr>
            <w:tcW w:w="1600" w:type="dxa"/>
            <w:tcBorders/>
            <w:vAlign w:val="center"/>
          </w:tcPr>
          <w:p>
            <w:pPr>
              <w:jc w:val="right"/>
            </w:pPr>
            <w:r>
              <w:rPr>
                <w:rFonts w:ascii="宋体" w:eastAsia="宋体" w:hAnsi="宋体" w:cs="宋体"/>
                <w:b w:val="0"/>
                <w:i w:val="0"/>
                <w:color w:val="000000"/>
                <w:sz w:val="19"/>
              </w:rPr>
              <w:t xml:space="preserve">0.54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75.19</w:t>
            </w:r>
          </w:p>
        </w:tc>
        <w:tc>
          <w:tcPr>
            <w:tcW w:w="1600" w:type="dxa"/>
            <w:tcBorders/>
            <w:vAlign w:val="center"/>
          </w:tcPr>
          <w:p>
            <w:pPr>
              <w:jc w:val="right"/>
            </w:pPr>
            <w:r>
              <w:rPr>
                <w:rFonts w:ascii="宋体" w:eastAsia="宋体" w:hAnsi="宋体" w:cs="宋体"/>
                <w:b w:val="0"/>
                <w:i w:val="0"/>
                <w:color w:val="000000"/>
                <w:sz w:val="19"/>
              </w:rPr>
              <w:t xml:space="preserve">75.19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75.19</w:t>
            </w:r>
          </w:p>
        </w:tc>
        <w:tc>
          <w:tcPr>
            <w:tcW w:w="1600" w:type="dxa"/>
            <w:tcBorders/>
            <w:vAlign w:val="center"/>
          </w:tcPr>
          <w:p>
            <w:pPr>
              <w:jc w:val="right"/>
            </w:pPr>
            <w:r>
              <w:rPr>
                <w:rFonts w:ascii="宋体" w:eastAsia="宋体" w:hAnsi="宋体" w:cs="宋体"/>
                <w:b w:val="0"/>
                <w:i w:val="0"/>
                <w:color w:val="000000"/>
                <w:sz w:val="19"/>
              </w:rPr>
              <w:t xml:space="preserve">75.19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4.47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4.21</w:t>
            </w:r>
          </w:p>
        </w:tc>
        <w:tc>
          <w:tcPr>
            <w:tcW w:w="1420" w:type="dxa"/>
            <w:tcBorders/>
            <w:vAlign w:val="center"/>
          </w:tcPr>
          <w:p>
            <w:pPr>
              <w:jc w:val="right"/>
            </w:pPr>
            <w:r>
              <w:rPr>
                <w:rFonts w:ascii="宋体" w:eastAsia="宋体" w:hAnsi="宋体" w:cs="宋体"/>
                <w:b w:val="0"/>
                <w:i w:val="0"/>
                <w:color w:val="000000"/>
                <w:sz w:val="18"/>
              </w:rPr>
              <w:t xml:space="preserve">4.21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8.74</w:t>
            </w:r>
          </w:p>
        </w:tc>
        <w:tc>
          <w:tcPr>
            <w:tcW w:w="1420" w:type="dxa"/>
            <w:tcBorders/>
            <w:vAlign w:val="center"/>
          </w:tcPr>
          <w:p>
            <w:pPr>
              <w:jc w:val="right"/>
            </w:pPr>
            <w:r>
              <w:rPr>
                <w:rFonts w:ascii="宋体" w:eastAsia="宋体" w:hAnsi="宋体" w:cs="宋体"/>
                <w:b w:val="0"/>
                <w:i w:val="0"/>
                <w:color w:val="000000"/>
                <w:sz w:val="18"/>
              </w:rPr>
              <w:t xml:space="preserve">8.74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5.29</w:t>
            </w:r>
          </w:p>
        </w:tc>
        <w:tc>
          <w:tcPr>
            <w:tcW w:w="1420" w:type="dxa"/>
            <w:tcBorders/>
            <w:vAlign w:val="center"/>
          </w:tcPr>
          <w:p>
            <w:pPr>
              <w:jc w:val="right"/>
            </w:pPr>
            <w:r>
              <w:rPr>
                <w:rFonts w:ascii="宋体" w:eastAsia="宋体" w:hAnsi="宋体" w:cs="宋体"/>
                <w:b w:val="0"/>
                <w:i w:val="0"/>
                <w:color w:val="000000"/>
                <w:sz w:val="18"/>
              </w:rPr>
              <w:t xml:space="preserve">5.29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75.73</w:t>
            </w:r>
          </w:p>
        </w:tc>
        <w:tc>
          <w:tcPr>
            <w:tcW w:w="1420" w:type="dxa"/>
            <w:tcBorders/>
            <w:vAlign w:val="center"/>
          </w:tcPr>
          <w:p>
            <w:pPr>
              <w:jc w:val="right"/>
            </w:pPr>
            <w:r>
              <w:rPr>
                <w:rFonts w:ascii="宋体" w:eastAsia="宋体" w:hAnsi="宋体" w:cs="宋体"/>
                <w:b w:val="0"/>
                <w:i w:val="0"/>
                <w:color w:val="000000"/>
                <w:sz w:val="18"/>
              </w:rPr>
              <w:t xml:space="preserve">75.73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4.47</w:t>
            </w:r>
          </w:p>
        </w:tc>
        <w:tc>
          <w:tcPr>
            <w:tcW w:w="1420" w:type="dxa"/>
            <w:tcBorders/>
            <w:vAlign w:val="center"/>
          </w:tcPr>
          <w:p>
            <w:pPr>
              <w:jc w:val="right"/>
            </w:pPr>
            <w:r>
              <w:rPr>
                <w:rFonts w:ascii="宋体" w:eastAsia="宋体" w:hAnsi="宋体" w:cs="宋体"/>
                <w:b w:val="0"/>
                <w:i w:val="0"/>
                <w:color w:val="000000"/>
                <w:sz w:val="18"/>
              </w:rPr>
              <w:t xml:space="preserve">4.47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1420" w:type="dxa"/>
            <w:tcBorders/>
            <w:vAlign w:val="center"/>
          </w:tcPr>
          <w:p>
            <w:pPr>
              <w:jc w:val="right"/>
            </w:pPr>
            <w:r>
              <w:rPr>
                <w:rFonts w:ascii="宋体" w:eastAsia="宋体" w:hAnsi="宋体" w:cs="宋体"/>
                <w:b w:val="0"/>
                <w:i w:val="0"/>
                <w:color w:val="000000"/>
                <w:sz w:val="18"/>
              </w:rPr>
              <w:t xml:space="preserve">98.43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98.43</w:t>
            </w:r>
          </w:p>
        </w:tc>
        <w:tc>
          <w:tcPr>
            <w:tcW w:w="2700" w:type="dxa"/>
            <w:tcBorders/>
            <w:vAlign w:val="center"/>
          </w:tcPr>
          <w:p>
            <w:pPr>
              <w:jc w:val="right"/>
            </w:pPr>
            <w:r>
              <w:rPr>
                <w:rFonts w:ascii="宋体" w:eastAsia="宋体" w:hAnsi="宋体" w:cs="宋体"/>
                <w:b/>
                <w:i w:val="0"/>
                <w:color w:val="000000"/>
                <w:sz w:val="25"/>
              </w:rPr>
              <w:t xml:space="preserve">98.43</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4.21</w:t>
            </w:r>
          </w:p>
        </w:tc>
        <w:tc>
          <w:tcPr>
            <w:tcW w:w="2700" w:type="dxa"/>
            <w:tcBorders/>
            <w:vAlign w:val="center"/>
          </w:tcPr>
          <w:p>
            <w:pPr>
              <w:jc w:val="right"/>
            </w:pPr>
            <w:r>
              <w:rPr>
                <w:rFonts w:ascii="宋体" w:eastAsia="宋体" w:hAnsi="宋体" w:cs="宋体"/>
                <w:b w:val="0"/>
                <w:i w:val="0"/>
                <w:color w:val="000000"/>
                <w:sz w:val="25"/>
              </w:rPr>
              <w:t xml:space="preserve">4.21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0.40</w:t>
            </w:r>
          </w:p>
        </w:tc>
        <w:tc>
          <w:tcPr>
            <w:tcW w:w="2700" w:type="dxa"/>
            <w:tcBorders/>
            <w:vAlign w:val="center"/>
          </w:tcPr>
          <w:p>
            <w:pPr>
              <w:jc w:val="right"/>
            </w:pPr>
            <w:r>
              <w:rPr>
                <w:rFonts w:ascii="宋体" w:eastAsia="宋体" w:hAnsi="宋体" w:cs="宋体"/>
                <w:b w:val="0"/>
                <w:i w:val="0"/>
                <w:color w:val="000000"/>
                <w:sz w:val="25"/>
              </w:rPr>
              <w:t xml:space="preserve">0.40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0.40</w:t>
            </w:r>
          </w:p>
        </w:tc>
        <w:tc>
          <w:tcPr>
            <w:tcW w:w="2700" w:type="dxa"/>
            <w:tcBorders/>
            <w:vAlign w:val="center"/>
          </w:tcPr>
          <w:p>
            <w:pPr>
              <w:jc w:val="right"/>
            </w:pPr>
            <w:r>
              <w:rPr>
                <w:rFonts w:ascii="宋体" w:eastAsia="宋体" w:hAnsi="宋体" w:cs="宋体"/>
                <w:b w:val="0"/>
                <w:i w:val="0"/>
                <w:color w:val="000000"/>
                <w:sz w:val="25"/>
              </w:rPr>
              <w:t xml:space="preserve">0.40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3.81</w:t>
            </w:r>
          </w:p>
        </w:tc>
        <w:tc>
          <w:tcPr>
            <w:tcW w:w="2700" w:type="dxa"/>
            <w:tcBorders/>
            <w:vAlign w:val="center"/>
          </w:tcPr>
          <w:p>
            <w:pPr>
              <w:jc w:val="right"/>
            </w:pPr>
            <w:r>
              <w:rPr>
                <w:rFonts w:ascii="宋体" w:eastAsia="宋体" w:hAnsi="宋体" w:cs="宋体"/>
                <w:b w:val="0"/>
                <w:i w:val="0"/>
                <w:color w:val="000000"/>
                <w:sz w:val="25"/>
              </w:rPr>
              <w:t xml:space="preserve">3.81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3.81</w:t>
            </w:r>
          </w:p>
        </w:tc>
        <w:tc>
          <w:tcPr>
            <w:tcW w:w="2700" w:type="dxa"/>
            <w:tcBorders/>
            <w:vAlign w:val="center"/>
          </w:tcPr>
          <w:p>
            <w:pPr>
              <w:jc w:val="right"/>
            </w:pPr>
            <w:r>
              <w:rPr>
                <w:rFonts w:ascii="宋体" w:eastAsia="宋体" w:hAnsi="宋体" w:cs="宋体"/>
                <w:b w:val="0"/>
                <w:i w:val="0"/>
                <w:color w:val="000000"/>
                <w:sz w:val="25"/>
              </w:rPr>
              <w:t xml:space="preserve">3.81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8.74</w:t>
            </w:r>
          </w:p>
        </w:tc>
        <w:tc>
          <w:tcPr>
            <w:tcW w:w="2700" w:type="dxa"/>
            <w:tcBorders/>
            <w:vAlign w:val="center"/>
          </w:tcPr>
          <w:p>
            <w:pPr>
              <w:jc w:val="right"/>
            </w:pPr>
            <w:r>
              <w:rPr>
                <w:rFonts w:ascii="宋体" w:eastAsia="宋体" w:hAnsi="宋体" w:cs="宋体"/>
                <w:b w:val="0"/>
                <w:i w:val="0"/>
                <w:color w:val="000000"/>
                <w:sz w:val="25"/>
              </w:rPr>
              <w:t xml:space="preserve">8.74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8.74</w:t>
            </w:r>
          </w:p>
        </w:tc>
        <w:tc>
          <w:tcPr>
            <w:tcW w:w="2700" w:type="dxa"/>
            <w:tcBorders/>
            <w:vAlign w:val="center"/>
          </w:tcPr>
          <w:p>
            <w:pPr>
              <w:jc w:val="right"/>
            </w:pPr>
            <w:r>
              <w:rPr>
                <w:rFonts w:ascii="宋体" w:eastAsia="宋体" w:hAnsi="宋体" w:cs="宋体"/>
                <w:b w:val="0"/>
                <w:i w:val="0"/>
                <w:color w:val="000000"/>
                <w:sz w:val="25"/>
              </w:rPr>
              <w:t xml:space="preserve">8.74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4.89</w:t>
            </w:r>
          </w:p>
        </w:tc>
        <w:tc>
          <w:tcPr>
            <w:tcW w:w="2700" w:type="dxa"/>
            <w:tcBorders/>
            <w:vAlign w:val="center"/>
          </w:tcPr>
          <w:p>
            <w:pPr>
              <w:jc w:val="right"/>
            </w:pPr>
            <w:r>
              <w:rPr>
                <w:rFonts w:ascii="宋体" w:eastAsia="宋体" w:hAnsi="宋体" w:cs="宋体"/>
                <w:b w:val="0"/>
                <w:i w:val="0"/>
                <w:color w:val="000000"/>
                <w:sz w:val="25"/>
              </w:rPr>
              <w:t xml:space="preserve">4.89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5.29</w:t>
            </w:r>
          </w:p>
        </w:tc>
        <w:tc>
          <w:tcPr>
            <w:tcW w:w="2700" w:type="dxa"/>
            <w:tcBorders/>
            <w:vAlign w:val="center"/>
          </w:tcPr>
          <w:p>
            <w:pPr>
              <w:jc w:val="right"/>
            </w:pPr>
            <w:r>
              <w:rPr>
                <w:rFonts w:ascii="宋体" w:eastAsia="宋体" w:hAnsi="宋体" w:cs="宋体"/>
                <w:b w:val="0"/>
                <w:i w:val="0"/>
                <w:color w:val="000000"/>
                <w:sz w:val="25"/>
              </w:rPr>
              <w:t xml:space="preserve">5.29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5.29</w:t>
            </w:r>
          </w:p>
        </w:tc>
        <w:tc>
          <w:tcPr>
            <w:tcW w:w="2700" w:type="dxa"/>
            <w:tcBorders/>
            <w:vAlign w:val="center"/>
          </w:tcPr>
          <w:p>
            <w:pPr>
              <w:jc w:val="right"/>
            </w:pPr>
            <w:r>
              <w:rPr>
                <w:rFonts w:ascii="宋体" w:eastAsia="宋体" w:hAnsi="宋体" w:cs="宋体"/>
                <w:b w:val="0"/>
                <w:i w:val="0"/>
                <w:color w:val="000000"/>
                <w:sz w:val="25"/>
              </w:rPr>
              <w:t xml:space="preserve">5.29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75.73</w:t>
            </w:r>
          </w:p>
        </w:tc>
        <w:tc>
          <w:tcPr>
            <w:tcW w:w="2700" w:type="dxa"/>
            <w:tcBorders/>
            <w:vAlign w:val="center"/>
          </w:tcPr>
          <w:p>
            <w:pPr>
              <w:jc w:val="right"/>
            </w:pPr>
            <w:r>
              <w:rPr>
                <w:rFonts w:ascii="宋体" w:eastAsia="宋体" w:hAnsi="宋体" w:cs="宋体"/>
                <w:b w:val="0"/>
                <w:i w:val="0"/>
                <w:color w:val="000000"/>
                <w:sz w:val="25"/>
              </w:rPr>
              <w:t xml:space="preserve">75.73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0.54</w:t>
            </w:r>
          </w:p>
        </w:tc>
        <w:tc>
          <w:tcPr>
            <w:tcW w:w="2700" w:type="dxa"/>
            <w:tcBorders/>
            <w:vAlign w:val="center"/>
          </w:tcPr>
          <w:p>
            <w:pPr>
              <w:jc w:val="right"/>
            </w:pPr>
            <w:r>
              <w:rPr>
                <w:rFonts w:ascii="宋体" w:eastAsia="宋体" w:hAnsi="宋体" w:cs="宋体"/>
                <w:b w:val="0"/>
                <w:i w:val="0"/>
                <w:color w:val="000000"/>
                <w:sz w:val="25"/>
              </w:rPr>
              <w:t xml:space="preserve">0.54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0.54</w:t>
            </w:r>
          </w:p>
        </w:tc>
        <w:tc>
          <w:tcPr>
            <w:tcW w:w="2700" w:type="dxa"/>
            <w:tcBorders/>
            <w:vAlign w:val="center"/>
          </w:tcPr>
          <w:p>
            <w:pPr>
              <w:jc w:val="right"/>
            </w:pPr>
            <w:r>
              <w:rPr>
                <w:rFonts w:ascii="宋体" w:eastAsia="宋体" w:hAnsi="宋体" w:cs="宋体"/>
                <w:b w:val="0"/>
                <w:i w:val="0"/>
                <w:color w:val="000000"/>
                <w:sz w:val="25"/>
              </w:rPr>
              <w:t xml:space="preserve">0.54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75.19</w:t>
            </w:r>
          </w:p>
        </w:tc>
        <w:tc>
          <w:tcPr>
            <w:tcW w:w="2700" w:type="dxa"/>
            <w:tcBorders/>
            <w:vAlign w:val="center"/>
          </w:tcPr>
          <w:p>
            <w:pPr>
              <w:jc w:val="right"/>
            </w:pPr>
            <w:r>
              <w:rPr>
                <w:rFonts w:ascii="宋体" w:eastAsia="宋体" w:hAnsi="宋体" w:cs="宋体"/>
                <w:b w:val="0"/>
                <w:i w:val="0"/>
                <w:color w:val="000000"/>
                <w:sz w:val="25"/>
              </w:rPr>
              <w:t xml:space="preserve">75.19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75.19</w:t>
            </w:r>
          </w:p>
        </w:tc>
        <w:tc>
          <w:tcPr>
            <w:tcW w:w="2700" w:type="dxa"/>
            <w:tcBorders/>
            <w:vAlign w:val="center"/>
          </w:tcPr>
          <w:p>
            <w:pPr>
              <w:jc w:val="right"/>
            </w:pPr>
            <w:r>
              <w:rPr>
                <w:rFonts w:ascii="宋体" w:eastAsia="宋体" w:hAnsi="宋体" w:cs="宋体"/>
                <w:b w:val="0"/>
                <w:i w:val="0"/>
                <w:color w:val="000000"/>
                <w:sz w:val="25"/>
              </w:rPr>
              <w:t xml:space="preserve">75.19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700" w:type="dxa"/>
            <w:tcBorders/>
            <w:vAlign w:val="center"/>
          </w:tcPr>
          <w:p>
            <w:pPr>
              <w:jc w:val="right"/>
            </w:pPr>
            <w:r>
              <w:rPr>
                <w:rFonts w:ascii="宋体" w:eastAsia="宋体" w:hAnsi="宋体" w:cs="宋体"/>
                <w:b w:val="0"/>
                <w:i w:val="0"/>
                <w:color w:val="000000"/>
                <w:sz w:val="25"/>
              </w:rPr>
              <w:t xml:space="preserve">4.47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86.90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7.68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18.93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1.93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30.82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1.46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22.40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4.89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2.50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2.78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4.47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3.85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3.85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3.64</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90.75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7.68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98.43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增加6.93万元，增长7.57%</w:t>
      </w:r>
      <w:r>
        <w:rPr>
          <w:rFonts w:ascii="仿宋" w:eastAsia="仿宋" w:hAnsi="仿宋" w:cs="仿宋" w:hint="eastAsia"/>
          <w:kern w:val="0"/>
          <w:sz w:val="32"/>
          <w:szCs w:val="32"/>
          <w:lang w:val="en-US" w:eastAsia="zh-CN"/>
        </w:rPr>
        <w:t xml:space="preserve">。主要原因是1. 单位人员工资略有增长、部分人员晋级晋档和职级晋升，导致工资、社保费用增加；2.厉行节约，减少开支。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98.43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财政拨款收入98.43万元，占100.00%；上级补助收入0.00万元，占0.00%；事业收入0.00万元，占0.00%；经营收入0.00万元，占0.00%；附属单位上缴收入0.00万元，占0.00%；其他收入0.00万元，占0.00%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98.43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基本支出98.43万元，占100.00%；项目支出0.00万元，占0.00%；上缴上级支出0.00万元，占0.00%；经营支出0.00万元，占0.00%；对附属单位补助支出0.00万元，占0.00%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98.43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增加6.93万元，增长7.57%</w:t>
      </w:r>
      <w:r>
        <w:rPr>
          <w:rFonts w:ascii="仿宋" w:eastAsia="仿宋" w:hAnsi="仿宋" w:cs="仿宋" w:hint="eastAsia"/>
          <w:kern w:val="0"/>
          <w:sz w:val="32"/>
          <w:szCs w:val="32"/>
          <w:lang w:val="en-US" w:eastAsia="zh-CN"/>
        </w:rPr>
        <w:t xml:space="preserve">。主要原因是1. 单位人员工资略有增长、部分人员晋级晋档和职级晋升，导致工资、社保费用增加；2.厉行节约，减少开支。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98.43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增加6.93万元，增长7.57%</w:t>
      </w:r>
      <w:r>
        <w:rPr>
          <w:rFonts w:ascii="仿宋" w:eastAsia="仿宋" w:hAnsi="仿宋" w:cs="仿宋" w:hint="eastAsia"/>
          <w:kern w:val="0"/>
          <w:sz w:val="32"/>
          <w:szCs w:val="32"/>
          <w:lang w:val="en-US" w:eastAsia="zh-CN"/>
        </w:rPr>
        <w:t xml:space="preserve">。主要原因是1. 单位人员工资略有增长、部分人员晋级晋档和职级晋升，导致工资、社保费用增加；2.厉行节约，减少开支。</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98.43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一般公共服务支出（类）4.21万元，占4.28%；社会保障和就业支出（类）8.74万元，占8.88%；卫生健康支出（类）5.29万元，占5.37%；城乡社区支出（类）75.73万元，占76.94%；住房保障支出（类）4.47万元，占4.54%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95.86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98.43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102.68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年初预算数为0.40万元，决算数0.40万元,完成年初预算的100.00%，决算数与年初预算数不存在差异。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年初预算数为0.00万元，决算数3.81万元,决算数与年初预算数存在差异的主要原因是单位工资结构调整，工资略有增长。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年初预算数为2.92万元，决算数3.85万元,完成年初预算的131.85%，决算数与年初预算数存在差异的主要原因是工资结构调整，退休人员工资略有增长。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年初预算数为5.06万元，决算数4.89万元,完成年初预算的96.64%，决算数与年初预算数存在差异的主要原因是单位人员调出，基本养老保险略有减少。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年初预算数为2.61万元，决算数2.50万元,完成年初预算的95.79%，决算数与年初预算数存在差异的主要原因是单位人员调出，行政单位医疗保险略有减少。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年初预算数为2.90万元，决算数2.78万元,完成年初预算的95.86%，决算数与年初预算数存在差异的主要原因是单位人员调出，公务员医疗补助保险略有减少。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7.城乡社区支出（类）城乡社区管理事务（款）行政运行（项）</w:t>
      </w:r>
      <w:r>
        <w:rPr>
          <w:rFonts w:ascii="仿宋" w:eastAsia="仿宋" w:hAnsi="仿宋" w:cs="仿宋" w:hint="default"/>
          <w:kern w:val="2"/>
          <w:sz w:val="32"/>
          <w:szCs w:val="32"/>
          <w:lang w:val="en-US" w:eastAsia="zh-CN"/>
        </w:rPr>
        <w:t xml:space="preserve">年初预算数为0.00万元，决算数0.54万元,决算数与年初预算数存在差异的主要原因是工资结构调整，工资略有增长。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8.城乡社区支出（类）城乡社区规划与管理（款）城乡社区规划与管理（项）</w:t>
      </w:r>
      <w:r>
        <w:rPr>
          <w:rFonts w:ascii="仿宋" w:eastAsia="仿宋" w:hAnsi="仿宋" w:cs="仿宋" w:hint="default"/>
          <w:kern w:val="2"/>
          <w:sz w:val="32"/>
          <w:szCs w:val="32"/>
          <w:lang w:val="en-US" w:eastAsia="zh-CN"/>
        </w:rPr>
        <w:t xml:space="preserve">年初预算数为77.01万元，决算数75.19万元,完成年初预算的97.64%，决算数与年初预算数存在差异的主要原因是厉行节约，严控开支。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年初预算数为4.96万元，决算数4.47万元,完成年初预算的90.12%，决算数与年初预算数存在差异的主要原因是单位人员调出，公积金略有减少。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98.43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其中：人员经费90.75万元，主要包括：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公用经费7.68万元，主要包括：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2023年度机关运行经费支出7.68万元，</w:t>
      </w:r>
      <w:r>
        <w:rPr>
          <w:rFonts w:ascii="仿宋" w:eastAsia="仿宋" w:hAnsi="仿宋" w:cs="仿宋" w:hint="eastAsia"/>
          <w:kern w:val="0"/>
          <w:sz w:val="32"/>
          <w:szCs w:val="32"/>
          <w:lang w:val="en-US" w:eastAsia="zh-CN"/>
        </w:rPr>
        <w:t xml:space="preserve">较2022年度下降1.27万元，</w:t>
      </w:r>
      <w:r>
        <w:rPr>
          <w:rFonts w:ascii="仿宋" w:eastAsia="仿宋" w:hAnsi="仿宋" w:cs="仿宋" w:hint="eastAsia"/>
          <w:kern w:val="0"/>
          <w:sz w:val="32"/>
          <w:szCs w:val="32"/>
          <w:lang w:val="en-US" w:eastAsia="zh-CN"/>
        </w:rPr>
        <w:t xml:space="preserve">下降14.19%，</w:t>
      </w:r>
      <w:r>
        <w:rPr>
          <w:rFonts w:ascii="仿宋" w:eastAsia="仿宋" w:hAnsi="仿宋" w:cs="仿宋" w:hint="eastAsia"/>
          <w:kern w:val="0"/>
          <w:sz w:val="32"/>
          <w:szCs w:val="32"/>
          <w:lang w:val="en-US" w:eastAsia="zh-CN"/>
        </w:rPr>
        <w:t xml:space="preserve">主要原因是厉行节约，减少开支。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95.86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全年的绩效目标任务已按照年初制定的计划和指标全部完成，部门支出绩效已按照年初制定的目标任务全部完成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1a349939-d7fc-4779-97bd-7315dba1565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37"/>
        <w:gridCol w:w="537"/>
        <w:gridCol w:w="1592"/>
        <w:gridCol w:w="1915"/>
        <w:gridCol w:w="1402"/>
        <w:gridCol w:w="3114"/>
        <w:gridCol w:w="1261"/>
        <w:gridCol w:w="655"/>
        <w:gridCol w:w="1117"/>
        <w:gridCol w:w="204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nil"/>
              <w:left w:val="nil"/>
              <w:bottom w:val="nil"/>
              <w:right w:val="nil"/>
            </w:tcBorders>
            <w:shd w:val="clear" w:color="auto" w:fill="auto"/>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gridSpan w:val="10"/>
            <w:tcBorders>
              <w:top w:val="nil"/>
              <w:left w:val="nil"/>
              <w:bottom w:val="nil"/>
              <w:right w:val="nil"/>
            </w:tcBorders>
            <w:shd w:val="clear" w:color="auto" w:fill="auto"/>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（2023年度）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tcBorders>
              <w:top w:val="nil"/>
              <w:left w:val="nil"/>
              <w:bottom w:val="single" w:sz="4" w:space="0" w:color="000000"/>
              <w:right w:val="nil"/>
            </w:tcBorders>
            <w:shd w:val="clear" w:color="auto" w:fill="auto"/>
            <w:vAlign w:val="bottom"/>
          </w:tcPr>
          <w:p>
            <w:pPr>
              <w:pStyle w:val="Normal_b9e5d93f-7c8b-4e87-aeec-b8fa50cd1171"/>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w:t>
            </w:r>
          </w:p>
        </w:tc>
        <w:tc>
          <w:tcPr>
            <w:tcW w:type="auto" w:w="0"/>
            <w:tcBorders>
              <w:top w:val="nil"/>
              <w:left w:val="nil"/>
              <w:bottom w:val="single" w:sz="4" w:space="0" w:color="000000"/>
              <w:right w:val="nil"/>
            </w:tcBorders>
            <w:shd w:val="clear" w:color="auto" w:fill="auto"/>
            <w:vAlign w:val="bottom"/>
          </w:tcPr>
          <w:p>
            <w:pPr>
              <w:pStyle w:val="Normal_b9e5d93f-7c8b-4e87-aeec-b8fa50cd1171"/>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b9e5d93f-7c8b-4e87-aeec-b8fa50cd1171"/>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b9e5d93f-7c8b-4e87-aeec-b8fa50cd1171"/>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b9e5d93f-7c8b-4e87-aeec-b8fa50cd1171"/>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b9e5d93f-7c8b-4e87-aeec-b8fa50cd1171"/>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shd w:val="clear" w:color="auto" w:fill="auto"/>
            <w:vAlign w:val="bottom"/>
          </w:tcPr>
          <w:p>
            <w:pPr>
              <w:pStyle w:val="Normal_b9e5d93f-7c8b-4e87-aeec-b8fa50cd1171"/>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填表人及联系方式：</w:t>
            </w:r>
          </w:p>
        </w:tc>
        <w:tc>
          <w:tcPr>
            <w:tcW w:type="auto" w:w="0"/>
            <w:gridSpan w:val="2"/>
            <w:tcBorders>
              <w:top w:val="nil"/>
              <w:left w:val="nil"/>
              <w:bottom w:val="single" w:sz="4" w:space="0" w:color="000000"/>
              <w:right w:val="nil"/>
            </w:tcBorders>
            <w:shd w:val="clear" w:color="auto" w:fill="auto"/>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张冰   0374-7050299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许昌市自然资源和规划局城乡一体化示范区服务中心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left"/>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执行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95.86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98.43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98.43</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103%</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95.86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98.43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98.43</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103%</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履职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负责宣传和贯彻执行中央、省、市有关城乡规划管理的方针政策、法律、法规、条例。</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总体工作完成率=100%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做好本辖区建设项目规划设计、区域城市设计、各类专项规划的规划技术服务工作。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目标完成情况=100%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主要</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4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积极服务辖区内各项城市设计编制工作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紧紧围绕全市和示范区重点工作任务，全面推进国土空间规划编制、建设项目初审、论证，城市发展战略研究，重点项目规划技术服务工作。全面推进国土空间规划编制、建设项目初审、论证，城市发展战略研究，重点项目规划技术服务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为公共服务类项目做好规划技术前期服务</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继续紧盯示范区各类基础设施项目、公共配套设施项目，督促项目单位尽快完善上报项目所需前期手续，尽快提交规划编制方案报市技术会、市规委会审批。</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b9e5d93f-7c8b-4e87-aeec-b8fa50cd117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①收入预算编制是否足额，是否将所有部门预算收入全部编入收入预算；</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②支出预算编制是否科学，是否是按人员经费按标准、日常公用经费按定额、专项经费按项目分别编制。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预算细化率=（部门参与分配的专项待分资金/部门参与分配资金合计）×100%。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预算调整率=（预算调整数/预算数）×100%。</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预算调整数：部门在本年度内涉及预算的追加、追减或结构调整的资金总和（因落实国家政策、发生不可抗力、上级部门或本级党委政府临时交办而产生的调整除外）。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结转结余变动率=[（本年度累计结转结余资金总额-上年度累计结转结余资金总额）/上年度累计结转结余资金总额]×100%。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经费变动率=[（本年度在职人员经费-上年度在职人员经费） /上年度在职人员经费]×100%。</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②离退休人员经费变动率=[（本年度离退休人员经费-上年度离退休人员经费） /上年度离退休人员经费]×100%。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①资金使用是否符合政府采购的程序和流程；资金使用是否符合公务卡结算相关制度和规定；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反映本部门决算工作情况。决算编制数据是否账表一致，即决算报表数据与会计账簿数据是否一致。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财政专户的资金是否按照国库集中收缴的有关规定及时足额上缴，是否存在隐瞒、滞留、截留、挪用和坐支等情况。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的资产配置、使用是否合规，处置是否规范，收入是否及时足额上缴，用以反映和考核部门（单位）资产管理的规范程度。1.是否建立资产台账，资产报表数据与会计账簿数据是否相符；2.新增资产是否符合规定程序和规定标准；3.资产对外使用（出租等）、资产处置事项是否按规定报批；4.资产收益是否及时足额上交财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部门（单位）按要求实施绩效监控的项目数量占应实施绩效监控项目总数的比重。部门绩效监控完成率=已完成绩效监控项目数量/部门项目总数*100%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部门重点绩效评价项目评价完成情况。部门绩效评价完成率=已完成评价项目数量/部门重点绩效评价项目数*100%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部门重点绩效评价项目评价完成情况。部门绩效评价完成率=已完成评价项目数量/部门重点绩效评价项目数*100%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绩效监控、单位自评、部门绩效评价、财政重点绩效评价结果应用情况。评价结果应用率=评价提出的意见建议采纳数/提出的意见建议总数*100%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做好辖区内国土空间规划工作计划完成率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景仁路、金祥街道路规划、纪委监委选址及控制性详细规划调整、中原科技学院建设工程设计方案（调整）已经市规委会审定；协康医院、增量配网110kv变电站已经在本年末市（区）规委会审定。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市、区级重点项目规划审批工作计划完成率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辖区内建设项目初审上报实现率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结合辖区实际，编制了示范区2023年耕地“进出平衡方案”，目前方案省厅已审查通过。中原科技学院教育小镇用地布局优化，经与设计单位充分对接并进行现场踏勘，已拿出初步方案。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城市设计、专项规划技术服务实现率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数据一般通过问卷调查的方式获得，用百分比衡量</w:t>
            </w:r>
            <w:r>
              <w:rPr/>
              <w:br/>
            </w:r>
            <w:r>
              <w:rPr>
                <w:rFonts w:ascii="宋体" w:eastAsia="宋体" w:hAnsi="宋体" w:cs="宋体" w:hint="eastAsia"/>
                <w:i w:val="0"/>
                <w:iCs w:val="0"/>
                <w:color w:val="000000"/>
                <w:kern w:val="0"/>
                <w:sz w:val="20"/>
                <w:szCs w:val="20"/>
                <w:u w:val="none"/>
                <w:bdr w:val="none" w:sz="0" w:space="0" w:color="auto"/>
                <w:lang w:val="en-US" w:eastAsia="zh-CN"/>
              </w:rPr>
              <w:t xml:space="preserve">若无目标值，则可参考公众满意度目标值设定参考值。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社会组织满意度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left"/>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数据一般通过问卷调查的方式获得，用百分比衡量</w:t>
            </w:r>
            <w:r>
              <w:rPr/>
              <w:br/>
            </w:r>
            <w:r>
              <w:rPr>
                <w:rFonts w:ascii="宋体" w:eastAsia="宋体" w:hAnsi="宋体" w:cs="宋体" w:hint="eastAsia"/>
                <w:i w:val="0"/>
                <w:iCs w:val="0"/>
                <w:color w:val="000000"/>
                <w:kern w:val="0"/>
                <w:sz w:val="20"/>
                <w:szCs w:val="20"/>
                <w:u w:val="none"/>
                <w:bdr w:val="none" w:sz="0" w:space="0" w:color="auto"/>
                <w:lang w:val="en-US" w:eastAsia="zh-CN"/>
              </w:rPr>
              <w:t xml:space="preserve">得分=实际完成值÷目标值×指标分值。</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2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9e5d93f-7c8b-4e87-aeec-b8fa50cd1171"/>
              <w:jc w:val="left"/>
              <w:rPr>
                <w:rFonts w:ascii="宋体" w:eastAsia="宋体" w:hAnsi="宋体" w:cs="宋体" w:hint="eastAsia"/>
                <w:i w:val="0"/>
                <w:iCs w:val="0"/>
                <w:color w:val="000000"/>
                <w:sz w:val="20"/>
                <w:szCs w:val="20"/>
                <w:u w:val="none"/>
              </w:rPr>
            </w:pP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9e5d93f-7c8b-4e87-aeec-b8fa50cd1171"/>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98"/>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b9e5d93f-7c8b-4e87-aeec-b8fa50cd117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Normal_b9e5d93f-7c8b-4e87-aeec-b8fa50cd1171"/>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3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9e5d93f-7c8b-4e87-aeec-b8fa50cd1171">
    <w:name w:val="Normal_b9e5d93f-7c8b-4e87-aeec-b8fa50cd1171"/>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1a349939-d7fc-4779-97bd-7315dba15657">
    <w:name w:val="Normal Table_1a349939-d7fc-4779-97bd-7315dba15657"/>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