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许昌市自然资源和规划局城乡一体化示范区分局</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许昌市自然资源和规划局城乡一体化示范区分局</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许昌市自然资源和规划局城乡一体化示范区分局概况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（一）贯彻执行国家关于国土资源、矿产资源、测绘管理的方针政策、法律法规，贯彻执行省政府关于国土资源、矿产资源、测绘管理的法规条例。</w:t>
        <w:br/>
        <w:t xml:space="preserve">    （二）负责实施示范区内土地利用总体规划、土地利用年度计划和其他专项规划；承办辖区内农用地转用、征收征用报件的上报工作。</w:t>
        <w:br/>
        <w:t xml:space="preserve">    （三）组织实施示范区土地开发整理工作。</w:t>
        <w:br/>
        <w:t xml:space="preserve">    （四）负责示范区土地登记前期调查、土地确权、土地调查统计、土地纠纷调解等工作。</w:t>
        <w:br/>
        <w:t xml:space="preserve">    （五）负责示范区年度土地供应计划编制工作，组织实施辖区内土地收购储备，承办辖区内国有建设用地使用权出让、转让、租赁、作价出资等前期基础工作。</w:t>
        <w:br/>
        <w:t xml:space="preserve">    （六）负责示范区土地违法、违规案件的调查处理。</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许昌市自然资源和规划局城乡一体化示范区分局</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综合办公室、空间规划和用途管制科、法规和调查监测科、自然资源开发利用和确权登记科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许昌市自然资源和规划局城乡一体化示范区分局</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许昌市自然资源和规划局城乡一体化示范区分局</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单位：许昌市自然资源和规划局城乡一体化示范区分局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68.83</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2.77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5.97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3.07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54.23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2.77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68.83</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68.83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68.83</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68.83</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单位：许昌市自然资源和规划局城乡一体化示范区分局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68.83</w:t>
            </w:r>
          </w:p>
        </w:tc>
        <w:tc>
          <w:tcPr>
            <w:tcW w:w="1440" w:type="dxa"/>
            <w:tcBorders/>
            <w:vAlign w:val="center"/>
          </w:tcPr>
          <w:p>
            <w:pPr>
              <w:jc w:val="right"/>
            </w:pPr>
            <w:r>
              <w:rPr>
                <w:rFonts w:ascii="宋体" w:eastAsia="宋体" w:hAnsi="宋体" w:cs="宋体"/>
                <w:b/>
                <w:i w:val="0"/>
                <w:color w:val="000000"/>
                <w:sz w:val="17"/>
              </w:rPr>
              <w:t xml:space="preserve">68.83</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2.77</w:t>
            </w:r>
          </w:p>
        </w:tc>
        <w:tc>
          <w:tcPr>
            <w:tcW w:w="1440" w:type="dxa"/>
            <w:tcBorders/>
            <w:vAlign w:val="center"/>
          </w:tcPr>
          <w:p>
            <w:pPr>
              <w:jc w:val="right"/>
            </w:pPr>
            <w:r>
              <w:rPr>
                <w:rFonts w:ascii="宋体" w:eastAsia="宋体" w:hAnsi="宋体" w:cs="宋体"/>
                <w:b w:val="0"/>
                <w:i w:val="0"/>
                <w:color w:val="000000"/>
                <w:sz w:val="17"/>
              </w:rPr>
              <w:t xml:space="preserve">2.77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0.36</w:t>
            </w:r>
          </w:p>
        </w:tc>
        <w:tc>
          <w:tcPr>
            <w:tcW w:w="1440" w:type="dxa"/>
            <w:tcBorders/>
            <w:vAlign w:val="center"/>
          </w:tcPr>
          <w:p>
            <w:pPr>
              <w:jc w:val="right"/>
            </w:pPr>
            <w:r>
              <w:rPr>
                <w:rFonts w:ascii="宋体" w:eastAsia="宋体" w:hAnsi="宋体" w:cs="宋体"/>
                <w:b w:val="0"/>
                <w:i w:val="0"/>
                <w:color w:val="000000"/>
                <w:sz w:val="17"/>
              </w:rPr>
              <w:t xml:space="preserve">0.36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0.36</w:t>
            </w:r>
          </w:p>
        </w:tc>
        <w:tc>
          <w:tcPr>
            <w:tcW w:w="1440" w:type="dxa"/>
            <w:tcBorders/>
            <w:vAlign w:val="center"/>
          </w:tcPr>
          <w:p>
            <w:pPr>
              <w:jc w:val="right"/>
            </w:pPr>
            <w:r>
              <w:rPr>
                <w:rFonts w:ascii="宋体" w:eastAsia="宋体" w:hAnsi="宋体" w:cs="宋体"/>
                <w:b w:val="0"/>
                <w:i w:val="0"/>
                <w:color w:val="000000"/>
                <w:sz w:val="17"/>
              </w:rPr>
              <w:t xml:space="preserve">0.36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2.41</w:t>
            </w:r>
          </w:p>
        </w:tc>
        <w:tc>
          <w:tcPr>
            <w:tcW w:w="1440" w:type="dxa"/>
            <w:tcBorders/>
            <w:vAlign w:val="center"/>
          </w:tcPr>
          <w:p>
            <w:pPr>
              <w:jc w:val="right"/>
            </w:pPr>
            <w:r>
              <w:rPr>
                <w:rFonts w:ascii="宋体" w:eastAsia="宋体" w:hAnsi="宋体" w:cs="宋体"/>
                <w:b w:val="0"/>
                <w:i w:val="0"/>
                <w:color w:val="000000"/>
                <w:sz w:val="17"/>
              </w:rPr>
              <w:t xml:space="preserve">2.41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2.41</w:t>
            </w:r>
          </w:p>
        </w:tc>
        <w:tc>
          <w:tcPr>
            <w:tcW w:w="1440" w:type="dxa"/>
            <w:tcBorders/>
            <w:vAlign w:val="center"/>
          </w:tcPr>
          <w:p>
            <w:pPr>
              <w:jc w:val="right"/>
            </w:pPr>
            <w:r>
              <w:rPr>
                <w:rFonts w:ascii="宋体" w:eastAsia="宋体" w:hAnsi="宋体" w:cs="宋体"/>
                <w:b w:val="0"/>
                <w:i w:val="0"/>
                <w:color w:val="000000"/>
                <w:sz w:val="17"/>
              </w:rPr>
              <w:t xml:space="preserve">2.41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5.97</w:t>
            </w:r>
          </w:p>
        </w:tc>
        <w:tc>
          <w:tcPr>
            <w:tcW w:w="1440" w:type="dxa"/>
            <w:tcBorders/>
            <w:vAlign w:val="center"/>
          </w:tcPr>
          <w:p>
            <w:pPr>
              <w:jc w:val="right"/>
            </w:pPr>
            <w:r>
              <w:rPr>
                <w:rFonts w:ascii="宋体" w:eastAsia="宋体" w:hAnsi="宋体" w:cs="宋体"/>
                <w:b w:val="0"/>
                <w:i w:val="0"/>
                <w:color w:val="000000"/>
                <w:sz w:val="17"/>
              </w:rPr>
              <w:t xml:space="preserve">5.97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5.97</w:t>
            </w:r>
          </w:p>
        </w:tc>
        <w:tc>
          <w:tcPr>
            <w:tcW w:w="1440" w:type="dxa"/>
            <w:tcBorders/>
            <w:vAlign w:val="center"/>
          </w:tcPr>
          <w:p>
            <w:pPr>
              <w:jc w:val="right"/>
            </w:pPr>
            <w:r>
              <w:rPr>
                <w:rFonts w:ascii="宋体" w:eastAsia="宋体" w:hAnsi="宋体" w:cs="宋体"/>
                <w:b w:val="0"/>
                <w:i w:val="0"/>
                <w:color w:val="000000"/>
                <w:sz w:val="17"/>
              </w:rPr>
              <w:t xml:space="preserve">5.97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2.88</w:t>
            </w:r>
          </w:p>
        </w:tc>
        <w:tc>
          <w:tcPr>
            <w:tcW w:w="1440" w:type="dxa"/>
            <w:tcBorders/>
            <w:vAlign w:val="center"/>
          </w:tcPr>
          <w:p>
            <w:pPr>
              <w:jc w:val="right"/>
            </w:pPr>
            <w:r>
              <w:rPr>
                <w:rFonts w:ascii="宋体" w:eastAsia="宋体" w:hAnsi="宋体" w:cs="宋体"/>
                <w:b w:val="0"/>
                <w:i w:val="0"/>
                <w:color w:val="000000"/>
                <w:sz w:val="17"/>
              </w:rPr>
              <w:t xml:space="preserve">2.88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3.09</w:t>
            </w:r>
          </w:p>
        </w:tc>
        <w:tc>
          <w:tcPr>
            <w:tcW w:w="1440" w:type="dxa"/>
            <w:tcBorders/>
            <w:vAlign w:val="center"/>
          </w:tcPr>
          <w:p>
            <w:pPr>
              <w:jc w:val="right"/>
            </w:pPr>
            <w:r>
              <w:rPr>
                <w:rFonts w:ascii="宋体" w:eastAsia="宋体" w:hAnsi="宋体" w:cs="宋体"/>
                <w:b w:val="0"/>
                <w:i w:val="0"/>
                <w:color w:val="000000"/>
                <w:sz w:val="17"/>
              </w:rPr>
              <w:t xml:space="preserve">3.09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3.07</w:t>
            </w:r>
          </w:p>
        </w:tc>
        <w:tc>
          <w:tcPr>
            <w:tcW w:w="1440" w:type="dxa"/>
            <w:tcBorders/>
            <w:vAlign w:val="center"/>
          </w:tcPr>
          <w:p>
            <w:pPr>
              <w:jc w:val="right"/>
            </w:pPr>
            <w:r>
              <w:rPr>
                <w:rFonts w:ascii="宋体" w:eastAsia="宋体" w:hAnsi="宋体" w:cs="宋体"/>
                <w:b w:val="0"/>
                <w:i w:val="0"/>
                <w:color w:val="000000"/>
                <w:sz w:val="17"/>
              </w:rPr>
              <w:t xml:space="preserve">3.07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3.07</w:t>
            </w:r>
          </w:p>
        </w:tc>
        <w:tc>
          <w:tcPr>
            <w:tcW w:w="1440" w:type="dxa"/>
            <w:tcBorders/>
            <w:vAlign w:val="center"/>
          </w:tcPr>
          <w:p>
            <w:pPr>
              <w:jc w:val="right"/>
            </w:pPr>
            <w:r>
              <w:rPr>
                <w:rFonts w:ascii="宋体" w:eastAsia="宋体" w:hAnsi="宋体" w:cs="宋体"/>
                <w:b w:val="0"/>
                <w:i w:val="0"/>
                <w:color w:val="000000"/>
                <w:sz w:val="17"/>
              </w:rPr>
              <w:t xml:space="preserve">3.07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1.46</w:t>
            </w:r>
          </w:p>
        </w:tc>
        <w:tc>
          <w:tcPr>
            <w:tcW w:w="1440" w:type="dxa"/>
            <w:tcBorders/>
            <w:vAlign w:val="center"/>
          </w:tcPr>
          <w:p>
            <w:pPr>
              <w:jc w:val="right"/>
            </w:pPr>
            <w:r>
              <w:rPr>
                <w:rFonts w:ascii="宋体" w:eastAsia="宋体" w:hAnsi="宋体" w:cs="宋体"/>
                <w:b w:val="0"/>
                <w:i w:val="0"/>
                <w:color w:val="000000"/>
                <w:sz w:val="17"/>
              </w:rPr>
              <w:t xml:space="preserve">1.46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1.62</w:t>
            </w:r>
          </w:p>
        </w:tc>
        <w:tc>
          <w:tcPr>
            <w:tcW w:w="1440" w:type="dxa"/>
            <w:tcBorders/>
            <w:vAlign w:val="center"/>
          </w:tcPr>
          <w:p>
            <w:pPr>
              <w:jc w:val="right"/>
            </w:pPr>
            <w:r>
              <w:rPr>
                <w:rFonts w:ascii="宋体" w:eastAsia="宋体" w:hAnsi="宋体" w:cs="宋体"/>
                <w:b w:val="0"/>
                <w:i w:val="0"/>
                <w:color w:val="000000"/>
                <w:sz w:val="17"/>
              </w:rPr>
              <w:t xml:space="preserve">1.62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54.23</w:t>
            </w:r>
          </w:p>
        </w:tc>
        <w:tc>
          <w:tcPr>
            <w:tcW w:w="1440" w:type="dxa"/>
            <w:tcBorders/>
            <w:vAlign w:val="center"/>
          </w:tcPr>
          <w:p>
            <w:pPr>
              <w:jc w:val="right"/>
            </w:pPr>
            <w:r>
              <w:rPr>
                <w:rFonts w:ascii="宋体" w:eastAsia="宋体" w:hAnsi="宋体" w:cs="宋体"/>
                <w:b w:val="0"/>
                <w:i w:val="0"/>
                <w:color w:val="000000"/>
                <w:sz w:val="17"/>
              </w:rPr>
              <w:t xml:space="preserve">54.23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54.23</w:t>
            </w:r>
          </w:p>
        </w:tc>
        <w:tc>
          <w:tcPr>
            <w:tcW w:w="1440" w:type="dxa"/>
            <w:tcBorders/>
            <w:vAlign w:val="center"/>
          </w:tcPr>
          <w:p>
            <w:pPr>
              <w:jc w:val="right"/>
            </w:pPr>
            <w:r>
              <w:rPr>
                <w:rFonts w:ascii="宋体" w:eastAsia="宋体" w:hAnsi="宋体" w:cs="宋体"/>
                <w:b w:val="0"/>
                <w:i w:val="0"/>
                <w:color w:val="000000"/>
                <w:sz w:val="17"/>
              </w:rPr>
              <w:t xml:space="preserve">54.23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54.23</w:t>
            </w:r>
          </w:p>
        </w:tc>
        <w:tc>
          <w:tcPr>
            <w:tcW w:w="1440" w:type="dxa"/>
            <w:tcBorders/>
            <w:vAlign w:val="center"/>
          </w:tcPr>
          <w:p>
            <w:pPr>
              <w:jc w:val="right"/>
            </w:pPr>
            <w:r>
              <w:rPr>
                <w:rFonts w:ascii="宋体" w:eastAsia="宋体" w:hAnsi="宋体" w:cs="宋体"/>
                <w:b w:val="0"/>
                <w:i w:val="0"/>
                <w:color w:val="000000"/>
                <w:sz w:val="17"/>
              </w:rPr>
              <w:t xml:space="preserve">54.23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2.77</w:t>
            </w:r>
          </w:p>
        </w:tc>
        <w:tc>
          <w:tcPr>
            <w:tcW w:w="1440" w:type="dxa"/>
            <w:tcBorders/>
            <w:vAlign w:val="center"/>
          </w:tcPr>
          <w:p>
            <w:pPr>
              <w:jc w:val="right"/>
            </w:pPr>
            <w:r>
              <w:rPr>
                <w:rFonts w:ascii="宋体" w:eastAsia="宋体" w:hAnsi="宋体" w:cs="宋体"/>
                <w:b w:val="0"/>
                <w:i w:val="0"/>
                <w:color w:val="000000"/>
                <w:sz w:val="17"/>
              </w:rPr>
              <w:t xml:space="preserve">2.77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2.77</w:t>
            </w:r>
          </w:p>
        </w:tc>
        <w:tc>
          <w:tcPr>
            <w:tcW w:w="1440" w:type="dxa"/>
            <w:tcBorders/>
            <w:vAlign w:val="center"/>
          </w:tcPr>
          <w:p>
            <w:pPr>
              <w:jc w:val="right"/>
            </w:pPr>
            <w:r>
              <w:rPr>
                <w:rFonts w:ascii="宋体" w:eastAsia="宋体" w:hAnsi="宋体" w:cs="宋体"/>
                <w:b w:val="0"/>
                <w:i w:val="0"/>
                <w:color w:val="000000"/>
                <w:sz w:val="17"/>
              </w:rPr>
              <w:t xml:space="preserve">2.77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2.77</w:t>
            </w:r>
          </w:p>
        </w:tc>
        <w:tc>
          <w:tcPr>
            <w:tcW w:w="1440" w:type="dxa"/>
            <w:tcBorders/>
            <w:vAlign w:val="center"/>
          </w:tcPr>
          <w:p>
            <w:pPr>
              <w:jc w:val="right"/>
            </w:pPr>
            <w:r>
              <w:rPr>
                <w:rFonts w:ascii="宋体" w:eastAsia="宋体" w:hAnsi="宋体" w:cs="宋体"/>
                <w:b w:val="0"/>
                <w:i w:val="0"/>
                <w:color w:val="000000"/>
                <w:sz w:val="17"/>
              </w:rPr>
              <w:t xml:space="preserve">2.77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单位：许昌市自然资源和规划局城乡一体化示范区分局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68.83</w:t>
            </w:r>
          </w:p>
        </w:tc>
        <w:tc>
          <w:tcPr>
            <w:tcW w:w="1600" w:type="dxa"/>
            <w:tcBorders/>
            <w:vAlign w:val="center"/>
          </w:tcPr>
          <w:p>
            <w:pPr>
              <w:jc w:val="right"/>
            </w:pPr>
            <w:r>
              <w:rPr>
                <w:rFonts w:ascii="宋体" w:eastAsia="宋体" w:hAnsi="宋体" w:cs="宋体"/>
                <w:b/>
                <w:i w:val="0"/>
                <w:color w:val="000000"/>
                <w:sz w:val="19"/>
              </w:rPr>
              <w:t xml:space="preserve">68.83</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2.77</w:t>
            </w:r>
          </w:p>
        </w:tc>
        <w:tc>
          <w:tcPr>
            <w:tcW w:w="1600" w:type="dxa"/>
            <w:tcBorders/>
            <w:vAlign w:val="center"/>
          </w:tcPr>
          <w:p>
            <w:pPr>
              <w:jc w:val="right"/>
            </w:pPr>
            <w:r>
              <w:rPr>
                <w:rFonts w:ascii="宋体" w:eastAsia="宋体" w:hAnsi="宋体" w:cs="宋体"/>
                <w:b w:val="0"/>
                <w:i w:val="0"/>
                <w:color w:val="000000"/>
                <w:sz w:val="19"/>
              </w:rPr>
              <w:t xml:space="preserve">2.77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0.36</w:t>
            </w:r>
          </w:p>
        </w:tc>
        <w:tc>
          <w:tcPr>
            <w:tcW w:w="1600" w:type="dxa"/>
            <w:tcBorders/>
            <w:vAlign w:val="center"/>
          </w:tcPr>
          <w:p>
            <w:pPr>
              <w:jc w:val="right"/>
            </w:pPr>
            <w:r>
              <w:rPr>
                <w:rFonts w:ascii="宋体" w:eastAsia="宋体" w:hAnsi="宋体" w:cs="宋体"/>
                <w:b w:val="0"/>
                <w:i w:val="0"/>
                <w:color w:val="000000"/>
                <w:sz w:val="19"/>
              </w:rPr>
              <w:t xml:space="preserve">0.36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0.36</w:t>
            </w:r>
          </w:p>
        </w:tc>
        <w:tc>
          <w:tcPr>
            <w:tcW w:w="1600" w:type="dxa"/>
            <w:tcBorders/>
            <w:vAlign w:val="center"/>
          </w:tcPr>
          <w:p>
            <w:pPr>
              <w:jc w:val="right"/>
            </w:pPr>
            <w:r>
              <w:rPr>
                <w:rFonts w:ascii="宋体" w:eastAsia="宋体" w:hAnsi="宋体" w:cs="宋体"/>
                <w:b w:val="0"/>
                <w:i w:val="0"/>
                <w:color w:val="000000"/>
                <w:sz w:val="19"/>
              </w:rPr>
              <w:t xml:space="preserve">0.36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2.41</w:t>
            </w:r>
          </w:p>
        </w:tc>
        <w:tc>
          <w:tcPr>
            <w:tcW w:w="1600" w:type="dxa"/>
            <w:tcBorders/>
            <w:vAlign w:val="center"/>
          </w:tcPr>
          <w:p>
            <w:pPr>
              <w:jc w:val="right"/>
            </w:pPr>
            <w:r>
              <w:rPr>
                <w:rFonts w:ascii="宋体" w:eastAsia="宋体" w:hAnsi="宋体" w:cs="宋体"/>
                <w:b w:val="0"/>
                <w:i w:val="0"/>
                <w:color w:val="000000"/>
                <w:sz w:val="19"/>
              </w:rPr>
              <w:t xml:space="preserve">2.41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2.41</w:t>
            </w:r>
          </w:p>
        </w:tc>
        <w:tc>
          <w:tcPr>
            <w:tcW w:w="1600" w:type="dxa"/>
            <w:tcBorders/>
            <w:vAlign w:val="center"/>
          </w:tcPr>
          <w:p>
            <w:pPr>
              <w:jc w:val="right"/>
            </w:pPr>
            <w:r>
              <w:rPr>
                <w:rFonts w:ascii="宋体" w:eastAsia="宋体" w:hAnsi="宋体" w:cs="宋体"/>
                <w:b w:val="0"/>
                <w:i w:val="0"/>
                <w:color w:val="000000"/>
                <w:sz w:val="19"/>
              </w:rPr>
              <w:t xml:space="preserve">2.41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5.97</w:t>
            </w:r>
          </w:p>
        </w:tc>
        <w:tc>
          <w:tcPr>
            <w:tcW w:w="1600" w:type="dxa"/>
            <w:tcBorders/>
            <w:vAlign w:val="center"/>
          </w:tcPr>
          <w:p>
            <w:pPr>
              <w:jc w:val="right"/>
            </w:pPr>
            <w:r>
              <w:rPr>
                <w:rFonts w:ascii="宋体" w:eastAsia="宋体" w:hAnsi="宋体" w:cs="宋体"/>
                <w:b w:val="0"/>
                <w:i w:val="0"/>
                <w:color w:val="000000"/>
                <w:sz w:val="19"/>
              </w:rPr>
              <w:t xml:space="preserve">5.97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5.97</w:t>
            </w:r>
          </w:p>
        </w:tc>
        <w:tc>
          <w:tcPr>
            <w:tcW w:w="1600" w:type="dxa"/>
            <w:tcBorders/>
            <w:vAlign w:val="center"/>
          </w:tcPr>
          <w:p>
            <w:pPr>
              <w:jc w:val="right"/>
            </w:pPr>
            <w:r>
              <w:rPr>
                <w:rFonts w:ascii="宋体" w:eastAsia="宋体" w:hAnsi="宋体" w:cs="宋体"/>
                <w:b w:val="0"/>
                <w:i w:val="0"/>
                <w:color w:val="000000"/>
                <w:sz w:val="19"/>
              </w:rPr>
              <w:t xml:space="preserve">5.97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2.88</w:t>
            </w:r>
          </w:p>
        </w:tc>
        <w:tc>
          <w:tcPr>
            <w:tcW w:w="1600" w:type="dxa"/>
            <w:tcBorders/>
            <w:vAlign w:val="center"/>
          </w:tcPr>
          <w:p>
            <w:pPr>
              <w:jc w:val="right"/>
            </w:pPr>
            <w:r>
              <w:rPr>
                <w:rFonts w:ascii="宋体" w:eastAsia="宋体" w:hAnsi="宋体" w:cs="宋体"/>
                <w:b w:val="0"/>
                <w:i w:val="0"/>
                <w:color w:val="000000"/>
                <w:sz w:val="19"/>
              </w:rPr>
              <w:t xml:space="preserve">2.88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3.09</w:t>
            </w:r>
          </w:p>
        </w:tc>
        <w:tc>
          <w:tcPr>
            <w:tcW w:w="1600" w:type="dxa"/>
            <w:tcBorders/>
            <w:vAlign w:val="center"/>
          </w:tcPr>
          <w:p>
            <w:pPr>
              <w:jc w:val="right"/>
            </w:pPr>
            <w:r>
              <w:rPr>
                <w:rFonts w:ascii="宋体" w:eastAsia="宋体" w:hAnsi="宋体" w:cs="宋体"/>
                <w:b w:val="0"/>
                <w:i w:val="0"/>
                <w:color w:val="000000"/>
                <w:sz w:val="19"/>
              </w:rPr>
              <w:t xml:space="preserve">3.09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3.07</w:t>
            </w:r>
          </w:p>
        </w:tc>
        <w:tc>
          <w:tcPr>
            <w:tcW w:w="1600" w:type="dxa"/>
            <w:tcBorders/>
            <w:vAlign w:val="center"/>
          </w:tcPr>
          <w:p>
            <w:pPr>
              <w:jc w:val="right"/>
            </w:pPr>
            <w:r>
              <w:rPr>
                <w:rFonts w:ascii="宋体" w:eastAsia="宋体" w:hAnsi="宋体" w:cs="宋体"/>
                <w:b w:val="0"/>
                <w:i w:val="0"/>
                <w:color w:val="000000"/>
                <w:sz w:val="19"/>
              </w:rPr>
              <w:t xml:space="preserve">3.07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3.07</w:t>
            </w:r>
          </w:p>
        </w:tc>
        <w:tc>
          <w:tcPr>
            <w:tcW w:w="1600" w:type="dxa"/>
            <w:tcBorders/>
            <w:vAlign w:val="center"/>
          </w:tcPr>
          <w:p>
            <w:pPr>
              <w:jc w:val="right"/>
            </w:pPr>
            <w:r>
              <w:rPr>
                <w:rFonts w:ascii="宋体" w:eastAsia="宋体" w:hAnsi="宋体" w:cs="宋体"/>
                <w:b w:val="0"/>
                <w:i w:val="0"/>
                <w:color w:val="000000"/>
                <w:sz w:val="19"/>
              </w:rPr>
              <w:t xml:space="preserve">3.07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1.46</w:t>
            </w:r>
          </w:p>
        </w:tc>
        <w:tc>
          <w:tcPr>
            <w:tcW w:w="1600" w:type="dxa"/>
            <w:tcBorders/>
            <w:vAlign w:val="center"/>
          </w:tcPr>
          <w:p>
            <w:pPr>
              <w:jc w:val="right"/>
            </w:pPr>
            <w:r>
              <w:rPr>
                <w:rFonts w:ascii="宋体" w:eastAsia="宋体" w:hAnsi="宋体" w:cs="宋体"/>
                <w:b w:val="0"/>
                <w:i w:val="0"/>
                <w:color w:val="000000"/>
                <w:sz w:val="19"/>
              </w:rPr>
              <w:t xml:space="preserve">1.46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1.62</w:t>
            </w:r>
          </w:p>
        </w:tc>
        <w:tc>
          <w:tcPr>
            <w:tcW w:w="1600" w:type="dxa"/>
            <w:tcBorders/>
            <w:vAlign w:val="center"/>
          </w:tcPr>
          <w:p>
            <w:pPr>
              <w:jc w:val="right"/>
            </w:pPr>
            <w:r>
              <w:rPr>
                <w:rFonts w:ascii="宋体" w:eastAsia="宋体" w:hAnsi="宋体" w:cs="宋体"/>
                <w:b w:val="0"/>
                <w:i w:val="0"/>
                <w:color w:val="000000"/>
                <w:sz w:val="19"/>
              </w:rPr>
              <w:t xml:space="preserve">1.62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54.23</w:t>
            </w:r>
          </w:p>
        </w:tc>
        <w:tc>
          <w:tcPr>
            <w:tcW w:w="1600" w:type="dxa"/>
            <w:tcBorders/>
            <w:vAlign w:val="center"/>
          </w:tcPr>
          <w:p>
            <w:pPr>
              <w:jc w:val="right"/>
            </w:pPr>
            <w:r>
              <w:rPr>
                <w:rFonts w:ascii="宋体" w:eastAsia="宋体" w:hAnsi="宋体" w:cs="宋体"/>
                <w:b w:val="0"/>
                <w:i w:val="0"/>
                <w:color w:val="000000"/>
                <w:sz w:val="19"/>
              </w:rPr>
              <w:t xml:space="preserve">54.23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54.23</w:t>
            </w:r>
          </w:p>
        </w:tc>
        <w:tc>
          <w:tcPr>
            <w:tcW w:w="1600" w:type="dxa"/>
            <w:tcBorders/>
            <w:vAlign w:val="center"/>
          </w:tcPr>
          <w:p>
            <w:pPr>
              <w:jc w:val="right"/>
            </w:pPr>
            <w:r>
              <w:rPr>
                <w:rFonts w:ascii="宋体" w:eastAsia="宋体" w:hAnsi="宋体" w:cs="宋体"/>
                <w:b w:val="0"/>
                <w:i w:val="0"/>
                <w:color w:val="000000"/>
                <w:sz w:val="19"/>
              </w:rPr>
              <w:t xml:space="preserve">54.23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54.23</w:t>
            </w:r>
          </w:p>
        </w:tc>
        <w:tc>
          <w:tcPr>
            <w:tcW w:w="1600" w:type="dxa"/>
            <w:tcBorders/>
            <w:vAlign w:val="center"/>
          </w:tcPr>
          <w:p>
            <w:pPr>
              <w:jc w:val="right"/>
            </w:pPr>
            <w:r>
              <w:rPr>
                <w:rFonts w:ascii="宋体" w:eastAsia="宋体" w:hAnsi="宋体" w:cs="宋体"/>
                <w:b w:val="0"/>
                <w:i w:val="0"/>
                <w:color w:val="000000"/>
                <w:sz w:val="19"/>
              </w:rPr>
              <w:t xml:space="preserve">54.23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2.77</w:t>
            </w:r>
          </w:p>
        </w:tc>
        <w:tc>
          <w:tcPr>
            <w:tcW w:w="1600" w:type="dxa"/>
            <w:tcBorders/>
            <w:vAlign w:val="center"/>
          </w:tcPr>
          <w:p>
            <w:pPr>
              <w:jc w:val="right"/>
            </w:pPr>
            <w:r>
              <w:rPr>
                <w:rFonts w:ascii="宋体" w:eastAsia="宋体" w:hAnsi="宋体" w:cs="宋体"/>
                <w:b w:val="0"/>
                <w:i w:val="0"/>
                <w:color w:val="000000"/>
                <w:sz w:val="19"/>
              </w:rPr>
              <w:t xml:space="preserve">2.77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2.77</w:t>
            </w:r>
          </w:p>
        </w:tc>
        <w:tc>
          <w:tcPr>
            <w:tcW w:w="1600" w:type="dxa"/>
            <w:tcBorders/>
            <w:vAlign w:val="center"/>
          </w:tcPr>
          <w:p>
            <w:pPr>
              <w:jc w:val="right"/>
            </w:pPr>
            <w:r>
              <w:rPr>
                <w:rFonts w:ascii="宋体" w:eastAsia="宋体" w:hAnsi="宋体" w:cs="宋体"/>
                <w:b w:val="0"/>
                <w:i w:val="0"/>
                <w:color w:val="000000"/>
                <w:sz w:val="19"/>
              </w:rPr>
              <w:t xml:space="preserve">2.77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2.77</w:t>
            </w:r>
          </w:p>
        </w:tc>
        <w:tc>
          <w:tcPr>
            <w:tcW w:w="1600" w:type="dxa"/>
            <w:tcBorders/>
            <w:vAlign w:val="center"/>
          </w:tcPr>
          <w:p>
            <w:pPr>
              <w:jc w:val="right"/>
            </w:pPr>
            <w:r>
              <w:rPr>
                <w:rFonts w:ascii="宋体" w:eastAsia="宋体" w:hAnsi="宋体" w:cs="宋体"/>
                <w:b w:val="0"/>
                <w:i w:val="0"/>
                <w:color w:val="000000"/>
                <w:sz w:val="19"/>
              </w:rPr>
              <w:t xml:space="preserve">2.77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单位：许昌市自然资源和规划局城乡一体化示范区分局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68.83</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2.77</w:t>
            </w:r>
          </w:p>
        </w:tc>
        <w:tc>
          <w:tcPr>
            <w:tcW w:w="1420" w:type="dxa"/>
            <w:tcBorders/>
            <w:vAlign w:val="center"/>
          </w:tcPr>
          <w:p>
            <w:pPr>
              <w:jc w:val="right"/>
            </w:pPr>
            <w:r>
              <w:rPr>
                <w:rFonts w:ascii="宋体" w:eastAsia="宋体" w:hAnsi="宋体" w:cs="宋体"/>
                <w:b w:val="0"/>
                <w:i w:val="0"/>
                <w:color w:val="000000"/>
                <w:sz w:val="18"/>
              </w:rPr>
              <w:t xml:space="preserve">2.77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5.97</w:t>
            </w:r>
          </w:p>
        </w:tc>
        <w:tc>
          <w:tcPr>
            <w:tcW w:w="1420" w:type="dxa"/>
            <w:tcBorders/>
            <w:vAlign w:val="center"/>
          </w:tcPr>
          <w:p>
            <w:pPr>
              <w:jc w:val="right"/>
            </w:pPr>
            <w:r>
              <w:rPr>
                <w:rFonts w:ascii="宋体" w:eastAsia="宋体" w:hAnsi="宋体" w:cs="宋体"/>
                <w:b w:val="0"/>
                <w:i w:val="0"/>
                <w:color w:val="000000"/>
                <w:sz w:val="18"/>
              </w:rPr>
              <w:t xml:space="preserve">5.97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3.07</w:t>
            </w:r>
          </w:p>
        </w:tc>
        <w:tc>
          <w:tcPr>
            <w:tcW w:w="1420" w:type="dxa"/>
            <w:tcBorders/>
            <w:vAlign w:val="center"/>
          </w:tcPr>
          <w:p>
            <w:pPr>
              <w:jc w:val="right"/>
            </w:pPr>
            <w:r>
              <w:rPr>
                <w:rFonts w:ascii="宋体" w:eastAsia="宋体" w:hAnsi="宋体" w:cs="宋体"/>
                <w:b w:val="0"/>
                <w:i w:val="0"/>
                <w:color w:val="000000"/>
                <w:sz w:val="18"/>
              </w:rPr>
              <w:t xml:space="preserve">3.07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54.23</w:t>
            </w:r>
          </w:p>
        </w:tc>
        <w:tc>
          <w:tcPr>
            <w:tcW w:w="1420" w:type="dxa"/>
            <w:tcBorders/>
            <w:vAlign w:val="center"/>
          </w:tcPr>
          <w:p>
            <w:pPr>
              <w:jc w:val="right"/>
            </w:pPr>
            <w:r>
              <w:rPr>
                <w:rFonts w:ascii="宋体" w:eastAsia="宋体" w:hAnsi="宋体" w:cs="宋体"/>
                <w:b w:val="0"/>
                <w:i w:val="0"/>
                <w:color w:val="000000"/>
                <w:sz w:val="18"/>
              </w:rPr>
              <w:t xml:space="preserve">54.23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2.77</w:t>
            </w:r>
          </w:p>
        </w:tc>
        <w:tc>
          <w:tcPr>
            <w:tcW w:w="1420" w:type="dxa"/>
            <w:tcBorders/>
            <w:vAlign w:val="center"/>
          </w:tcPr>
          <w:p>
            <w:pPr>
              <w:jc w:val="right"/>
            </w:pPr>
            <w:r>
              <w:rPr>
                <w:rFonts w:ascii="宋体" w:eastAsia="宋体" w:hAnsi="宋体" w:cs="宋体"/>
                <w:b w:val="0"/>
                <w:i w:val="0"/>
                <w:color w:val="000000"/>
                <w:sz w:val="18"/>
              </w:rPr>
              <w:t xml:space="preserve">2.77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68.83</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68.83</w:t>
            </w:r>
          </w:p>
        </w:tc>
        <w:tc>
          <w:tcPr>
            <w:tcW w:w="1420" w:type="dxa"/>
            <w:tcBorders/>
            <w:vAlign w:val="center"/>
          </w:tcPr>
          <w:p>
            <w:pPr>
              <w:jc w:val="right"/>
            </w:pPr>
            <w:r>
              <w:rPr>
                <w:rFonts w:ascii="宋体" w:eastAsia="宋体" w:hAnsi="宋体" w:cs="宋体"/>
                <w:b w:val="0"/>
                <w:i w:val="0"/>
                <w:color w:val="000000"/>
                <w:sz w:val="18"/>
              </w:rPr>
              <w:t xml:space="preserve">68.83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68.83</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68.83</w:t>
            </w:r>
          </w:p>
        </w:tc>
        <w:tc>
          <w:tcPr>
            <w:tcW w:w="1420" w:type="dxa"/>
            <w:tcBorders/>
            <w:vAlign w:val="center"/>
          </w:tcPr>
          <w:p>
            <w:pPr>
              <w:jc w:val="right"/>
            </w:pPr>
            <w:r>
              <w:rPr>
                <w:rFonts w:ascii="宋体" w:eastAsia="宋体" w:hAnsi="宋体" w:cs="宋体"/>
                <w:b w:val="0"/>
                <w:i w:val="0"/>
                <w:color w:val="000000"/>
                <w:sz w:val="18"/>
              </w:rPr>
              <w:t xml:space="preserve">68.83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单位：许昌市自然资源和规划局城乡一体化示范区分局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68.83</w:t>
            </w:r>
          </w:p>
        </w:tc>
        <w:tc>
          <w:tcPr>
            <w:tcW w:w="2700" w:type="dxa"/>
            <w:tcBorders/>
            <w:vAlign w:val="center"/>
          </w:tcPr>
          <w:p>
            <w:pPr>
              <w:jc w:val="right"/>
            </w:pPr>
            <w:r>
              <w:rPr>
                <w:rFonts w:ascii="宋体" w:eastAsia="宋体" w:hAnsi="宋体" w:cs="宋体"/>
                <w:b/>
                <w:i w:val="0"/>
                <w:color w:val="000000"/>
                <w:sz w:val="25"/>
              </w:rPr>
              <w:t xml:space="preserve">68.83</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2.77</w:t>
            </w:r>
          </w:p>
        </w:tc>
        <w:tc>
          <w:tcPr>
            <w:tcW w:w="2700" w:type="dxa"/>
            <w:tcBorders/>
            <w:vAlign w:val="center"/>
          </w:tcPr>
          <w:p>
            <w:pPr>
              <w:jc w:val="right"/>
            </w:pPr>
            <w:r>
              <w:rPr>
                <w:rFonts w:ascii="宋体" w:eastAsia="宋体" w:hAnsi="宋体" w:cs="宋体"/>
                <w:b w:val="0"/>
                <w:i w:val="0"/>
                <w:color w:val="000000"/>
                <w:sz w:val="25"/>
              </w:rPr>
              <w:t xml:space="preserve">2.77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0.36</w:t>
            </w:r>
          </w:p>
        </w:tc>
        <w:tc>
          <w:tcPr>
            <w:tcW w:w="2700" w:type="dxa"/>
            <w:tcBorders/>
            <w:vAlign w:val="center"/>
          </w:tcPr>
          <w:p>
            <w:pPr>
              <w:jc w:val="right"/>
            </w:pPr>
            <w:r>
              <w:rPr>
                <w:rFonts w:ascii="宋体" w:eastAsia="宋体" w:hAnsi="宋体" w:cs="宋体"/>
                <w:b w:val="0"/>
                <w:i w:val="0"/>
                <w:color w:val="000000"/>
                <w:sz w:val="25"/>
              </w:rPr>
              <w:t xml:space="preserve">0.36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0.36</w:t>
            </w:r>
          </w:p>
        </w:tc>
        <w:tc>
          <w:tcPr>
            <w:tcW w:w="2700" w:type="dxa"/>
            <w:tcBorders/>
            <w:vAlign w:val="center"/>
          </w:tcPr>
          <w:p>
            <w:pPr>
              <w:jc w:val="right"/>
            </w:pPr>
            <w:r>
              <w:rPr>
                <w:rFonts w:ascii="宋体" w:eastAsia="宋体" w:hAnsi="宋体" w:cs="宋体"/>
                <w:b w:val="0"/>
                <w:i w:val="0"/>
                <w:color w:val="000000"/>
                <w:sz w:val="25"/>
              </w:rPr>
              <w:t xml:space="preserve">0.36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2.41</w:t>
            </w:r>
          </w:p>
        </w:tc>
        <w:tc>
          <w:tcPr>
            <w:tcW w:w="2700" w:type="dxa"/>
            <w:tcBorders/>
            <w:vAlign w:val="center"/>
          </w:tcPr>
          <w:p>
            <w:pPr>
              <w:jc w:val="right"/>
            </w:pPr>
            <w:r>
              <w:rPr>
                <w:rFonts w:ascii="宋体" w:eastAsia="宋体" w:hAnsi="宋体" w:cs="宋体"/>
                <w:b w:val="0"/>
                <w:i w:val="0"/>
                <w:color w:val="000000"/>
                <w:sz w:val="25"/>
              </w:rPr>
              <w:t xml:space="preserve">2.41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2.41</w:t>
            </w:r>
          </w:p>
        </w:tc>
        <w:tc>
          <w:tcPr>
            <w:tcW w:w="2700" w:type="dxa"/>
            <w:tcBorders/>
            <w:vAlign w:val="center"/>
          </w:tcPr>
          <w:p>
            <w:pPr>
              <w:jc w:val="right"/>
            </w:pPr>
            <w:r>
              <w:rPr>
                <w:rFonts w:ascii="宋体" w:eastAsia="宋体" w:hAnsi="宋体" w:cs="宋体"/>
                <w:b w:val="0"/>
                <w:i w:val="0"/>
                <w:color w:val="000000"/>
                <w:sz w:val="25"/>
              </w:rPr>
              <w:t xml:space="preserve">2.41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5.97</w:t>
            </w:r>
          </w:p>
        </w:tc>
        <w:tc>
          <w:tcPr>
            <w:tcW w:w="2700" w:type="dxa"/>
            <w:tcBorders/>
            <w:vAlign w:val="center"/>
          </w:tcPr>
          <w:p>
            <w:pPr>
              <w:jc w:val="right"/>
            </w:pPr>
            <w:r>
              <w:rPr>
                <w:rFonts w:ascii="宋体" w:eastAsia="宋体" w:hAnsi="宋体" w:cs="宋体"/>
                <w:b w:val="0"/>
                <w:i w:val="0"/>
                <w:color w:val="000000"/>
                <w:sz w:val="25"/>
              </w:rPr>
              <w:t xml:space="preserve">5.97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5.97</w:t>
            </w:r>
          </w:p>
        </w:tc>
        <w:tc>
          <w:tcPr>
            <w:tcW w:w="2700" w:type="dxa"/>
            <w:tcBorders/>
            <w:vAlign w:val="center"/>
          </w:tcPr>
          <w:p>
            <w:pPr>
              <w:jc w:val="right"/>
            </w:pPr>
            <w:r>
              <w:rPr>
                <w:rFonts w:ascii="宋体" w:eastAsia="宋体" w:hAnsi="宋体" w:cs="宋体"/>
                <w:b w:val="0"/>
                <w:i w:val="0"/>
                <w:color w:val="000000"/>
                <w:sz w:val="25"/>
              </w:rPr>
              <w:t xml:space="preserve">5.97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2.88</w:t>
            </w:r>
          </w:p>
        </w:tc>
        <w:tc>
          <w:tcPr>
            <w:tcW w:w="2700" w:type="dxa"/>
            <w:tcBorders/>
            <w:vAlign w:val="center"/>
          </w:tcPr>
          <w:p>
            <w:pPr>
              <w:jc w:val="right"/>
            </w:pPr>
            <w:r>
              <w:rPr>
                <w:rFonts w:ascii="宋体" w:eastAsia="宋体" w:hAnsi="宋体" w:cs="宋体"/>
                <w:b w:val="0"/>
                <w:i w:val="0"/>
                <w:color w:val="000000"/>
                <w:sz w:val="25"/>
              </w:rPr>
              <w:t xml:space="preserve">2.88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3.09</w:t>
            </w:r>
          </w:p>
        </w:tc>
        <w:tc>
          <w:tcPr>
            <w:tcW w:w="2700" w:type="dxa"/>
            <w:tcBorders/>
            <w:vAlign w:val="center"/>
          </w:tcPr>
          <w:p>
            <w:pPr>
              <w:jc w:val="right"/>
            </w:pPr>
            <w:r>
              <w:rPr>
                <w:rFonts w:ascii="宋体" w:eastAsia="宋体" w:hAnsi="宋体" w:cs="宋体"/>
                <w:b w:val="0"/>
                <w:i w:val="0"/>
                <w:color w:val="000000"/>
                <w:sz w:val="25"/>
              </w:rPr>
              <w:t xml:space="preserve">3.09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3.07</w:t>
            </w:r>
          </w:p>
        </w:tc>
        <w:tc>
          <w:tcPr>
            <w:tcW w:w="2700" w:type="dxa"/>
            <w:tcBorders/>
            <w:vAlign w:val="center"/>
          </w:tcPr>
          <w:p>
            <w:pPr>
              <w:jc w:val="right"/>
            </w:pPr>
            <w:r>
              <w:rPr>
                <w:rFonts w:ascii="宋体" w:eastAsia="宋体" w:hAnsi="宋体" w:cs="宋体"/>
                <w:b w:val="0"/>
                <w:i w:val="0"/>
                <w:color w:val="000000"/>
                <w:sz w:val="25"/>
              </w:rPr>
              <w:t xml:space="preserve">3.07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3.07</w:t>
            </w:r>
          </w:p>
        </w:tc>
        <w:tc>
          <w:tcPr>
            <w:tcW w:w="2700" w:type="dxa"/>
            <w:tcBorders/>
            <w:vAlign w:val="center"/>
          </w:tcPr>
          <w:p>
            <w:pPr>
              <w:jc w:val="right"/>
            </w:pPr>
            <w:r>
              <w:rPr>
                <w:rFonts w:ascii="宋体" w:eastAsia="宋体" w:hAnsi="宋体" w:cs="宋体"/>
                <w:b w:val="0"/>
                <w:i w:val="0"/>
                <w:color w:val="000000"/>
                <w:sz w:val="25"/>
              </w:rPr>
              <w:t xml:space="preserve">3.07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1.46</w:t>
            </w:r>
          </w:p>
        </w:tc>
        <w:tc>
          <w:tcPr>
            <w:tcW w:w="2700" w:type="dxa"/>
            <w:tcBorders/>
            <w:vAlign w:val="center"/>
          </w:tcPr>
          <w:p>
            <w:pPr>
              <w:jc w:val="right"/>
            </w:pPr>
            <w:r>
              <w:rPr>
                <w:rFonts w:ascii="宋体" w:eastAsia="宋体" w:hAnsi="宋体" w:cs="宋体"/>
                <w:b w:val="0"/>
                <w:i w:val="0"/>
                <w:color w:val="000000"/>
                <w:sz w:val="25"/>
              </w:rPr>
              <w:t xml:space="preserve">1.46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1.62</w:t>
            </w:r>
          </w:p>
        </w:tc>
        <w:tc>
          <w:tcPr>
            <w:tcW w:w="2700" w:type="dxa"/>
            <w:tcBorders/>
            <w:vAlign w:val="center"/>
          </w:tcPr>
          <w:p>
            <w:pPr>
              <w:jc w:val="right"/>
            </w:pPr>
            <w:r>
              <w:rPr>
                <w:rFonts w:ascii="宋体" w:eastAsia="宋体" w:hAnsi="宋体" w:cs="宋体"/>
                <w:b w:val="0"/>
                <w:i w:val="0"/>
                <w:color w:val="000000"/>
                <w:sz w:val="25"/>
              </w:rPr>
              <w:t xml:space="preserve">1.62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54.23</w:t>
            </w:r>
          </w:p>
        </w:tc>
        <w:tc>
          <w:tcPr>
            <w:tcW w:w="2700" w:type="dxa"/>
            <w:tcBorders/>
            <w:vAlign w:val="center"/>
          </w:tcPr>
          <w:p>
            <w:pPr>
              <w:jc w:val="right"/>
            </w:pPr>
            <w:r>
              <w:rPr>
                <w:rFonts w:ascii="宋体" w:eastAsia="宋体" w:hAnsi="宋体" w:cs="宋体"/>
                <w:b w:val="0"/>
                <w:i w:val="0"/>
                <w:color w:val="000000"/>
                <w:sz w:val="25"/>
              </w:rPr>
              <w:t xml:space="preserve">54.23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54.23</w:t>
            </w:r>
          </w:p>
        </w:tc>
        <w:tc>
          <w:tcPr>
            <w:tcW w:w="2700" w:type="dxa"/>
            <w:tcBorders/>
            <w:vAlign w:val="center"/>
          </w:tcPr>
          <w:p>
            <w:pPr>
              <w:jc w:val="right"/>
            </w:pPr>
            <w:r>
              <w:rPr>
                <w:rFonts w:ascii="宋体" w:eastAsia="宋体" w:hAnsi="宋体" w:cs="宋体"/>
                <w:b w:val="0"/>
                <w:i w:val="0"/>
                <w:color w:val="000000"/>
                <w:sz w:val="25"/>
              </w:rPr>
              <w:t xml:space="preserve">54.23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54.23</w:t>
            </w:r>
          </w:p>
        </w:tc>
        <w:tc>
          <w:tcPr>
            <w:tcW w:w="2700" w:type="dxa"/>
            <w:tcBorders/>
            <w:vAlign w:val="center"/>
          </w:tcPr>
          <w:p>
            <w:pPr>
              <w:jc w:val="right"/>
            </w:pPr>
            <w:r>
              <w:rPr>
                <w:rFonts w:ascii="宋体" w:eastAsia="宋体" w:hAnsi="宋体" w:cs="宋体"/>
                <w:b w:val="0"/>
                <w:i w:val="0"/>
                <w:color w:val="000000"/>
                <w:sz w:val="25"/>
              </w:rPr>
              <w:t xml:space="preserve">54.23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2.77</w:t>
            </w:r>
          </w:p>
        </w:tc>
        <w:tc>
          <w:tcPr>
            <w:tcW w:w="2700" w:type="dxa"/>
            <w:tcBorders/>
            <w:vAlign w:val="center"/>
          </w:tcPr>
          <w:p>
            <w:pPr>
              <w:jc w:val="right"/>
            </w:pPr>
            <w:r>
              <w:rPr>
                <w:rFonts w:ascii="宋体" w:eastAsia="宋体" w:hAnsi="宋体" w:cs="宋体"/>
                <w:b w:val="0"/>
                <w:i w:val="0"/>
                <w:color w:val="000000"/>
                <w:sz w:val="25"/>
              </w:rPr>
              <w:t xml:space="preserve">2.77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2.77</w:t>
            </w:r>
          </w:p>
        </w:tc>
        <w:tc>
          <w:tcPr>
            <w:tcW w:w="2700" w:type="dxa"/>
            <w:tcBorders/>
            <w:vAlign w:val="center"/>
          </w:tcPr>
          <w:p>
            <w:pPr>
              <w:jc w:val="right"/>
            </w:pPr>
            <w:r>
              <w:rPr>
                <w:rFonts w:ascii="宋体" w:eastAsia="宋体" w:hAnsi="宋体" w:cs="宋体"/>
                <w:b w:val="0"/>
                <w:i w:val="0"/>
                <w:color w:val="000000"/>
                <w:sz w:val="25"/>
              </w:rPr>
              <w:t xml:space="preserve">2.77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2.77</w:t>
            </w:r>
          </w:p>
        </w:tc>
        <w:tc>
          <w:tcPr>
            <w:tcW w:w="2700" w:type="dxa"/>
            <w:tcBorders/>
            <w:vAlign w:val="center"/>
          </w:tcPr>
          <w:p>
            <w:pPr>
              <w:jc w:val="right"/>
            </w:pPr>
            <w:r>
              <w:rPr>
                <w:rFonts w:ascii="宋体" w:eastAsia="宋体" w:hAnsi="宋体" w:cs="宋体"/>
                <w:b w:val="0"/>
                <w:i w:val="0"/>
                <w:color w:val="000000"/>
                <w:sz w:val="25"/>
              </w:rPr>
              <w:t xml:space="preserve">2.77</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单位：许昌市自然资源和规划局城乡一体化示范区分局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56.67</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9.27</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4.35</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5.30</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20.12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23.24</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3.09</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1.46</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1.62</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0.02</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0.05</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2.77</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0.93</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2.88</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2.88</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0.36</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1.70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0.92</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59.55</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9.27</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单位：许昌市自然资源和规划局城乡一体化示范区分局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单位：许昌市自然资源和规划局城乡一体化示范区分局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单位：许昌市自然资源和规划局城乡一体化示范区分局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68.83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减少2.90万元，下降4.04%</w:t>
      </w:r>
      <w:r>
        <w:rPr>
          <w:rFonts w:ascii="仿宋" w:eastAsia="仿宋" w:hAnsi="仿宋" w:cs="仿宋" w:hint="eastAsia"/>
          <w:kern w:val="0"/>
          <w:sz w:val="32"/>
          <w:szCs w:val="32"/>
          <w:lang w:val="en-US" w:eastAsia="zh-CN"/>
        </w:rPr>
        <w:t xml:space="preserve">。主要原因是本年度退休1人。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68.83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财政拨款收入68.83万元，占100.00%；上级补助收入0.00万元，占0.00%；事业收入0.00万元，占0.00%；经营收入0.00万元，占0.00%；附属单位上缴收入0.00万元，占0.00%；其他收入0.00万元，占0.00%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68.83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基本支出68.83万元，占100.00%；项目支出0.00万元，占0.00%；上缴上级支出0.00万元，占0.00%；经营支出0.00万元，占0.00%；对附属单位补助支出0.00万元，占0.00%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68.83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减少2.90万元，下降4.04%</w:t>
      </w:r>
      <w:r>
        <w:rPr>
          <w:rFonts w:ascii="仿宋" w:eastAsia="仿宋" w:hAnsi="仿宋" w:cs="仿宋" w:hint="eastAsia"/>
          <w:kern w:val="0"/>
          <w:sz w:val="32"/>
          <w:szCs w:val="32"/>
          <w:lang w:val="en-US" w:eastAsia="zh-CN"/>
        </w:rPr>
        <w:t xml:space="preserve">。主要原因是本年度退休1人。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68.83</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减少2.90万元，下降4.04%</w:t>
      </w:r>
      <w:r>
        <w:rPr>
          <w:rFonts w:ascii="仿宋" w:eastAsia="仿宋" w:hAnsi="仿宋" w:cs="仿宋" w:hint="eastAsia"/>
          <w:kern w:val="0"/>
          <w:sz w:val="32"/>
          <w:szCs w:val="32"/>
          <w:lang w:val="en-US" w:eastAsia="zh-CN"/>
        </w:rPr>
        <w:t xml:space="preserve">。主要原因是本年度退休1人。</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68.83</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一般公共服务支出（类）2.77万元，占4.02%；社会保障和就业支出（类）5.97万元，占8.67%；卫生健康支出（类）3.07万元，占4.46%；城乡社区支出（类）54.23万元，占78.79%；住房保障支出（类）2.77万元，占4.06%</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79.04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68.83</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87.08</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年初预算数为0.36万元，决算数0.36万元,完成年初预算的100.00%，决算数与年初预算数不存在差异。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年初预算数为0.00万元，决算数2.41万元,决算数与年初预算数存在差异的主要原因是人员结构调整，工资略有增长。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年初预算数为0.00万元，决算数2.88万元,决算数与年初预算数存在差异的主要原因是本年度退休1人。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年初预算数为4.18万元，决算数3.09万元,完成年初预算的73.92%，决算数与年初预算数存在差异的主要原因是本年度退休1人。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5.卫生健康支出（类）行政事业单位医疗（款）行政单位医疗（项）</w:t>
      </w:r>
      <w:r>
        <w:rPr>
          <w:rFonts w:ascii="仿宋" w:eastAsia="仿宋" w:hAnsi="仿宋" w:cs="仿宋" w:hint="default"/>
          <w:kern w:val="2"/>
          <w:sz w:val="32"/>
          <w:szCs w:val="32"/>
          <w:lang w:val="en-US" w:eastAsia="zh-CN"/>
        </w:rPr>
        <w:t xml:space="preserve">年初预算数为2.22万元，决算数1.46万元,完成年初预算的65.77%，决算数与年初预算数存在差异的主要原因是本年度退休1人。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6.卫生健康支出（类）行政事业单位医疗（款）公务员医疗补助（项）</w:t>
      </w:r>
      <w:r>
        <w:rPr>
          <w:rFonts w:ascii="仿宋" w:eastAsia="仿宋" w:hAnsi="仿宋" w:cs="仿宋" w:hint="default"/>
          <w:kern w:val="2"/>
          <w:sz w:val="32"/>
          <w:szCs w:val="32"/>
          <w:lang w:val="en-US" w:eastAsia="zh-CN"/>
        </w:rPr>
        <w:t xml:space="preserve">年初预算数为2.47万元，决算数1.62万元,完成年初预算的65.59%，决算数与年初预算数存在差异的主要原因是本年度退休1人。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7.城乡社区支出（类）城乡社区管理事务（款）行政运行（项）</w:t>
      </w:r>
      <w:r>
        <w:rPr>
          <w:rFonts w:ascii="仿宋" w:eastAsia="仿宋" w:hAnsi="仿宋" w:cs="仿宋" w:hint="default"/>
          <w:kern w:val="2"/>
          <w:sz w:val="32"/>
          <w:szCs w:val="32"/>
          <w:lang w:val="en-US" w:eastAsia="zh-CN"/>
        </w:rPr>
        <w:t xml:space="preserve">年初预算数为65.58万元，决算数54.23万元,完成年初预算的82.69%，决算数与年初预算数存在差异的主要原因是本年度退休1人。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年初预算数为4.23万元，决算数2.77万元,完成年初预算的65.48%，决算数与年初预算数存在差异的主要原因是本年度退休1人。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68.83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其中：人员经费59.55万元，主要包括：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公用经费9.27万元，主要包括：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2023年度机关运行经费支出9.27万元，</w:t>
      </w:r>
      <w:r>
        <w:rPr>
          <w:rFonts w:ascii="仿宋" w:eastAsia="仿宋" w:hAnsi="仿宋" w:cs="仿宋" w:hint="eastAsia"/>
          <w:kern w:val="0"/>
          <w:sz w:val="32"/>
          <w:szCs w:val="32"/>
          <w:lang w:val="en-US" w:eastAsia="zh-CN"/>
        </w:rPr>
        <w:t xml:space="preserve">较2022年度增长3.47万元，</w:t>
      </w:r>
      <w:r>
        <w:rPr>
          <w:rFonts w:ascii="仿宋" w:eastAsia="仿宋" w:hAnsi="仿宋" w:cs="仿宋" w:hint="eastAsia"/>
          <w:kern w:val="0"/>
          <w:sz w:val="32"/>
          <w:szCs w:val="32"/>
          <w:lang w:val="en-US" w:eastAsia="zh-CN"/>
        </w:rPr>
        <w:t xml:space="preserve">增长59.83%，</w:t>
      </w:r>
      <w:r>
        <w:rPr>
          <w:rFonts w:ascii="仿宋" w:eastAsia="仿宋" w:hAnsi="仿宋" w:cs="仿宋" w:hint="eastAsia"/>
          <w:kern w:val="0"/>
          <w:sz w:val="32"/>
          <w:szCs w:val="32"/>
          <w:lang w:val="en-US" w:eastAsia="zh-CN"/>
        </w:rPr>
        <w:t xml:space="preserve">主要原因是本年度公用经费含公务交通补贴；日常办公业务增多。</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79.04</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94.7</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高度重视绩效管理工作，按照“察实情、出实招、务实干、重实绩”的工作思路，切实加强预算绩效管理。建立健全以绩效目标为导向，以绩效评价为手段，以结果应用为保障，以改进预算管理、优化资源配置、控制节约成本为目的，全面贯穿预算编制、执行、监督、决算全过程的预算绩效管理体系。通过召开会议、发布方案，一方面强调预算绩效管理的重要性，明确职责，协调相关单位加强预算绩效管理工作；另一方面突出重点，加强过程和结果绩效管理，要求上报财政的绩效目标保质按时完成</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374"/>
        <w:gridCol w:w="374"/>
        <w:gridCol w:w="1246"/>
        <w:gridCol w:w="1522"/>
        <w:gridCol w:w="1246"/>
        <w:gridCol w:w="1259"/>
        <w:gridCol w:w="1314"/>
        <w:gridCol w:w="471"/>
        <w:gridCol w:w="1024"/>
        <w:gridCol w:w="1079"/>
      </w:tblGrid>
      <w:tr>
        <w:trPr>
          <w:trHeight w:hRule="exact" w:val="209"/>
          <w:jc w:val="center"/>
        </w:trPr>
        <w:tc>
          <w:tcPr>
            <w:tcW w:w="374" w:type="dxa"/>
            <w:shd w:val="clear" w:color="auto" w:fill="auto"/>
            <w:vAlign w:val="bottom"/>
          </w:tcPr>
          <w:p>
            <w:pPr>
              <w:snapToGrid w:val="0"/>
              <w:spacing w:before="0" w:beforeAutospacing="0" w:after="0" w:afterAutospacing="0" w:line="240" w:lineRule="auto"/>
            </w:pPr>
            <w:r>
              <w:rPr>
                <w:rFonts w:ascii="黑体" w:eastAsia="黑体" w:hAnsi="黑体" w:cs="黑体"/>
                <w:b w:val="0"/>
                <w:i w:val="0"/>
                <w:color w:val="000000"/>
                <w:sz w:val="15"/>
              </w:rPr>
              <w:t xml:space="preserve">附件2</w:t>
            </w:r>
          </w:p>
        </w:tc>
        <w:tc>
          <w:tcPr>
            <w:tcW w:w="374" w:type="dxa"/>
            <w:shd w:val="clear" w:color="auto" w:fill="auto"/>
            <w:vAlign w:val="bottom"/>
          </w:tcPr>
          <w:p>
            <w:pPr>
              <w:snapToGrid w:val="0"/>
              <w:spacing w:before="0" w:beforeAutospacing="0" w:after="0" w:afterAutospacing="0" w:line="240" w:lineRule="auto"/>
            </w:pPr>
          </w:p>
        </w:tc>
        <w:tc>
          <w:tcPr>
            <w:tcW w:w="1246" w:type="dxa"/>
            <w:shd w:val="clear" w:color="auto" w:fill="auto"/>
            <w:vAlign w:val="bottom"/>
          </w:tcPr>
          <w:p>
            <w:pPr>
              <w:snapToGrid w:val="0"/>
              <w:spacing w:before="0" w:beforeAutospacing="0" w:after="0" w:afterAutospacing="0" w:line="240" w:lineRule="auto"/>
            </w:pPr>
          </w:p>
        </w:tc>
        <w:tc>
          <w:tcPr>
            <w:tcW w:w="1522" w:type="dxa"/>
            <w:shd w:val="clear" w:color="auto" w:fill="auto"/>
            <w:vAlign w:val="bottom"/>
          </w:tcPr>
          <w:p>
            <w:pPr>
              <w:snapToGrid w:val="0"/>
              <w:spacing w:before="0" w:beforeAutospacing="0" w:after="0" w:afterAutospacing="0" w:line="240" w:lineRule="auto"/>
            </w:pPr>
          </w:p>
        </w:tc>
        <w:tc>
          <w:tcPr>
            <w:tcW w:w="1246" w:type="dxa"/>
            <w:shd w:val="clear" w:color="auto" w:fill="auto"/>
            <w:vAlign w:val="bottom"/>
          </w:tcPr>
          <w:p>
            <w:pPr>
              <w:snapToGrid w:val="0"/>
              <w:spacing w:before="0" w:beforeAutospacing="0" w:after="0" w:afterAutospacing="0" w:line="240" w:lineRule="auto"/>
            </w:pPr>
          </w:p>
        </w:tc>
        <w:tc>
          <w:tcPr>
            <w:tcW w:w="1259" w:type="dxa"/>
            <w:shd w:val="clear" w:color="auto" w:fill="auto"/>
            <w:vAlign w:val="bottom"/>
          </w:tcPr>
          <w:p>
            <w:pPr>
              <w:snapToGrid w:val="0"/>
              <w:spacing w:before="0" w:beforeAutospacing="0" w:after="0" w:afterAutospacing="0" w:line="240" w:lineRule="auto"/>
            </w:pPr>
          </w:p>
        </w:tc>
        <w:tc>
          <w:tcPr>
            <w:tcW w:w="1314" w:type="dxa"/>
            <w:shd w:val="clear" w:color="auto" w:fill="auto"/>
            <w:vAlign w:val="bottom"/>
          </w:tcPr>
          <w:p>
            <w:pPr>
              <w:snapToGrid w:val="0"/>
              <w:spacing w:before="0" w:beforeAutospacing="0" w:after="0" w:afterAutospacing="0" w:line="240" w:lineRule="auto"/>
            </w:pPr>
          </w:p>
        </w:tc>
        <w:tc>
          <w:tcPr>
            <w:tcW w:w="471" w:type="dxa"/>
            <w:shd w:val="clear" w:color="auto" w:fill="auto"/>
            <w:vAlign w:val="bottom"/>
          </w:tcPr>
          <w:p>
            <w:pPr>
              <w:snapToGrid w:val="0"/>
              <w:spacing w:before="0" w:beforeAutospacing="0" w:after="0" w:afterAutospacing="0" w:line="240" w:lineRule="auto"/>
            </w:pPr>
          </w:p>
        </w:tc>
        <w:tc>
          <w:tcPr>
            <w:tcW w:w="1024" w:type="dxa"/>
            <w:shd w:val="clear" w:color="auto" w:fill="auto"/>
            <w:vAlign w:val="bottom"/>
          </w:tcPr>
          <w:p>
            <w:pPr>
              <w:snapToGrid w:val="0"/>
              <w:spacing w:before="0" w:beforeAutospacing="0" w:after="0" w:afterAutospacing="0" w:line="240" w:lineRule="auto"/>
            </w:pPr>
          </w:p>
        </w:tc>
        <w:tc>
          <w:tcPr>
            <w:tcW w:w="1079" w:type="dxa"/>
            <w:shd w:val="clear" w:color="auto" w:fill="auto"/>
            <w:vAlign w:val="bottom"/>
          </w:tcPr>
          <w:p>
            <w:pPr>
              <w:snapToGrid w:val="0"/>
              <w:spacing w:before="0" w:beforeAutospacing="0" w:after="0" w:afterAutospacing="0" w:line="240" w:lineRule="auto"/>
            </w:pPr>
          </w:p>
        </w:tc>
      </w:tr>
      <w:tr>
        <w:trPr>
          <w:trHeight w:hRule="exact" w:val="377"/>
          <w:jc w:val="center"/>
        </w:trPr>
        <w:tc>
          <w:tcPr>
            <w:tcW w:w="9909" w:type="dxa"/>
            <w:hMerge w:val="restart"/>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i w:val="0"/>
                <w:color w:val="000000"/>
                <w:sz w:val="22"/>
              </w:rPr>
              <w:t xml:space="preserve">部门整体自评表</w:t>
            </w: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r>
      <w:tr>
        <w:trPr>
          <w:trHeight w:hRule="exact" w:val="283"/>
          <w:jc w:val="center"/>
        </w:trPr>
        <w:tc>
          <w:tcPr>
            <w:tcW w:w="9909" w:type="dxa"/>
            <w:hMerge w:val="restart"/>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  2023 年度）</w:t>
            </w: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r>
      <w:tr>
        <w:trPr>
          <w:trHeight w:hRule="exact" w:val="283"/>
          <w:jc w:val="center"/>
        </w:trPr>
        <w:tc>
          <w:tcPr>
            <w:tcW w:w="374" w:type="dxa"/>
            <w:tcBorders>
              <w:bottom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             </w:t>
            </w:r>
          </w:p>
        </w:tc>
        <w:tc>
          <w:tcPr>
            <w:tcW w:w="374"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46"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522"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46"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59"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785"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right"/>
            </w:pPr>
            <w:r>
              <w:rPr>
                <w:rFonts w:ascii="Calibri" w:eastAsia="Calibri" w:hAnsi="Calibri" w:cs="Calibri"/>
                <w:b w:val="0"/>
                <w:i w:val="0"/>
                <w:color w:val="000000"/>
                <w:sz w:val="13"/>
              </w:rPr>
              <w:t xml:space="preserve">填表人及联系方式：</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right"/>
            </w:pPr>
          </w:p>
        </w:tc>
        <w:tc>
          <w:tcPr>
            <w:tcW w:w="2103"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67"/>
          <w:jc w:val="center"/>
        </w:trPr>
        <w:tc>
          <w:tcPr>
            <w:tcW w:w="1994"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91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许昌市自然资源和规划局城乡一体化示范区分局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67"/>
          <w:jc w:val="center"/>
        </w:trPr>
        <w:tc>
          <w:tcPr>
            <w:tcW w:w="199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91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9"/>
          <w:jc w:val="center"/>
        </w:trPr>
        <w:tc>
          <w:tcPr>
            <w:tcW w:w="74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预算</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执行</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情况</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年初预算数</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全年预算数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全年执行数</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分值</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预算执行率</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得分</w:t>
            </w:r>
          </w:p>
        </w:tc>
      </w:tr>
      <w:tr>
        <w:trPr>
          <w:trHeight w:hRule="exact" w:val="167"/>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76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部门预算总额</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79.04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79.04</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68.83</w:t>
            </w:r>
          </w:p>
        </w:tc>
        <w:tc>
          <w:tcPr>
            <w:tcW w:w="471"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0.8708</w:t>
            </w:r>
          </w:p>
        </w:tc>
        <w:tc>
          <w:tcPr>
            <w:tcW w:w="1079"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8.7</w:t>
            </w:r>
          </w:p>
        </w:tc>
      </w:tr>
      <w:tr>
        <w:trPr>
          <w:trHeight w:hRule="exact" w:val="199"/>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资金来源</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政府预算资金</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79.04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79.04</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68.83</w:t>
            </w:r>
          </w:p>
        </w:tc>
        <w:tc>
          <w:tcPr>
            <w:tcW w:w="471"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0.8708</w:t>
            </w:r>
          </w:p>
        </w:tc>
        <w:tc>
          <w:tcPr>
            <w:tcW w:w="1079"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8"/>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  财政专户管理资金</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471"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1079"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8"/>
          <w:jc w:val="center"/>
        </w:trPr>
        <w:tc>
          <w:tcPr>
            <w:tcW w:w="74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单位资金</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471"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1079"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8"/>
          <w:jc w:val="center"/>
        </w:trPr>
        <w:tc>
          <w:tcPr>
            <w:tcW w:w="74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年度</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履职</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目标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45"/>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目标名称</w:t>
            </w:r>
          </w:p>
        </w:tc>
        <w:tc>
          <w:tcPr>
            <w:tcW w:w="40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主要内容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目标完成情况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29"/>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目标1：</w:t>
            </w:r>
          </w:p>
        </w:tc>
        <w:tc>
          <w:tcPr>
            <w:tcW w:w="40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负责宣传和贯彻执行中央、省、市有关国土资源管理的方针政策、法律、法规、条例。</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38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已完成</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40"/>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目标2：</w:t>
            </w:r>
          </w:p>
        </w:tc>
        <w:tc>
          <w:tcPr>
            <w:tcW w:w="40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做好本辖区土地征收征用、土地供应、土地违法违规案件调查处理、林业生态建设工作。</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38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已完成</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30"/>
          <w:jc w:val="center"/>
        </w:trPr>
        <w:tc>
          <w:tcPr>
            <w:tcW w:w="74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w:t>
            </w:r>
          </w:p>
        </w:tc>
        <w:tc>
          <w:tcPr>
            <w:tcW w:w="40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88"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335"/>
          <w:jc w:val="center"/>
        </w:trPr>
        <w:tc>
          <w:tcPr>
            <w:tcW w:w="74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年度</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主要</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任务</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任务名称</w:t>
            </w:r>
          </w:p>
        </w:tc>
        <w:tc>
          <w:tcPr>
            <w:tcW w:w="40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主要内容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任务完成情况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806"/>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任务1：</w:t>
            </w:r>
          </w:p>
        </w:tc>
        <w:tc>
          <w:tcPr>
            <w:tcW w:w="40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以项目为总抓手，切实保障省、市重点项目用地需求，保障了瑞尔电气、梵德威汽车用品有限公司汽车用品产业基地项目、尚德路加油站等项目用地需求。加快土地出让进度，做好供后监管、闲置土地处置工作。</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38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已完成</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81"/>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任务2：</w:t>
            </w:r>
          </w:p>
        </w:tc>
        <w:tc>
          <w:tcPr>
            <w:tcW w:w="40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加大卫片违法用地整改力度，开展违法违规用地清查整治。</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已完成</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71"/>
          <w:jc w:val="center"/>
        </w:trPr>
        <w:tc>
          <w:tcPr>
            <w:tcW w:w="74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任务3：</w:t>
            </w:r>
          </w:p>
        </w:tc>
        <w:tc>
          <w:tcPr>
            <w:tcW w:w="40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完成示范区森林许昌生态建设目标任务，助力森林许昌建设；开展果树进村、林业病虫害防治等工作。</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38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已完成</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67"/>
          <w:jc w:val="center"/>
        </w:trPr>
        <w:tc>
          <w:tcPr>
            <w:tcW w:w="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一级指标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分值</w:t>
            </w:r>
          </w:p>
        </w:tc>
        <w:tc>
          <w:tcPr>
            <w:tcW w:w="12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二级指标</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三级指标</w:t>
            </w:r>
          </w:p>
        </w:tc>
        <w:tc>
          <w:tcPr>
            <w:tcW w:w="12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年度指标值</w:t>
            </w:r>
          </w:p>
        </w:tc>
        <w:tc>
          <w:tcPr>
            <w:tcW w:w="12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指标值说明</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实际完成值</w:t>
            </w:r>
          </w:p>
        </w:tc>
        <w:tc>
          <w:tcPr>
            <w:tcW w:w="4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分值</w:t>
            </w:r>
          </w:p>
        </w:tc>
        <w:tc>
          <w:tcPr>
            <w:tcW w:w="1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得分</w:t>
            </w:r>
          </w:p>
        </w:tc>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偏差原因分析及改进措施</w:t>
            </w:r>
          </w:p>
        </w:tc>
      </w:tr>
      <w:tr>
        <w:trPr>
          <w:trHeight w:hRule="exact" w:val="167"/>
          <w:jc w:val="center"/>
        </w:trPr>
        <w:tc>
          <w:tcPr>
            <w:tcW w:w="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7"/>
          <w:jc w:val="center"/>
        </w:trPr>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投入管理指标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30</w:t>
            </w:r>
          </w:p>
        </w:tc>
        <w:tc>
          <w:tcPr>
            <w:tcW w:w="12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工作目标管理</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年度履职目标相关性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工作目标充</w:t>
            </w:r>
          </w:p>
          <w:p>
            <w:pPr>
              <w:snapToGrid w:val="0"/>
              <w:spacing w:before="0" w:beforeAutospacing="0" w:after="0" w:afterAutospacing="0" w:line="240" w:lineRule="auto"/>
              <w:jc w:val="center"/>
              <w:rPr/>
            </w:pPr>
            <w:r>
              <w:rPr>
                <w:rFonts w:ascii="Calibri" w:eastAsia="Calibri" w:hAnsi="Calibri" w:cs="Calibri"/>
                <w:b w:val="0"/>
                <w:i w:val="0"/>
                <w:color w:val="000000"/>
                <w:sz w:val="11"/>
              </w:rPr>
              <w:t xml:space="preserve">分，内容合法</w:t>
            </w:r>
          </w:p>
          <w:p>
            <w:pPr>
              <w:snapToGrid w:val="0"/>
              <w:spacing w:before="0" w:beforeAutospacing="0" w:after="0" w:afterAutospacing="0" w:line="240" w:lineRule="auto"/>
              <w:jc w:val="center"/>
              <w:rPr/>
            </w:pPr>
            <w:r>
              <w:rPr>
                <w:rFonts w:ascii="Calibri" w:eastAsia="Calibri" w:hAnsi="Calibri" w:cs="Calibri"/>
                <w:b w:val="0"/>
                <w:i w:val="0"/>
                <w:color w:val="000000"/>
                <w:sz w:val="11"/>
              </w:rPr>
              <w:t xml:space="preserve">、合规</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科学 合理</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相关</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86"/>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3"/>
              </w:rPr>
              <w:t xml:space="preserve">工作任务科学性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科学</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科学 合理</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科学</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607"/>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3"/>
              </w:rPr>
              <w:t xml:space="preserve">绩效指标合理性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合理</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科学 合理</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合理</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81"/>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预算和财务管理</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预算编制完整性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完整</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预算编制情况</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完整</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795"/>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专项资金细化率</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无</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无</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无</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92"/>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预算调整率</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≦10%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≦10</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0</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81"/>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结转结余率</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≤10%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5</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≤10%</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56"/>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“三公经费”控制率</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≤10%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≤10%</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0</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61"/>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政府采购执行率</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无</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无</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77"/>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决算真实性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真实</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真实</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真实</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92"/>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资金使用合规性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合规</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合规</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合规</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9"/>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管理制度健全性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健全</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健全</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规范、完整</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08"/>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预决算信息公开性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公开</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公开</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公开</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13"/>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资产管理规范性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规范</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规范</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规范</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9"/>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绩效管理</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绩效监控完成率</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56"/>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绩效自评完成率</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02"/>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部门绩效评价完成率</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87"/>
          <w:jc w:val="center"/>
        </w:trPr>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评价结果应用率</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07"/>
          <w:jc w:val="center"/>
        </w:trPr>
        <w:tc>
          <w:tcPr>
            <w:tcW w:w="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产出指标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25</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重点工作任务完成</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重点工作1计划完成率</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负责宣传和贯彻执行中央、省、市有关国土资源管理的方针政策、法律、法规、条例。制定土地储备中长期规划，编制年度土地收储计划并及时发布土地储备信息。</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15</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15</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010"/>
          <w:jc w:val="center"/>
        </w:trPr>
        <w:tc>
          <w:tcPr>
            <w:tcW w:w="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履职目标实现</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年度工作目标1实现率</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以项目为总抓手，切实保障省、市重点项目用地需求，保障了瑞尔电气、梵德威汽车用品有限公司汽车用品产业基地项目、尚德路加油站等项目用地需求。加快土地出让进度，做好供后监管、闲置土地处置工作。</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0.95</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8</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67"/>
          <w:jc w:val="center"/>
        </w:trPr>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效益指标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35</w:t>
            </w:r>
          </w:p>
        </w:tc>
        <w:tc>
          <w:tcPr>
            <w:tcW w:w="124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履职效益</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经济效益</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提升</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经济效益</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提升</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67"/>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社会效益</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提升</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社会效益</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提升</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51"/>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满意度</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社会公众满意度</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满意</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社会公众满意度</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满意</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67"/>
          <w:jc w:val="center"/>
        </w:trPr>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服务对象满意度</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满意</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服务对象满意度</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满意</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5</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4</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900"/>
          <w:jc w:val="center"/>
        </w:trPr>
        <w:tc>
          <w:tcPr>
            <w:tcW w:w="9909"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完成情况分为好、较好、一般、较差四档，在相应档次分别按照100％-90%(含)、90%-80％(含)、80％-60％(含)、60％-0％合理确定分值。定量指标完成指标值的，记该指标所赋全部分值；未完成的，按照完成值与指标值的比例计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2"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2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2024-10-10T09:21:15Z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