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许昌市自然资源和规划局东城区服务中心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许昌市自然资源和规划局东城区服务中心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许昌市自然资源和规划局东城区服务中心概况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负责辖区内基础测绘、地籍测绘、行政区域界限测绘和其他重大测绘项目，指导监督测绘成果、质量管理和测绘成果资料汇交、审核重要地理信息数据。（二）负责辖区内自然资源信息系统的建设、管理、维护和技术指导工作，推进自然资源信息化建设，提供自然资源基础数据服务，提升自然资源信息化水平。（三）负责规划区内建设项目规划方案的初审、论证及上报工作；负责辖区内单元控规、控制性详细规划、专项规划、城市设计、建设工程设计方案等初审工作，为前期研究、技术审核、初步论证等工作提供技术服务；协助分局做好规划审批工作。（四）负责对国土空间规划编制、实施管理政策进行研究，为规划管理工作提供技术保障；协助分局做好辖区内国土空间规划和建设项目日常规划管理工作。（五）负责辖区内不动产登记前期工作，承担辖区内建设项目档案管理、查询服务等工作，做好不动产权属争议、纠纷、矛盾协调处理。（六）协助分局做好辖区内自然资源基础调查、变更调查、动态监测及自然资源专项调查监测工作。（七）协助分局做好自然资源国土空间用途管制、调查监测评价、自然资源有偿使用及合理开发利用；做好辖区内土地资源开发、整理、复垦、监督管理工作；做好造森绿化工作。（八）负责辖区内耕地保护和基本农田保护工作，严格落实耕保护及各类辞旧迎新碰锁计监督管理制度，做好国土空间生态修复工作。承担辖区内自然资源巡查职责，及时发现和制止土地、矿产等自然资源违法行为，处理自然资源违法违规案件及其他事务性工作，配合分局好自然信访工作。（九）协助分局做好地质灾害预防和治理、矿业权管理及矿产资源保护与监督工作。（十）协助分局做好各类土地用途转用、征收征用报件的上报工作；协助开展防火巡护、火源管理、防火设施建设等工作；为城建重点项目提供规划技术服务工作。（十一）承办市局交办协助分局的其他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许昌市自然资源和规划局东城区服务中心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许昌市自然资源和规划局东城区服务中心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许昌市自然资源和规划局东城区服务中心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166.49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6.74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8.41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134.58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8.20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166.49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166.49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166.49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166.49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166.49</w:t>
            </w:r>
          </w:p>
        </w:tc>
        <w:tc>
          <w:tcPr>
            <w:tcW w:w="1440" w:type="dxa"/>
            <w:tcBorders/>
            <w:vAlign w:val="center"/>
          </w:tcPr>
          <w:p>
            <w:pPr>
              <w:jc w:val="right"/>
            </w:pPr>
            <w:r>
              <w:rPr>
                <w:rFonts w:ascii="宋体" w:eastAsia="宋体" w:hAnsi="宋体" w:cs="宋体"/>
                <w:b/>
                <w:i w:val="0"/>
                <w:color w:val="000000"/>
                <w:sz w:val="17"/>
              </w:rPr>
              <w:t xml:space="preserve">166.49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6.74</w:t>
            </w:r>
          </w:p>
        </w:tc>
        <w:tc>
          <w:tcPr>
            <w:tcW w:w="1440" w:type="dxa"/>
            <w:tcBorders/>
            <w:vAlign w:val="center"/>
          </w:tcPr>
          <w:p>
            <w:pPr>
              <w:jc w:val="right"/>
            </w:pPr>
            <w:r>
              <w:rPr>
                <w:rFonts w:ascii="宋体" w:eastAsia="宋体" w:hAnsi="宋体" w:cs="宋体"/>
                <w:b w:val="0"/>
                <w:i w:val="0"/>
                <w:color w:val="000000"/>
                <w:sz w:val="17"/>
              </w:rPr>
              <w:t xml:space="preserve">6.74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0.68</w:t>
            </w:r>
          </w:p>
        </w:tc>
        <w:tc>
          <w:tcPr>
            <w:tcW w:w="1440" w:type="dxa"/>
            <w:tcBorders/>
            <w:vAlign w:val="center"/>
          </w:tcPr>
          <w:p>
            <w:pPr>
              <w:jc w:val="right"/>
            </w:pPr>
            <w:r>
              <w:rPr>
                <w:rFonts w:ascii="宋体" w:eastAsia="宋体" w:hAnsi="宋体" w:cs="宋体"/>
                <w:b w:val="0"/>
                <w:i w:val="0"/>
                <w:color w:val="000000"/>
                <w:sz w:val="17"/>
              </w:rPr>
              <w:t xml:space="preserve">0.68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0.68</w:t>
            </w:r>
          </w:p>
        </w:tc>
        <w:tc>
          <w:tcPr>
            <w:tcW w:w="1440" w:type="dxa"/>
            <w:tcBorders/>
            <w:vAlign w:val="center"/>
          </w:tcPr>
          <w:p>
            <w:pPr>
              <w:jc w:val="right"/>
            </w:pPr>
            <w:r>
              <w:rPr>
                <w:rFonts w:ascii="宋体" w:eastAsia="宋体" w:hAnsi="宋体" w:cs="宋体"/>
                <w:b w:val="0"/>
                <w:i w:val="0"/>
                <w:color w:val="000000"/>
                <w:sz w:val="17"/>
              </w:rPr>
              <w:t xml:space="preserve">0.68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6.06</w:t>
            </w:r>
          </w:p>
        </w:tc>
        <w:tc>
          <w:tcPr>
            <w:tcW w:w="1440" w:type="dxa"/>
            <w:tcBorders/>
            <w:vAlign w:val="center"/>
          </w:tcPr>
          <w:p>
            <w:pPr>
              <w:jc w:val="right"/>
            </w:pPr>
            <w:r>
              <w:rPr>
                <w:rFonts w:ascii="宋体" w:eastAsia="宋体" w:hAnsi="宋体" w:cs="宋体"/>
                <w:b w:val="0"/>
                <w:i w:val="0"/>
                <w:color w:val="000000"/>
                <w:sz w:val="17"/>
              </w:rPr>
              <w:t xml:space="preserve">6.06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6.06</w:t>
            </w:r>
          </w:p>
        </w:tc>
        <w:tc>
          <w:tcPr>
            <w:tcW w:w="1440" w:type="dxa"/>
            <w:tcBorders/>
            <w:vAlign w:val="center"/>
          </w:tcPr>
          <w:p>
            <w:pPr>
              <w:jc w:val="right"/>
            </w:pPr>
            <w:r>
              <w:rPr>
                <w:rFonts w:ascii="宋体" w:eastAsia="宋体" w:hAnsi="宋体" w:cs="宋体"/>
                <w:b w:val="0"/>
                <w:i w:val="0"/>
                <w:color w:val="000000"/>
                <w:sz w:val="17"/>
              </w:rPr>
              <w:t xml:space="preserve">6.06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8.56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8.41</w:t>
            </w:r>
          </w:p>
        </w:tc>
        <w:tc>
          <w:tcPr>
            <w:tcW w:w="1440" w:type="dxa"/>
            <w:tcBorders/>
            <w:vAlign w:val="center"/>
          </w:tcPr>
          <w:p>
            <w:pPr>
              <w:jc w:val="right"/>
            </w:pPr>
            <w:r>
              <w:rPr>
                <w:rFonts w:ascii="宋体" w:eastAsia="宋体" w:hAnsi="宋体" w:cs="宋体"/>
                <w:b w:val="0"/>
                <w:i w:val="0"/>
                <w:color w:val="000000"/>
                <w:sz w:val="17"/>
              </w:rPr>
              <w:t xml:space="preserve">8.41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8.41</w:t>
            </w:r>
          </w:p>
        </w:tc>
        <w:tc>
          <w:tcPr>
            <w:tcW w:w="1440" w:type="dxa"/>
            <w:tcBorders/>
            <w:vAlign w:val="center"/>
          </w:tcPr>
          <w:p>
            <w:pPr>
              <w:jc w:val="right"/>
            </w:pPr>
            <w:r>
              <w:rPr>
                <w:rFonts w:ascii="宋体" w:eastAsia="宋体" w:hAnsi="宋体" w:cs="宋体"/>
                <w:b w:val="0"/>
                <w:i w:val="0"/>
                <w:color w:val="000000"/>
                <w:sz w:val="17"/>
              </w:rPr>
              <w:t xml:space="preserve">8.41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4.30</w:t>
            </w:r>
          </w:p>
        </w:tc>
        <w:tc>
          <w:tcPr>
            <w:tcW w:w="1440" w:type="dxa"/>
            <w:tcBorders/>
            <w:vAlign w:val="center"/>
          </w:tcPr>
          <w:p>
            <w:pPr>
              <w:jc w:val="right"/>
            </w:pPr>
            <w:r>
              <w:rPr>
                <w:rFonts w:ascii="宋体" w:eastAsia="宋体" w:hAnsi="宋体" w:cs="宋体"/>
                <w:b w:val="0"/>
                <w:i w:val="0"/>
                <w:color w:val="000000"/>
                <w:sz w:val="17"/>
              </w:rPr>
              <w:t xml:space="preserve">4.30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4.11</w:t>
            </w:r>
          </w:p>
        </w:tc>
        <w:tc>
          <w:tcPr>
            <w:tcW w:w="1440" w:type="dxa"/>
            <w:tcBorders/>
            <w:vAlign w:val="center"/>
          </w:tcPr>
          <w:p>
            <w:pPr>
              <w:jc w:val="right"/>
            </w:pPr>
            <w:r>
              <w:rPr>
                <w:rFonts w:ascii="宋体" w:eastAsia="宋体" w:hAnsi="宋体" w:cs="宋体"/>
                <w:b w:val="0"/>
                <w:i w:val="0"/>
                <w:color w:val="000000"/>
                <w:sz w:val="17"/>
              </w:rPr>
              <w:t xml:space="preserve">4.11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134.58</w:t>
            </w:r>
          </w:p>
        </w:tc>
        <w:tc>
          <w:tcPr>
            <w:tcW w:w="1440" w:type="dxa"/>
            <w:tcBorders/>
            <w:vAlign w:val="center"/>
          </w:tcPr>
          <w:p>
            <w:pPr>
              <w:jc w:val="right"/>
            </w:pPr>
            <w:r>
              <w:rPr>
                <w:rFonts w:ascii="宋体" w:eastAsia="宋体" w:hAnsi="宋体" w:cs="宋体"/>
                <w:b w:val="0"/>
                <w:i w:val="0"/>
                <w:color w:val="000000"/>
                <w:sz w:val="17"/>
              </w:rPr>
              <w:t xml:space="preserve">134.58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134.58</w:t>
            </w:r>
          </w:p>
        </w:tc>
        <w:tc>
          <w:tcPr>
            <w:tcW w:w="1440" w:type="dxa"/>
            <w:tcBorders/>
            <w:vAlign w:val="center"/>
          </w:tcPr>
          <w:p>
            <w:pPr>
              <w:jc w:val="right"/>
            </w:pPr>
            <w:r>
              <w:rPr>
                <w:rFonts w:ascii="宋体" w:eastAsia="宋体" w:hAnsi="宋体" w:cs="宋体"/>
                <w:b w:val="0"/>
                <w:i w:val="0"/>
                <w:color w:val="000000"/>
                <w:sz w:val="17"/>
              </w:rPr>
              <w:t xml:space="preserve">134.58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134.58</w:t>
            </w:r>
          </w:p>
        </w:tc>
        <w:tc>
          <w:tcPr>
            <w:tcW w:w="1440" w:type="dxa"/>
            <w:tcBorders/>
            <w:vAlign w:val="center"/>
          </w:tcPr>
          <w:p>
            <w:pPr>
              <w:jc w:val="right"/>
            </w:pPr>
            <w:r>
              <w:rPr>
                <w:rFonts w:ascii="宋体" w:eastAsia="宋体" w:hAnsi="宋体" w:cs="宋体"/>
                <w:b w:val="0"/>
                <w:i w:val="0"/>
                <w:color w:val="000000"/>
                <w:sz w:val="17"/>
              </w:rPr>
              <w:t xml:space="preserve">134.58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8.20</w:t>
            </w:r>
          </w:p>
        </w:tc>
        <w:tc>
          <w:tcPr>
            <w:tcW w:w="1440" w:type="dxa"/>
            <w:tcBorders/>
            <w:vAlign w:val="center"/>
          </w:tcPr>
          <w:p>
            <w:pPr>
              <w:jc w:val="right"/>
            </w:pPr>
            <w:r>
              <w:rPr>
                <w:rFonts w:ascii="宋体" w:eastAsia="宋体" w:hAnsi="宋体" w:cs="宋体"/>
                <w:b w:val="0"/>
                <w:i w:val="0"/>
                <w:color w:val="000000"/>
                <w:sz w:val="17"/>
              </w:rPr>
              <w:t xml:space="preserve">8.20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8.20</w:t>
            </w:r>
          </w:p>
        </w:tc>
        <w:tc>
          <w:tcPr>
            <w:tcW w:w="1440" w:type="dxa"/>
            <w:tcBorders/>
            <w:vAlign w:val="center"/>
          </w:tcPr>
          <w:p>
            <w:pPr>
              <w:jc w:val="right"/>
            </w:pPr>
            <w:r>
              <w:rPr>
                <w:rFonts w:ascii="宋体" w:eastAsia="宋体" w:hAnsi="宋体" w:cs="宋体"/>
                <w:b w:val="0"/>
                <w:i w:val="0"/>
                <w:color w:val="000000"/>
                <w:sz w:val="17"/>
              </w:rPr>
              <w:t xml:space="preserve">8.20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8.20</w:t>
            </w:r>
          </w:p>
        </w:tc>
        <w:tc>
          <w:tcPr>
            <w:tcW w:w="1440" w:type="dxa"/>
            <w:tcBorders/>
            <w:vAlign w:val="center"/>
          </w:tcPr>
          <w:p>
            <w:pPr>
              <w:jc w:val="right"/>
            </w:pPr>
            <w:r>
              <w:rPr>
                <w:rFonts w:ascii="宋体" w:eastAsia="宋体" w:hAnsi="宋体" w:cs="宋体"/>
                <w:b w:val="0"/>
                <w:i w:val="0"/>
                <w:color w:val="000000"/>
                <w:sz w:val="17"/>
              </w:rPr>
              <w:t xml:space="preserve">8.20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166.49</w:t>
            </w:r>
          </w:p>
        </w:tc>
        <w:tc>
          <w:tcPr>
            <w:tcW w:w="1600" w:type="dxa"/>
            <w:tcBorders/>
            <w:vAlign w:val="center"/>
          </w:tcPr>
          <w:p>
            <w:pPr>
              <w:jc w:val="right"/>
            </w:pPr>
            <w:r>
              <w:rPr>
                <w:rFonts w:ascii="宋体" w:eastAsia="宋体" w:hAnsi="宋体" w:cs="宋体"/>
                <w:b/>
                <w:i w:val="0"/>
                <w:color w:val="000000"/>
                <w:sz w:val="19"/>
              </w:rPr>
              <w:t xml:space="preserve">166.49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6.74</w:t>
            </w:r>
          </w:p>
        </w:tc>
        <w:tc>
          <w:tcPr>
            <w:tcW w:w="1600" w:type="dxa"/>
            <w:tcBorders/>
            <w:vAlign w:val="center"/>
          </w:tcPr>
          <w:p>
            <w:pPr>
              <w:jc w:val="right"/>
            </w:pPr>
            <w:r>
              <w:rPr>
                <w:rFonts w:ascii="宋体" w:eastAsia="宋体" w:hAnsi="宋体" w:cs="宋体"/>
                <w:b w:val="0"/>
                <w:i w:val="0"/>
                <w:color w:val="000000"/>
                <w:sz w:val="19"/>
              </w:rPr>
              <w:t xml:space="preserve">6.74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6.06</w:t>
            </w:r>
          </w:p>
        </w:tc>
        <w:tc>
          <w:tcPr>
            <w:tcW w:w="1600" w:type="dxa"/>
            <w:tcBorders/>
            <w:vAlign w:val="center"/>
          </w:tcPr>
          <w:p>
            <w:pPr>
              <w:jc w:val="right"/>
            </w:pPr>
            <w:r>
              <w:rPr>
                <w:rFonts w:ascii="宋体" w:eastAsia="宋体" w:hAnsi="宋体" w:cs="宋体"/>
                <w:b w:val="0"/>
                <w:i w:val="0"/>
                <w:color w:val="000000"/>
                <w:sz w:val="19"/>
              </w:rPr>
              <w:t xml:space="preserve">6.06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6.06</w:t>
            </w:r>
          </w:p>
        </w:tc>
        <w:tc>
          <w:tcPr>
            <w:tcW w:w="1600" w:type="dxa"/>
            <w:tcBorders/>
            <w:vAlign w:val="center"/>
          </w:tcPr>
          <w:p>
            <w:pPr>
              <w:jc w:val="right"/>
            </w:pPr>
            <w:r>
              <w:rPr>
                <w:rFonts w:ascii="宋体" w:eastAsia="宋体" w:hAnsi="宋体" w:cs="宋体"/>
                <w:b w:val="0"/>
                <w:i w:val="0"/>
                <w:color w:val="000000"/>
                <w:sz w:val="19"/>
              </w:rPr>
              <w:t xml:space="preserve">6.06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8.56</w:t>
            </w:r>
          </w:p>
        </w:tc>
        <w:tc>
          <w:tcPr>
            <w:tcW w:w="1600" w:type="dxa"/>
            <w:tcBorders/>
            <w:vAlign w:val="center"/>
          </w:tcPr>
          <w:p>
            <w:pPr>
              <w:jc w:val="right"/>
            </w:pPr>
            <w:r>
              <w:rPr>
                <w:rFonts w:ascii="宋体" w:eastAsia="宋体" w:hAnsi="宋体" w:cs="宋体"/>
                <w:b w:val="0"/>
                <w:i w:val="0"/>
                <w:color w:val="000000"/>
                <w:sz w:val="19"/>
              </w:rPr>
              <w:t xml:space="preserve">8.56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8.56</w:t>
            </w:r>
          </w:p>
        </w:tc>
        <w:tc>
          <w:tcPr>
            <w:tcW w:w="1600" w:type="dxa"/>
            <w:tcBorders/>
            <w:vAlign w:val="center"/>
          </w:tcPr>
          <w:p>
            <w:pPr>
              <w:jc w:val="right"/>
            </w:pPr>
            <w:r>
              <w:rPr>
                <w:rFonts w:ascii="宋体" w:eastAsia="宋体" w:hAnsi="宋体" w:cs="宋体"/>
                <w:b w:val="0"/>
                <w:i w:val="0"/>
                <w:color w:val="000000"/>
                <w:sz w:val="19"/>
              </w:rPr>
              <w:t xml:space="preserve">8.56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8.56</w:t>
            </w:r>
          </w:p>
        </w:tc>
        <w:tc>
          <w:tcPr>
            <w:tcW w:w="1600" w:type="dxa"/>
            <w:tcBorders/>
            <w:vAlign w:val="center"/>
          </w:tcPr>
          <w:p>
            <w:pPr>
              <w:jc w:val="right"/>
            </w:pPr>
            <w:r>
              <w:rPr>
                <w:rFonts w:ascii="宋体" w:eastAsia="宋体" w:hAnsi="宋体" w:cs="宋体"/>
                <w:b w:val="0"/>
                <w:i w:val="0"/>
                <w:color w:val="000000"/>
                <w:sz w:val="19"/>
              </w:rPr>
              <w:t xml:space="preserve">8.56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8.41</w:t>
            </w:r>
          </w:p>
        </w:tc>
        <w:tc>
          <w:tcPr>
            <w:tcW w:w="1600" w:type="dxa"/>
            <w:tcBorders/>
            <w:vAlign w:val="center"/>
          </w:tcPr>
          <w:p>
            <w:pPr>
              <w:jc w:val="right"/>
            </w:pPr>
            <w:r>
              <w:rPr>
                <w:rFonts w:ascii="宋体" w:eastAsia="宋体" w:hAnsi="宋体" w:cs="宋体"/>
                <w:b w:val="0"/>
                <w:i w:val="0"/>
                <w:color w:val="000000"/>
                <w:sz w:val="19"/>
              </w:rPr>
              <w:t xml:space="preserve">8.41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8.41</w:t>
            </w:r>
          </w:p>
        </w:tc>
        <w:tc>
          <w:tcPr>
            <w:tcW w:w="1600" w:type="dxa"/>
            <w:tcBorders/>
            <w:vAlign w:val="center"/>
          </w:tcPr>
          <w:p>
            <w:pPr>
              <w:jc w:val="right"/>
            </w:pPr>
            <w:r>
              <w:rPr>
                <w:rFonts w:ascii="宋体" w:eastAsia="宋体" w:hAnsi="宋体" w:cs="宋体"/>
                <w:b w:val="0"/>
                <w:i w:val="0"/>
                <w:color w:val="000000"/>
                <w:sz w:val="19"/>
              </w:rPr>
              <w:t xml:space="preserve">8.41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4.30</w:t>
            </w:r>
          </w:p>
        </w:tc>
        <w:tc>
          <w:tcPr>
            <w:tcW w:w="1600" w:type="dxa"/>
            <w:tcBorders/>
            <w:vAlign w:val="center"/>
          </w:tcPr>
          <w:p>
            <w:pPr>
              <w:jc w:val="right"/>
            </w:pPr>
            <w:r>
              <w:rPr>
                <w:rFonts w:ascii="宋体" w:eastAsia="宋体" w:hAnsi="宋体" w:cs="宋体"/>
                <w:b w:val="0"/>
                <w:i w:val="0"/>
                <w:color w:val="000000"/>
                <w:sz w:val="19"/>
              </w:rPr>
              <w:t xml:space="preserve">4.30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4.11</w:t>
            </w:r>
          </w:p>
        </w:tc>
        <w:tc>
          <w:tcPr>
            <w:tcW w:w="1600" w:type="dxa"/>
            <w:tcBorders/>
            <w:vAlign w:val="center"/>
          </w:tcPr>
          <w:p>
            <w:pPr>
              <w:jc w:val="right"/>
            </w:pPr>
            <w:r>
              <w:rPr>
                <w:rFonts w:ascii="宋体" w:eastAsia="宋体" w:hAnsi="宋体" w:cs="宋体"/>
                <w:b w:val="0"/>
                <w:i w:val="0"/>
                <w:color w:val="000000"/>
                <w:sz w:val="19"/>
              </w:rPr>
              <w:t xml:space="preserve">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134.58</w:t>
            </w:r>
          </w:p>
        </w:tc>
        <w:tc>
          <w:tcPr>
            <w:tcW w:w="1600" w:type="dxa"/>
            <w:tcBorders/>
            <w:vAlign w:val="center"/>
          </w:tcPr>
          <w:p>
            <w:pPr>
              <w:jc w:val="right"/>
            </w:pPr>
            <w:r>
              <w:rPr>
                <w:rFonts w:ascii="宋体" w:eastAsia="宋体" w:hAnsi="宋体" w:cs="宋体"/>
                <w:b w:val="0"/>
                <w:i w:val="0"/>
                <w:color w:val="000000"/>
                <w:sz w:val="19"/>
              </w:rPr>
              <w:t xml:space="preserve">134.58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134.58</w:t>
            </w:r>
          </w:p>
        </w:tc>
        <w:tc>
          <w:tcPr>
            <w:tcW w:w="1600" w:type="dxa"/>
            <w:tcBorders/>
            <w:vAlign w:val="center"/>
          </w:tcPr>
          <w:p>
            <w:pPr>
              <w:jc w:val="right"/>
            </w:pPr>
            <w:r>
              <w:rPr>
                <w:rFonts w:ascii="宋体" w:eastAsia="宋体" w:hAnsi="宋体" w:cs="宋体"/>
                <w:b w:val="0"/>
                <w:i w:val="0"/>
                <w:color w:val="000000"/>
                <w:sz w:val="19"/>
              </w:rPr>
              <w:t xml:space="preserve">134.58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134.58</w:t>
            </w:r>
          </w:p>
        </w:tc>
        <w:tc>
          <w:tcPr>
            <w:tcW w:w="1600" w:type="dxa"/>
            <w:tcBorders/>
            <w:vAlign w:val="center"/>
          </w:tcPr>
          <w:p>
            <w:pPr>
              <w:jc w:val="right"/>
            </w:pPr>
            <w:r>
              <w:rPr>
                <w:rFonts w:ascii="宋体" w:eastAsia="宋体" w:hAnsi="宋体" w:cs="宋体"/>
                <w:b w:val="0"/>
                <w:i w:val="0"/>
                <w:color w:val="000000"/>
                <w:sz w:val="19"/>
              </w:rPr>
              <w:t xml:space="preserve">134.58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8.20</w:t>
            </w:r>
          </w:p>
        </w:tc>
        <w:tc>
          <w:tcPr>
            <w:tcW w:w="1600" w:type="dxa"/>
            <w:tcBorders/>
            <w:vAlign w:val="center"/>
          </w:tcPr>
          <w:p>
            <w:pPr>
              <w:jc w:val="right"/>
            </w:pPr>
            <w:r>
              <w:rPr>
                <w:rFonts w:ascii="宋体" w:eastAsia="宋体" w:hAnsi="宋体" w:cs="宋体"/>
                <w:b w:val="0"/>
                <w:i w:val="0"/>
                <w:color w:val="000000"/>
                <w:sz w:val="19"/>
              </w:rPr>
              <w:t xml:space="preserve">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8.20</w:t>
            </w:r>
          </w:p>
        </w:tc>
        <w:tc>
          <w:tcPr>
            <w:tcW w:w="1600" w:type="dxa"/>
            <w:tcBorders/>
            <w:vAlign w:val="center"/>
          </w:tcPr>
          <w:p>
            <w:pPr>
              <w:jc w:val="right"/>
            </w:pPr>
            <w:r>
              <w:rPr>
                <w:rFonts w:ascii="宋体" w:eastAsia="宋体" w:hAnsi="宋体" w:cs="宋体"/>
                <w:b w:val="0"/>
                <w:i w:val="0"/>
                <w:color w:val="000000"/>
                <w:sz w:val="19"/>
              </w:rPr>
              <w:t xml:space="preserve">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8.20</w:t>
            </w:r>
          </w:p>
        </w:tc>
        <w:tc>
          <w:tcPr>
            <w:tcW w:w="1600" w:type="dxa"/>
            <w:tcBorders/>
            <w:vAlign w:val="center"/>
          </w:tcPr>
          <w:p>
            <w:pPr>
              <w:jc w:val="right"/>
            </w:pPr>
            <w:r>
              <w:rPr>
                <w:rFonts w:ascii="宋体" w:eastAsia="宋体" w:hAnsi="宋体" w:cs="宋体"/>
                <w:b w:val="0"/>
                <w:i w:val="0"/>
                <w:color w:val="000000"/>
                <w:sz w:val="19"/>
              </w:rPr>
              <w:t xml:space="preserve">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166.49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6.74</w:t>
            </w:r>
          </w:p>
        </w:tc>
        <w:tc>
          <w:tcPr>
            <w:tcW w:w="1420" w:type="dxa"/>
            <w:tcBorders/>
            <w:vAlign w:val="center"/>
          </w:tcPr>
          <w:p>
            <w:pPr>
              <w:jc w:val="right"/>
            </w:pPr>
            <w:r>
              <w:rPr>
                <w:rFonts w:ascii="宋体" w:eastAsia="宋体" w:hAnsi="宋体" w:cs="宋体"/>
                <w:b w:val="0"/>
                <w:i w:val="0"/>
                <w:color w:val="000000"/>
                <w:sz w:val="18"/>
              </w:rPr>
              <w:t xml:space="preserve">6.74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8.56</w:t>
            </w:r>
          </w:p>
        </w:tc>
        <w:tc>
          <w:tcPr>
            <w:tcW w:w="1420" w:type="dxa"/>
            <w:tcBorders/>
            <w:vAlign w:val="center"/>
          </w:tcPr>
          <w:p>
            <w:pPr>
              <w:jc w:val="right"/>
            </w:pPr>
            <w:r>
              <w:rPr>
                <w:rFonts w:ascii="宋体" w:eastAsia="宋体" w:hAnsi="宋体" w:cs="宋体"/>
                <w:b w:val="0"/>
                <w:i w:val="0"/>
                <w:color w:val="000000"/>
                <w:sz w:val="18"/>
              </w:rPr>
              <w:t xml:space="preserve">8.56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8.41</w:t>
            </w:r>
          </w:p>
        </w:tc>
        <w:tc>
          <w:tcPr>
            <w:tcW w:w="1420" w:type="dxa"/>
            <w:tcBorders/>
            <w:vAlign w:val="center"/>
          </w:tcPr>
          <w:p>
            <w:pPr>
              <w:jc w:val="right"/>
            </w:pPr>
            <w:r>
              <w:rPr>
                <w:rFonts w:ascii="宋体" w:eastAsia="宋体" w:hAnsi="宋体" w:cs="宋体"/>
                <w:b w:val="0"/>
                <w:i w:val="0"/>
                <w:color w:val="000000"/>
                <w:sz w:val="18"/>
              </w:rPr>
              <w:t xml:space="preserve">8.41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134.58</w:t>
            </w:r>
          </w:p>
        </w:tc>
        <w:tc>
          <w:tcPr>
            <w:tcW w:w="1420" w:type="dxa"/>
            <w:tcBorders/>
            <w:vAlign w:val="center"/>
          </w:tcPr>
          <w:p>
            <w:pPr>
              <w:jc w:val="right"/>
            </w:pPr>
            <w:r>
              <w:rPr>
                <w:rFonts w:ascii="宋体" w:eastAsia="宋体" w:hAnsi="宋体" w:cs="宋体"/>
                <w:b w:val="0"/>
                <w:i w:val="0"/>
                <w:color w:val="000000"/>
                <w:sz w:val="18"/>
              </w:rPr>
              <w:t xml:space="preserve">134.58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8.20</w:t>
            </w:r>
          </w:p>
        </w:tc>
        <w:tc>
          <w:tcPr>
            <w:tcW w:w="1420" w:type="dxa"/>
            <w:tcBorders/>
            <w:vAlign w:val="center"/>
          </w:tcPr>
          <w:p>
            <w:pPr>
              <w:jc w:val="right"/>
            </w:pPr>
            <w:r>
              <w:rPr>
                <w:rFonts w:ascii="宋体" w:eastAsia="宋体" w:hAnsi="宋体" w:cs="宋体"/>
                <w:b w:val="0"/>
                <w:i w:val="0"/>
                <w:color w:val="000000"/>
                <w:sz w:val="18"/>
              </w:rPr>
              <w:t xml:space="preserve">8.20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166.49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166.49</w:t>
            </w:r>
          </w:p>
        </w:tc>
        <w:tc>
          <w:tcPr>
            <w:tcW w:w="1420" w:type="dxa"/>
            <w:tcBorders/>
            <w:vAlign w:val="center"/>
          </w:tcPr>
          <w:p>
            <w:pPr>
              <w:jc w:val="right"/>
            </w:pPr>
            <w:r>
              <w:rPr>
                <w:rFonts w:ascii="宋体" w:eastAsia="宋体" w:hAnsi="宋体" w:cs="宋体"/>
                <w:b w:val="0"/>
                <w:i w:val="0"/>
                <w:color w:val="000000"/>
                <w:sz w:val="18"/>
              </w:rPr>
              <w:t xml:space="preserve">166.49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166.49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166.49</w:t>
            </w:r>
          </w:p>
        </w:tc>
        <w:tc>
          <w:tcPr>
            <w:tcW w:w="1420" w:type="dxa"/>
            <w:tcBorders/>
            <w:vAlign w:val="center"/>
          </w:tcPr>
          <w:p>
            <w:pPr>
              <w:jc w:val="right"/>
            </w:pPr>
            <w:r>
              <w:rPr>
                <w:rFonts w:ascii="宋体" w:eastAsia="宋体" w:hAnsi="宋体" w:cs="宋体"/>
                <w:b w:val="0"/>
                <w:i w:val="0"/>
                <w:color w:val="000000"/>
                <w:sz w:val="18"/>
              </w:rPr>
              <w:t xml:space="preserve">166.49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166.49</w:t>
            </w:r>
          </w:p>
        </w:tc>
        <w:tc>
          <w:tcPr>
            <w:tcW w:w="2700" w:type="dxa"/>
            <w:tcBorders/>
            <w:vAlign w:val="center"/>
          </w:tcPr>
          <w:p>
            <w:pPr>
              <w:jc w:val="right"/>
            </w:pPr>
            <w:r>
              <w:rPr>
                <w:rFonts w:ascii="宋体" w:eastAsia="宋体" w:hAnsi="宋体" w:cs="宋体"/>
                <w:b/>
                <w:i w:val="0"/>
                <w:color w:val="000000"/>
                <w:sz w:val="25"/>
              </w:rPr>
              <w:t xml:space="preserve">166.49</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6.74</w:t>
            </w:r>
          </w:p>
        </w:tc>
        <w:tc>
          <w:tcPr>
            <w:tcW w:w="2700" w:type="dxa"/>
            <w:tcBorders/>
            <w:vAlign w:val="center"/>
          </w:tcPr>
          <w:p>
            <w:pPr>
              <w:jc w:val="right"/>
            </w:pPr>
            <w:r>
              <w:rPr>
                <w:rFonts w:ascii="宋体" w:eastAsia="宋体" w:hAnsi="宋体" w:cs="宋体"/>
                <w:b w:val="0"/>
                <w:i w:val="0"/>
                <w:color w:val="000000"/>
                <w:sz w:val="25"/>
              </w:rPr>
              <w:t xml:space="preserve">6.74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0.68</w:t>
            </w:r>
          </w:p>
        </w:tc>
        <w:tc>
          <w:tcPr>
            <w:tcW w:w="2700" w:type="dxa"/>
            <w:tcBorders/>
            <w:vAlign w:val="center"/>
          </w:tcPr>
          <w:p>
            <w:pPr>
              <w:jc w:val="right"/>
            </w:pPr>
            <w:r>
              <w:rPr>
                <w:rFonts w:ascii="宋体" w:eastAsia="宋体" w:hAnsi="宋体" w:cs="宋体"/>
                <w:b w:val="0"/>
                <w:i w:val="0"/>
                <w:color w:val="000000"/>
                <w:sz w:val="25"/>
              </w:rPr>
              <w:t xml:space="preserve">0.68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0.68</w:t>
            </w:r>
          </w:p>
        </w:tc>
        <w:tc>
          <w:tcPr>
            <w:tcW w:w="2700" w:type="dxa"/>
            <w:tcBorders/>
            <w:vAlign w:val="center"/>
          </w:tcPr>
          <w:p>
            <w:pPr>
              <w:jc w:val="right"/>
            </w:pPr>
            <w:r>
              <w:rPr>
                <w:rFonts w:ascii="宋体" w:eastAsia="宋体" w:hAnsi="宋体" w:cs="宋体"/>
                <w:b w:val="0"/>
                <w:i w:val="0"/>
                <w:color w:val="000000"/>
                <w:sz w:val="25"/>
              </w:rPr>
              <w:t xml:space="preserve">0.68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6.06</w:t>
            </w:r>
          </w:p>
        </w:tc>
        <w:tc>
          <w:tcPr>
            <w:tcW w:w="2700" w:type="dxa"/>
            <w:tcBorders/>
            <w:vAlign w:val="center"/>
          </w:tcPr>
          <w:p>
            <w:pPr>
              <w:jc w:val="right"/>
            </w:pPr>
            <w:r>
              <w:rPr>
                <w:rFonts w:ascii="宋体" w:eastAsia="宋体" w:hAnsi="宋体" w:cs="宋体"/>
                <w:b w:val="0"/>
                <w:i w:val="0"/>
                <w:color w:val="000000"/>
                <w:sz w:val="25"/>
              </w:rPr>
              <w:t xml:space="preserve">6.06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6.06</w:t>
            </w:r>
          </w:p>
        </w:tc>
        <w:tc>
          <w:tcPr>
            <w:tcW w:w="2700" w:type="dxa"/>
            <w:tcBorders/>
            <w:vAlign w:val="center"/>
          </w:tcPr>
          <w:p>
            <w:pPr>
              <w:jc w:val="right"/>
            </w:pPr>
            <w:r>
              <w:rPr>
                <w:rFonts w:ascii="宋体" w:eastAsia="宋体" w:hAnsi="宋体" w:cs="宋体"/>
                <w:b w:val="0"/>
                <w:i w:val="0"/>
                <w:color w:val="000000"/>
                <w:sz w:val="25"/>
              </w:rPr>
              <w:t xml:space="preserve">6.06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8.56</w:t>
            </w:r>
          </w:p>
        </w:tc>
        <w:tc>
          <w:tcPr>
            <w:tcW w:w="2700" w:type="dxa"/>
            <w:tcBorders/>
            <w:vAlign w:val="center"/>
          </w:tcPr>
          <w:p>
            <w:pPr>
              <w:jc w:val="right"/>
            </w:pPr>
            <w:r>
              <w:rPr>
                <w:rFonts w:ascii="宋体" w:eastAsia="宋体" w:hAnsi="宋体" w:cs="宋体"/>
                <w:b w:val="0"/>
                <w:i w:val="0"/>
                <w:color w:val="000000"/>
                <w:sz w:val="25"/>
              </w:rPr>
              <w:t xml:space="preserve">8.56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8.56</w:t>
            </w:r>
          </w:p>
        </w:tc>
        <w:tc>
          <w:tcPr>
            <w:tcW w:w="2700" w:type="dxa"/>
            <w:tcBorders/>
            <w:vAlign w:val="center"/>
          </w:tcPr>
          <w:p>
            <w:pPr>
              <w:jc w:val="right"/>
            </w:pPr>
            <w:r>
              <w:rPr>
                <w:rFonts w:ascii="宋体" w:eastAsia="宋体" w:hAnsi="宋体" w:cs="宋体"/>
                <w:b w:val="0"/>
                <w:i w:val="0"/>
                <w:color w:val="000000"/>
                <w:sz w:val="25"/>
              </w:rPr>
              <w:t xml:space="preserve">8.56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8.56</w:t>
            </w:r>
          </w:p>
        </w:tc>
        <w:tc>
          <w:tcPr>
            <w:tcW w:w="2700" w:type="dxa"/>
            <w:tcBorders/>
            <w:vAlign w:val="center"/>
          </w:tcPr>
          <w:p>
            <w:pPr>
              <w:jc w:val="right"/>
            </w:pPr>
            <w:r>
              <w:rPr>
                <w:rFonts w:ascii="宋体" w:eastAsia="宋体" w:hAnsi="宋体" w:cs="宋体"/>
                <w:b w:val="0"/>
                <w:i w:val="0"/>
                <w:color w:val="000000"/>
                <w:sz w:val="25"/>
              </w:rPr>
              <w:t xml:space="preserve">8.56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8.41</w:t>
            </w:r>
          </w:p>
        </w:tc>
        <w:tc>
          <w:tcPr>
            <w:tcW w:w="2700" w:type="dxa"/>
            <w:tcBorders/>
            <w:vAlign w:val="center"/>
          </w:tcPr>
          <w:p>
            <w:pPr>
              <w:jc w:val="right"/>
            </w:pPr>
            <w:r>
              <w:rPr>
                <w:rFonts w:ascii="宋体" w:eastAsia="宋体" w:hAnsi="宋体" w:cs="宋体"/>
                <w:b w:val="0"/>
                <w:i w:val="0"/>
                <w:color w:val="000000"/>
                <w:sz w:val="25"/>
              </w:rPr>
              <w:t xml:space="preserve">8.41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8.41</w:t>
            </w:r>
          </w:p>
        </w:tc>
        <w:tc>
          <w:tcPr>
            <w:tcW w:w="2700" w:type="dxa"/>
            <w:tcBorders/>
            <w:vAlign w:val="center"/>
          </w:tcPr>
          <w:p>
            <w:pPr>
              <w:jc w:val="right"/>
            </w:pPr>
            <w:r>
              <w:rPr>
                <w:rFonts w:ascii="宋体" w:eastAsia="宋体" w:hAnsi="宋体" w:cs="宋体"/>
                <w:b w:val="0"/>
                <w:i w:val="0"/>
                <w:color w:val="000000"/>
                <w:sz w:val="25"/>
              </w:rPr>
              <w:t xml:space="preserve">8.41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4.30</w:t>
            </w:r>
          </w:p>
        </w:tc>
        <w:tc>
          <w:tcPr>
            <w:tcW w:w="2700" w:type="dxa"/>
            <w:tcBorders/>
            <w:vAlign w:val="center"/>
          </w:tcPr>
          <w:p>
            <w:pPr>
              <w:jc w:val="right"/>
            </w:pPr>
            <w:r>
              <w:rPr>
                <w:rFonts w:ascii="宋体" w:eastAsia="宋体" w:hAnsi="宋体" w:cs="宋体"/>
                <w:b w:val="0"/>
                <w:i w:val="0"/>
                <w:color w:val="000000"/>
                <w:sz w:val="25"/>
              </w:rPr>
              <w:t xml:space="preserve">4.30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4.11</w:t>
            </w:r>
          </w:p>
        </w:tc>
        <w:tc>
          <w:tcPr>
            <w:tcW w:w="2700" w:type="dxa"/>
            <w:tcBorders/>
            <w:vAlign w:val="center"/>
          </w:tcPr>
          <w:p>
            <w:pPr>
              <w:jc w:val="right"/>
            </w:pPr>
            <w:r>
              <w:rPr>
                <w:rFonts w:ascii="宋体" w:eastAsia="宋体" w:hAnsi="宋体" w:cs="宋体"/>
                <w:b w:val="0"/>
                <w:i w:val="0"/>
                <w:color w:val="000000"/>
                <w:sz w:val="25"/>
              </w:rPr>
              <w:t xml:space="preserve">4.11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134.58</w:t>
            </w:r>
          </w:p>
        </w:tc>
        <w:tc>
          <w:tcPr>
            <w:tcW w:w="2700" w:type="dxa"/>
            <w:tcBorders/>
            <w:vAlign w:val="center"/>
          </w:tcPr>
          <w:p>
            <w:pPr>
              <w:jc w:val="right"/>
            </w:pPr>
            <w:r>
              <w:rPr>
                <w:rFonts w:ascii="宋体" w:eastAsia="宋体" w:hAnsi="宋体" w:cs="宋体"/>
                <w:b w:val="0"/>
                <w:i w:val="0"/>
                <w:color w:val="000000"/>
                <w:sz w:val="25"/>
              </w:rPr>
              <w:t xml:space="preserve">134.58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134.58</w:t>
            </w:r>
          </w:p>
        </w:tc>
        <w:tc>
          <w:tcPr>
            <w:tcW w:w="2700" w:type="dxa"/>
            <w:tcBorders/>
            <w:vAlign w:val="center"/>
          </w:tcPr>
          <w:p>
            <w:pPr>
              <w:jc w:val="right"/>
            </w:pPr>
            <w:r>
              <w:rPr>
                <w:rFonts w:ascii="宋体" w:eastAsia="宋体" w:hAnsi="宋体" w:cs="宋体"/>
                <w:b w:val="0"/>
                <w:i w:val="0"/>
                <w:color w:val="000000"/>
                <w:sz w:val="25"/>
              </w:rPr>
              <w:t xml:space="preserve">134.58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134.58</w:t>
            </w:r>
          </w:p>
        </w:tc>
        <w:tc>
          <w:tcPr>
            <w:tcW w:w="2700" w:type="dxa"/>
            <w:tcBorders/>
            <w:vAlign w:val="center"/>
          </w:tcPr>
          <w:p>
            <w:pPr>
              <w:jc w:val="right"/>
            </w:pPr>
            <w:r>
              <w:rPr>
                <w:rFonts w:ascii="宋体" w:eastAsia="宋体" w:hAnsi="宋体" w:cs="宋体"/>
                <w:b w:val="0"/>
                <w:i w:val="0"/>
                <w:color w:val="000000"/>
                <w:sz w:val="25"/>
              </w:rPr>
              <w:t xml:space="preserve">134.58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8.20</w:t>
            </w:r>
          </w:p>
        </w:tc>
        <w:tc>
          <w:tcPr>
            <w:tcW w:w="2700" w:type="dxa"/>
            <w:tcBorders/>
            <w:vAlign w:val="center"/>
          </w:tcPr>
          <w:p>
            <w:pPr>
              <w:jc w:val="right"/>
            </w:pPr>
            <w:r>
              <w:rPr>
                <w:rFonts w:ascii="宋体" w:eastAsia="宋体" w:hAnsi="宋体" w:cs="宋体"/>
                <w:b w:val="0"/>
                <w:i w:val="0"/>
                <w:color w:val="000000"/>
                <w:sz w:val="25"/>
              </w:rPr>
              <w:t xml:space="preserve">8.20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8.20</w:t>
            </w:r>
          </w:p>
        </w:tc>
        <w:tc>
          <w:tcPr>
            <w:tcW w:w="2700" w:type="dxa"/>
            <w:tcBorders/>
            <w:vAlign w:val="center"/>
          </w:tcPr>
          <w:p>
            <w:pPr>
              <w:jc w:val="right"/>
            </w:pPr>
            <w:r>
              <w:rPr>
                <w:rFonts w:ascii="宋体" w:eastAsia="宋体" w:hAnsi="宋体" w:cs="宋体"/>
                <w:b w:val="0"/>
                <w:i w:val="0"/>
                <w:color w:val="000000"/>
                <w:sz w:val="25"/>
              </w:rPr>
              <w:t xml:space="preserve">8.20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8.20</w:t>
            </w:r>
          </w:p>
        </w:tc>
        <w:tc>
          <w:tcPr>
            <w:tcW w:w="2700" w:type="dxa"/>
            <w:tcBorders/>
            <w:vAlign w:val="center"/>
          </w:tcPr>
          <w:p>
            <w:pPr>
              <w:jc w:val="right"/>
            </w:pPr>
            <w:r>
              <w:rPr>
                <w:rFonts w:ascii="宋体" w:eastAsia="宋体" w:hAnsi="宋体" w:cs="宋体"/>
                <w:b w:val="0"/>
                <w:i w:val="0"/>
                <w:color w:val="000000"/>
                <w:sz w:val="25"/>
              </w:rPr>
              <w:t xml:space="preserve">8.20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156.25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9.88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63.15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3.74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24.64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0.57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42.95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8.56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4.30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4.11</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8.20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0.37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0.37</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0.68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0.84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2.75</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0.27</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156.62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9.88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166.49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增加25.50万元，增长18.09%</w:t>
      </w:r>
      <w:r>
        <w:rPr>
          <w:rFonts w:ascii="仿宋" w:eastAsia="仿宋" w:hAnsi="仿宋" w:cs="仿宋" w:hint="eastAsia"/>
          <w:kern w:val="0"/>
          <w:sz w:val="32"/>
          <w:szCs w:val="32"/>
          <w:lang w:val="en-US" w:eastAsia="zh-CN"/>
        </w:rPr>
        <w:t xml:space="preserve">。主要原因是在职人员正常晋级晋档，人员经费增加。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166.49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财政拨款收入166.49万元，占100.00%；上级补助收入0.00万元，占0.00%；事业收入0.00万元，占0.00%；经营收入0.00万元，占0.00%；附属单位上缴收入0.00万元，占0.00%；其他收入0.00万元，占0.00%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166.49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基本支出166.49万元，占100.00%；项目支出0.00万元，占0.00%；上缴上级支出0.00万元，占0.00%；经营支出0.00万元，占0.00%；对附属单位补助支出0.00万元，占0.00%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166.49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增加25.50万元，增长18.09%</w:t>
      </w:r>
      <w:r>
        <w:rPr>
          <w:rFonts w:ascii="仿宋" w:eastAsia="仿宋" w:hAnsi="仿宋" w:cs="仿宋" w:hint="eastAsia"/>
          <w:kern w:val="0"/>
          <w:sz w:val="32"/>
          <w:szCs w:val="32"/>
          <w:lang w:val="en-US" w:eastAsia="zh-CN"/>
        </w:rPr>
        <w:t xml:space="preserve">。主要原因是在职人员正常晋级晋档，人员经费增加。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166.49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增加25.50万元，增长18.09%</w:t>
      </w:r>
      <w:r>
        <w:rPr>
          <w:rFonts w:ascii="仿宋" w:eastAsia="仿宋" w:hAnsi="仿宋" w:cs="仿宋" w:hint="eastAsia"/>
          <w:kern w:val="0"/>
          <w:sz w:val="32"/>
          <w:szCs w:val="32"/>
          <w:lang w:val="en-US" w:eastAsia="zh-CN"/>
        </w:rPr>
        <w:t xml:space="preserve">。主要原因是在职人员正常晋级晋档，人员经费增加。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166.49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一般公共服务支出（类）6.74万元，占4.05%；社会保障和就业支出（类）8.56万元，占5.14%；卫生健康支出（类）8.41万元，占5.05%；城乡社区支出（类）134.58万元，占80.83%；住房保障支出（类）8.20万元，占4.93%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146.93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166.49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113.31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年初预算数为0.68万元，决算数0.68万元,完成年初预算的100.00%，决算数与年初预算数不存在差异。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年初预算数为0.00万元，决算数6.06万元,决算数与年初预算数存在差异的主要原因是2023年发放2021年平安奖，追加经费。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年初预算数为8.41万元，决算数8.56万元,完成年初预算的101.78%，决算数与年初预算数存在差异的主要原因是2023年在职人员晋级晋档，缴费基数增加。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4.卫生健康支出（类）行政事业单位医疗（款）行政单位医疗（项）</w:t>
      </w:r>
      <w:r>
        <w:rPr>
          <w:rFonts w:ascii="仿宋" w:eastAsia="仿宋" w:hAnsi="仿宋" w:cs="仿宋" w:hint="default"/>
          <w:kern w:val="2"/>
          <w:sz w:val="32"/>
          <w:szCs w:val="32"/>
          <w:lang w:val="en-US" w:eastAsia="zh-CN"/>
        </w:rPr>
        <w:t xml:space="preserve">年初预算数为4.23万元，决算数4.30万元,完成年初预算的101.65%，决算数与年初预算数存在差异的主要原因是2023年在职人员晋级晋档，缴费基数增加。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5.卫生健康支出（类）行政事业单位医疗（款）公务员医疗补助（项）</w:t>
      </w:r>
      <w:r>
        <w:rPr>
          <w:rFonts w:ascii="仿宋" w:eastAsia="仿宋" w:hAnsi="仿宋" w:cs="仿宋" w:hint="default"/>
          <w:kern w:val="2"/>
          <w:sz w:val="32"/>
          <w:szCs w:val="32"/>
          <w:lang w:val="en-US" w:eastAsia="zh-CN"/>
        </w:rPr>
        <w:t xml:space="preserve">年初预算数为4.70万元，决算数4.11万元,完成年初预算的87.45%，决算数与年初预算数存在差异的主要原因是2023年12月费用未支付。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6.城乡社区支出（类）城乡社区管理事务（款）行政运行（项）</w:t>
      </w:r>
      <w:r>
        <w:rPr>
          <w:rFonts w:ascii="仿宋" w:eastAsia="仿宋" w:hAnsi="仿宋" w:cs="仿宋" w:hint="default"/>
          <w:kern w:val="2"/>
          <w:sz w:val="32"/>
          <w:szCs w:val="32"/>
          <w:lang w:val="en-US" w:eastAsia="zh-CN"/>
        </w:rPr>
        <w:t xml:space="preserve">年初预算数为120.85万元，决算数134.58万元,完成年初预算的111.36%，决算数与年初预算数存在差异的主要原因是2023年在职人员晋级晋档，人员经费增加。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年初预算数为8.06万元，决算数8.20万元,完成年初预算的101.74%，决算数与年初预算数存在差异的主要原因是2023年在职人员晋级晋档，缴费基数增加。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166.49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其中：人员经费156.62万元，主要包括：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公用经费9.88万元，主要包括：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2023年度机关运行经费支出9.88万元，</w:t>
      </w:r>
      <w:r>
        <w:rPr>
          <w:rFonts w:ascii="仿宋" w:eastAsia="仿宋" w:hAnsi="仿宋" w:cs="仿宋" w:hint="eastAsia"/>
          <w:kern w:val="0"/>
          <w:sz w:val="32"/>
          <w:szCs w:val="32"/>
          <w:lang w:val="en-US" w:eastAsia="zh-CN"/>
        </w:rPr>
        <w:t xml:space="preserve">较2022年度下降2.74万元，</w:t>
      </w:r>
      <w:r>
        <w:rPr>
          <w:rFonts w:ascii="仿宋" w:eastAsia="仿宋" w:hAnsi="仿宋" w:cs="仿宋" w:hint="eastAsia"/>
          <w:kern w:val="0"/>
          <w:sz w:val="32"/>
          <w:szCs w:val="32"/>
          <w:lang w:val="en-US" w:eastAsia="zh-CN"/>
        </w:rPr>
        <w:t xml:space="preserve">下降21.71%，</w:t>
      </w:r>
      <w:r>
        <w:rPr>
          <w:rFonts w:ascii="仿宋" w:eastAsia="仿宋" w:hAnsi="仿宋" w:cs="仿宋" w:hint="eastAsia"/>
          <w:kern w:val="0"/>
          <w:sz w:val="32"/>
          <w:szCs w:val="32"/>
          <w:lang w:val="en-US" w:eastAsia="zh-CN"/>
        </w:rPr>
        <w:t xml:space="preserve">主要原因是贯彻落实上级过紧日子要求，厉行节约，压减支出。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166.49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97.7</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为城市建设提供规划管理服务。辖区城乡规划编制、编制规划、规划方案、建设项目初审、论证　城市发展战略研究、建设项目的规划监督检查、重点项目规划技术服务、建设用地、建设工程规划管理、建设用地规划许可证、建设工程规划许可证发放、规划、建设项目档案管理。</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60ec3921-de15-4fd7-a920-d2f9431956dc"/>
        <w:tblW w:w="10335" w:type="dxa"/>
        <w:tblInd w:w="0" w:type="dxa"/>
        <w:tblCellMar>
          <w:top w:w="0" w:type="dxa"/>
          <w:left w:w="108" w:type="dxa"/>
          <w:bottom w:w="0" w:type="dxa"/>
          <w:right w:w="108" w:type="dxa"/>
        </w:tblCellMar>
        <w:tblLook w:val="0000" w:firstRow="0" w:lastRow="0" w:firstColumn="0" w:lastColumn="0" w:noHBand="0" w:noVBand="0"/>
      </w:tblPr>
      <w:tblGrid>
        <w:gridCol w:w="578"/>
        <w:gridCol w:w="1579"/>
        <w:gridCol w:w="1010"/>
        <w:gridCol w:w="146"/>
        <w:gridCol w:w="1327"/>
        <w:gridCol w:w="378"/>
        <w:gridCol w:w="894"/>
        <w:gridCol w:w="1068"/>
        <w:gridCol w:w="567"/>
        <w:gridCol w:w="576"/>
        <w:gridCol w:w="584"/>
        <w:gridCol w:w="570"/>
        <w:gridCol w:w="1058"/>
      </w:tblGrid>
      <w:tr>
        <w:tblPrEx>
          <w:tblW w:w="10335" w:type="dxa"/>
          <w:tblBorders/>
          <w:shd w:val="clear" w:color="auto" w:fill="auto"/>
          <w:tblCellMar>
            <w:top w:w="0" w:type="dxa"/>
            <w:left w:w="108" w:type="dxa"/>
            <w:bottom w:w="0" w:type="dxa"/>
            <w:right w:w="108" w:type="dxa"/>
          </w:tblCellMar>
        </w:tblPrEx>
        <w:trPr>
          <w:trHeight w:val="653"/>
        </w:trPr>
        <w:tc>
          <w:tcPr>
            <w:tcW w:w="10335" w:type="dxa"/>
            <w:gridSpan w:val="1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b/>
                <w:bCs/>
                <w:color w:val="000000"/>
                <w:kern w:val="0"/>
                <w:sz w:val="38"/>
                <w:szCs w:val="38"/>
              </w:rPr>
            </w:pPr>
            <w:r>
              <w:rPr>
                <w:rFonts w:ascii="宋体" w:hAnsi="宋体" w:cs="宋体" w:hint="eastAsia"/>
                <w:b/>
                <w:bCs/>
                <w:color w:val="000000"/>
                <w:kern w:val="0"/>
                <w:sz w:val="38"/>
                <w:szCs w:val="38"/>
                <w:lang w:eastAsia="zh-CN"/>
              </w:rPr>
              <w:t xml:space="preserve">单位</w:t>
            </w:r>
            <w:r>
              <w:rPr>
                <w:rFonts w:ascii="宋体" w:eastAsia="宋体" w:hAnsi="宋体" w:cs="宋体" w:hint="eastAsia"/>
                <w:b/>
                <w:bCs/>
                <w:color w:val="000000"/>
                <w:kern w:val="0"/>
                <w:sz w:val="38"/>
                <w:szCs w:val="38"/>
              </w:rPr>
              <w:t xml:space="preserve">整体自评表</w:t>
            </w:r>
          </w:p>
        </w:tc>
      </w:tr>
      <w:tr>
        <w:tblPrEx>
          <w:tblW w:w="10335" w:type="dxa"/>
          <w:tblBorders/>
          <w:shd w:val="clear" w:color="auto" w:fill="auto"/>
          <w:tblCellMar>
            <w:top w:w="0" w:type="dxa"/>
            <w:left w:w="108" w:type="dxa"/>
            <w:bottom w:w="0" w:type="dxa"/>
            <w:right w:w="108" w:type="dxa"/>
          </w:tblCellMar>
        </w:tblPrEx>
        <w:trPr>
          <w:trHeight w:val="327"/>
        </w:trPr>
        <w:tc>
          <w:tcPr>
            <w:tcW w:w="331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单位名称</w:t>
            </w:r>
          </w:p>
        </w:tc>
        <w:tc>
          <w:tcPr>
            <w:tcW w:w="7022"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许昌市自然资源和规划局东城区服务中心</w:t>
            </w:r>
          </w:p>
        </w:tc>
      </w:tr>
      <w:tr>
        <w:tblPrEx>
          <w:tblW w:w="10335" w:type="dxa"/>
          <w:tblBorders/>
          <w:shd w:val="clear" w:color="auto" w:fill="auto"/>
          <w:tblCellMar>
            <w:top w:w="0" w:type="dxa"/>
            <w:left w:w="108" w:type="dxa"/>
            <w:bottom w:w="0" w:type="dxa"/>
            <w:right w:w="108" w:type="dxa"/>
          </w:tblCellMar>
        </w:tblPrEx>
        <w:trPr>
          <w:trHeight w:val="480"/>
        </w:trPr>
        <w:tc>
          <w:tcPr>
            <w:tcW w:w="5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hAnsi="宋体" w:cs="宋体" w:hint="eastAsia"/>
                <w:color w:val="000000"/>
                <w:kern w:val="0"/>
                <w:sz w:val="18"/>
                <w:szCs w:val="18"/>
                <w:lang w:eastAsia="zh-CN"/>
              </w:rPr>
              <w:t xml:space="preserve">单位</w:t>
            </w:r>
            <w:r>
              <w:rPr>
                <w:rFonts w:ascii="宋体" w:eastAsia="宋体" w:hAnsi="宋体" w:cs="宋体" w:hint="eastAsia"/>
                <w:color w:val="000000"/>
                <w:kern w:val="0"/>
                <w:sz w:val="18"/>
                <w:szCs w:val="18"/>
              </w:rPr>
              <w:t xml:space="preserve">整体支出情况</w:t>
            </w:r>
          </w:p>
        </w:tc>
        <w:tc>
          <w:tcPr>
            <w:tcW w:w="273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32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年初预算数</w:t>
            </w:r>
          </w:p>
        </w:tc>
        <w:tc>
          <w:tcPr>
            <w:tcW w:w="12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全年预算数</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全年执行数</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分值</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执行率</w:t>
            </w:r>
          </w:p>
        </w:tc>
        <w:tc>
          <w:tcPr>
            <w:tcW w:w="105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得分</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73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hAnsi="宋体" w:cs="宋体" w:hint="eastAsia"/>
                <w:color w:val="000000"/>
                <w:kern w:val="0"/>
                <w:sz w:val="18"/>
                <w:szCs w:val="18"/>
                <w:lang w:eastAsia="zh-CN"/>
              </w:rPr>
              <w:t xml:space="preserve">单位</w:t>
            </w:r>
            <w:r>
              <w:rPr>
                <w:rFonts w:ascii="宋体" w:eastAsia="宋体" w:hAnsi="宋体" w:cs="宋体" w:hint="eastAsia"/>
                <w:color w:val="000000"/>
                <w:kern w:val="0"/>
                <w:sz w:val="18"/>
                <w:szCs w:val="18"/>
              </w:rPr>
              <w:t xml:space="preserve">预算总额（万元）</w:t>
            </w:r>
          </w:p>
        </w:tc>
        <w:tc>
          <w:tcPr>
            <w:tcW w:w="132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146.93</w:t>
            </w:r>
          </w:p>
        </w:tc>
        <w:tc>
          <w:tcPr>
            <w:tcW w:w="12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166.49</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166.49</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r>
              <w:rPr>
                <w:rFonts w:ascii="宋体" w:hAnsi="宋体" w:cs="宋体" w:hint="eastAsia"/>
                <w:color w:val="000000"/>
                <w:kern w:val="0"/>
                <w:sz w:val="18"/>
                <w:szCs w:val="18"/>
                <w:lang w:val="en-US" w:eastAsia="zh-CN"/>
              </w:rPr>
              <w:t xml:space="preserve">13.31</w:t>
            </w:r>
            <w:r>
              <w:rPr>
                <w:rFonts w:ascii="宋体" w:eastAsia="宋体" w:hAnsi="宋体" w:cs="宋体" w:hint="eastAsia"/>
                <w:color w:val="000000"/>
                <w:kern w:val="0"/>
                <w:sz w:val="18"/>
                <w:szCs w:val="18"/>
              </w:rPr>
              <w:t xml:space="preserve">%</w:t>
            </w:r>
          </w:p>
        </w:tc>
        <w:tc>
          <w:tcPr>
            <w:tcW w:w="105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8.7</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73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资金来源：</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1</w:t>
            </w:r>
            <w:r>
              <w:rPr>
                <w:rFonts w:ascii="宋体" w:eastAsia="宋体" w:hAnsi="宋体" w:cs="宋体" w:hint="eastAsia"/>
                <w:color w:val="000000"/>
                <w:kern w:val="0"/>
                <w:sz w:val="18"/>
                <w:szCs w:val="18"/>
              </w:rPr>
              <w:t xml:space="preserve">）政府预算资金</w:t>
            </w:r>
          </w:p>
        </w:tc>
        <w:tc>
          <w:tcPr>
            <w:tcW w:w="132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146.93</w:t>
            </w:r>
          </w:p>
        </w:tc>
        <w:tc>
          <w:tcPr>
            <w:tcW w:w="12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166.49</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166.49</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5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73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2</w:t>
            </w:r>
            <w:r>
              <w:rPr>
                <w:rFonts w:ascii="宋体" w:eastAsia="宋体" w:hAnsi="宋体" w:cs="宋体" w:hint="eastAsia"/>
                <w:color w:val="000000"/>
                <w:kern w:val="0"/>
                <w:sz w:val="18"/>
                <w:szCs w:val="18"/>
              </w:rPr>
              <w:t xml:space="preserve">）财政专户管理资金</w:t>
            </w:r>
          </w:p>
        </w:tc>
        <w:tc>
          <w:tcPr>
            <w:tcW w:w="132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2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05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73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3</w:t>
            </w:r>
            <w:r>
              <w:rPr>
                <w:rFonts w:ascii="宋体" w:eastAsia="宋体" w:hAnsi="宋体" w:cs="宋体" w:hint="eastAsia"/>
                <w:color w:val="000000"/>
                <w:kern w:val="0"/>
                <w:sz w:val="18"/>
                <w:szCs w:val="18"/>
              </w:rPr>
              <w:t xml:space="preserve">）单位资金</w:t>
            </w:r>
          </w:p>
        </w:tc>
        <w:tc>
          <w:tcPr>
            <w:tcW w:w="132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27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05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年度履职目标</w:t>
            </w:r>
          </w:p>
        </w:tc>
        <w:tc>
          <w:tcPr>
            <w:tcW w:w="533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实际完成情况</w:t>
            </w:r>
          </w:p>
        </w:tc>
      </w:tr>
      <w:tr>
        <w:tblPrEx>
          <w:tblW w:w="10335" w:type="dxa"/>
          <w:tblBorders/>
          <w:shd w:val="clear" w:color="auto" w:fill="auto"/>
          <w:tblCellMar>
            <w:top w:w="0" w:type="dxa"/>
            <w:left w:w="108" w:type="dxa"/>
            <w:bottom w:w="0" w:type="dxa"/>
            <w:right w:w="108" w:type="dxa"/>
          </w:tblCellMar>
        </w:tblPrEx>
        <w:trPr>
          <w:trHeight w:val="126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533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为城乡建设提供规划管理服务。辖区城乡规划编制　编制规划、规划方案、建设项目初审、论证　城市发展战略研究　建设项目的规划监督检查　重点项目规划技术服务　建设用地、建设工程规划管理　建设用地规划许可证、建设工程规划许可证发放　规划、建设项目档案管理</w:t>
            </w: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达</w:t>
            </w:r>
            <w:r>
              <w:rPr>
                <w:rFonts w:ascii="宋体" w:eastAsia="宋体" w:hAnsi="宋体" w:cs="宋体" w:hint="eastAsia"/>
                <w:color w:val="000000"/>
                <w:kern w:val="0"/>
                <w:sz w:val="18"/>
                <w:szCs w:val="18"/>
              </w:rPr>
              <w:t xml:space="preserve">到</w:t>
            </w:r>
            <w:r>
              <w:rPr>
                <w:rFonts w:ascii="宋体" w:eastAsia="宋体" w:hAnsi="宋体" w:cs="宋体" w:hint="eastAsia"/>
                <w:color w:val="000000"/>
                <w:kern w:val="0"/>
                <w:sz w:val="18"/>
                <w:szCs w:val="18"/>
              </w:rPr>
              <w:t xml:space="preserve">95</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以上</w:t>
            </w:r>
          </w:p>
        </w:tc>
      </w:tr>
      <w:tr>
        <w:tblPrEx>
          <w:tblW w:w="10335" w:type="dxa"/>
          <w:tblBorders/>
          <w:shd w:val="clear" w:color="auto" w:fill="auto"/>
          <w:tblCellMar>
            <w:top w:w="0" w:type="dxa"/>
            <w:left w:w="108" w:type="dxa"/>
            <w:bottom w:w="0" w:type="dxa"/>
            <w:right w:w="108" w:type="dxa"/>
          </w:tblCellMar>
        </w:tblPrEx>
        <w:trPr>
          <w:trHeight w:val="540"/>
        </w:trPr>
        <w:tc>
          <w:tcPr>
            <w:tcW w:w="5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年度主要任务</w:t>
            </w:r>
          </w:p>
        </w:tc>
        <w:tc>
          <w:tcPr>
            <w:tcW w:w="258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任务名称</w:t>
            </w:r>
          </w:p>
        </w:tc>
        <w:tc>
          <w:tcPr>
            <w:tcW w:w="2745"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主要内容</w:t>
            </w: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实际完成情况</w:t>
            </w:r>
          </w:p>
        </w:tc>
      </w:tr>
      <w:tr>
        <w:tblPrEx>
          <w:tblW w:w="10335" w:type="dxa"/>
          <w:tblBorders/>
          <w:shd w:val="clear" w:color="auto" w:fill="auto"/>
          <w:tblCellMar>
            <w:top w:w="0" w:type="dxa"/>
            <w:left w:w="108" w:type="dxa"/>
            <w:bottom w:w="0" w:type="dxa"/>
            <w:right w:w="108" w:type="dxa"/>
          </w:tblCellMar>
        </w:tblPrEx>
        <w:trPr>
          <w:trHeight w:val="84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58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做好规划审批工作</w:t>
            </w:r>
          </w:p>
        </w:tc>
        <w:tc>
          <w:tcPr>
            <w:tcW w:w="2745"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负责辖区内单元控规、控制性详细规划、专项规划、城市设计、建设工程设计方案等初审工作</w:t>
            </w: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达</w:t>
            </w:r>
            <w:r>
              <w:rPr>
                <w:rFonts w:ascii="宋体" w:eastAsia="宋体" w:hAnsi="宋体" w:cs="宋体" w:hint="eastAsia"/>
                <w:color w:val="000000"/>
                <w:kern w:val="0"/>
                <w:sz w:val="18"/>
                <w:szCs w:val="18"/>
              </w:rPr>
              <w:t xml:space="preserve">到</w:t>
            </w:r>
            <w:r>
              <w:rPr>
                <w:rFonts w:ascii="宋体" w:eastAsia="宋体" w:hAnsi="宋体" w:cs="宋体" w:hint="eastAsia"/>
                <w:color w:val="000000"/>
                <w:kern w:val="0"/>
                <w:sz w:val="18"/>
                <w:szCs w:val="18"/>
              </w:rPr>
              <w:t xml:space="preserve">95</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以上</w:t>
            </w:r>
          </w:p>
        </w:tc>
      </w:tr>
      <w:tr>
        <w:tblPrEx>
          <w:tblW w:w="10335" w:type="dxa"/>
          <w:tblBorders/>
          <w:shd w:val="clear" w:color="auto" w:fill="auto"/>
          <w:tblCellMar>
            <w:top w:w="0" w:type="dxa"/>
            <w:left w:w="108" w:type="dxa"/>
            <w:bottom w:w="0" w:type="dxa"/>
            <w:right w:w="108" w:type="dxa"/>
          </w:tblCellMar>
        </w:tblPrEx>
        <w:trPr>
          <w:trHeight w:val="88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58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做好耕地保护和基本农田保护工作</w:t>
            </w:r>
          </w:p>
        </w:tc>
        <w:tc>
          <w:tcPr>
            <w:tcW w:w="2745"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做好辖区内耕地保护和基本农田保护工作，做好国土空间生态修复工作等。</w:t>
            </w: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达</w:t>
            </w:r>
            <w:r>
              <w:rPr>
                <w:rFonts w:ascii="宋体" w:eastAsia="宋体" w:hAnsi="宋体" w:cs="宋体" w:hint="eastAsia"/>
                <w:color w:val="000000"/>
                <w:kern w:val="0"/>
                <w:sz w:val="18"/>
                <w:szCs w:val="18"/>
              </w:rPr>
              <w:t xml:space="preserve">到</w:t>
            </w:r>
            <w:r>
              <w:rPr>
                <w:rFonts w:ascii="宋体" w:eastAsia="宋体" w:hAnsi="宋体" w:cs="宋体" w:hint="eastAsia"/>
                <w:color w:val="000000"/>
                <w:kern w:val="0"/>
                <w:sz w:val="18"/>
                <w:szCs w:val="18"/>
              </w:rPr>
              <w:t xml:space="preserve">95</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以上</w:t>
            </w:r>
          </w:p>
        </w:tc>
      </w:tr>
      <w:tr>
        <w:tblPrEx>
          <w:tblW w:w="10335" w:type="dxa"/>
          <w:tblBorders/>
          <w:shd w:val="clear" w:color="auto" w:fill="auto"/>
          <w:tblCellMar>
            <w:top w:w="0" w:type="dxa"/>
            <w:left w:w="108" w:type="dxa"/>
            <w:bottom w:w="0" w:type="dxa"/>
            <w:right w:w="108" w:type="dxa"/>
          </w:tblCellMar>
        </w:tblPrEx>
        <w:trPr>
          <w:trHeight w:val="640"/>
        </w:trPr>
        <w:tc>
          <w:tcPr>
            <w:tcW w:w="57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579"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一级指标</w:t>
            </w:r>
          </w:p>
        </w:tc>
        <w:tc>
          <w:tcPr>
            <w:tcW w:w="11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二级指标</w:t>
            </w: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三级指标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年度指标值</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实际完成值</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分值</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得分</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偏差度</w:t>
            </w: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偏差原因分析及改进措施</w:t>
            </w:r>
          </w:p>
        </w:tc>
      </w:tr>
      <w:tr>
        <w:tblPrEx>
          <w:tblW w:w="10335" w:type="dxa"/>
          <w:tblBorders/>
          <w:shd w:val="clear" w:color="auto" w:fill="auto"/>
          <w:tblCellMar>
            <w:top w:w="0" w:type="dxa"/>
            <w:left w:w="108" w:type="dxa"/>
            <w:bottom w:w="0" w:type="dxa"/>
            <w:right w:w="108" w:type="dxa"/>
          </w:tblCellMar>
        </w:tblPrEx>
        <w:trPr>
          <w:trHeight w:val="500"/>
        </w:trPr>
        <w:tc>
          <w:tcPr>
            <w:tcW w:w="5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绩效指标</w:t>
            </w:r>
          </w:p>
        </w:tc>
        <w:tc>
          <w:tcPr>
            <w:tcW w:w="157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投入管理指标</w:t>
            </w:r>
          </w:p>
        </w:tc>
        <w:tc>
          <w:tcPr>
            <w:tcW w:w="115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工作目标管理</w:t>
            </w: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年度履职目标相关性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目标充分、内容合法合规</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工作任务科学性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科学</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绩效指标合理性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合理、清晰</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预算和财务管理</w:t>
            </w: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预算编制完整性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完整</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专项资金细化率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预算执行率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预算调整率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10%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结转结余率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10%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三公经</w:t>
            </w:r>
            <w:r>
              <w:rPr>
                <w:rFonts w:ascii="宋体" w:eastAsia="宋体" w:hAnsi="宋体" w:cs="宋体" w:hint="eastAsia"/>
                <w:color w:val="000000"/>
                <w:kern w:val="0"/>
                <w:sz w:val="18"/>
                <w:szCs w:val="18"/>
              </w:rPr>
              <w:t xml:space="preserve">费</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控制率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无三公经费预算</w:t>
            </w: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政府采购执行率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决算真实性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真实</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资金使用合规性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合规</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管理制度健全性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健全</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完善财务制度</w:t>
            </w:r>
          </w:p>
        </w:tc>
      </w:tr>
      <w:tr>
        <w:tblPrEx>
          <w:tblW w:w="10335" w:type="dxa"/>
          <w:tblBorders/>
          <w:shd w:val="clear" w:color="auto" w:fill="auto"/>
          <w:tblCellMar>
            <w:top w:w="0" w:type="dxa"/>
            <w:left w:w="108" w:type="dxa"/>
            <w:bottom w:w="0" w:type="dxa"/>
            <w:right w:w="108" w:type="dxa"/>
          </w:tblCellMar>
        </w:tblPrEx>
        <w:trPr>
          <w:trHeight w:val="44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预决算信息公开性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真实</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资产管理规范性</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规范</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6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绩效管理</w:t>
            </w: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绩效目标编制完成率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绩效监控完成率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绩效自评完成率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8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部门绩效评价完成率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加强绩效评价工作</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评价结果应用率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加强评价结果应用</w:t>
            </w:r>
          </w:p>
        </w:tc>
      </w:tr>
      <w:tr>
        <w:tblPrEx>
          <w:tblW w:w="10335" w:type="dxa"/>
          <w:tblBorders/>
          <w:shd w:val="clear" w:color="auto" w:fill="auto"/>
          <w:tblCellMar>
            <w:top w:w="0" w:type="dxa"/>
            <w:left w:w="108" w:type="dxa"/>
            <w:bottom w:w="0" w:type="dxa"/>
            <w:right w:w="108" w:type="dxa"/>
          </w:tblCellMar>
        </w:tblPrEx>
        <w:trPr>
          <w:trHeight w:val="36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产出指标</w:t>
            </w:r>
          </w:p>
        </w:tc>
        <w:tc>
          <w:tcPr>
            <w:tcW w:w="115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重点工作任务完成</w:t>
            </w: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基本农田保护完成率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95%</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40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做好用地保障工作</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98%</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98%</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履职目标实现</w:t>
            </w: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基本农田保护完成率</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95%</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做好规划编制工作　</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95%</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效益指标</w:t>
            </w:r>
          </w:p>
        </w:tc>
        <w:tc>
          <w:tcPr>
            <w:tcW w:w="11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履职效益</w:t>
            </w: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社会效益</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95%</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满意度</w:t>
            </w: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群众满意度</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加强满意度</w:t>
            </w: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7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服务对象满意度</w:t>
            </w:r>
          </w:p>
        </w:tc>
        <w:tc>
          <w:tcPr>
            <w:tcW w:w="89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加强满意度</w:t>
            </w: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6402"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总分</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eastAsia="宋体" w:hAnsi="宋体" w:cs="宋体" w:hint="eastAsia"/>
                <w:color w:val="000000"/>
                <w:kern w:val="0"/>
                <w:sz w:val="18"/>
                <w:szCs w:val="18"/>
              </w:rPr>
              <w:t xml:space="preserve">9</w:t>
            </w:r>
            <w:r>
              <w:rPr>
                <w:rFonts w:ascii="宋体" w:hAnsi="宋体" w:cs="宋体" w:hint="eastAsia"/>
                <w:color w:val="000000"/>
                <w:kern w:val="0"/>
                <w:sz w:val="18"/>
                <w:szCs w:val="18"/>
                <w:lang w:val="en-US" w:eastAsia="zh-CN"/>
              </w:rPr>
              <w:t xml:space="preserve">7.7</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6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r>
    </w:tbl>
    <w:p>
      <w:pPr>
        <w:pStyle w:val="Normal_b83a4812-1914-448a-99ec-6956104bca72"/>
        <w:sectPr>
          <w:pgSz w:w="11906" w:h="16838"/>
          <w:pgMar w:top="1440" w:right="1800" w:bottom="1440" w:left="760" w:header="851" w:footer="992" w:gutter="0"/>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4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8c5fd3c-99e8-44b2-ad3c-0b4834127cb3">
    <w:name w:val="Normal_b8c5fd3c-99e8-44b2-ad3c-0b4834127cb3"/>
    <w:next w:val="Footer"/>
    <w:qFormat/>
    <w:pPr>
      <w:widowControl w:val="0"/>
      <w:jc w:val="both"/>
    </w:pPr>
    <w:rPr>
      <w:rFonts w:ascii="Times New Roman" w:eastAsia="宋体" w:hAnsi="Times New Roman" w:cs="Times New Roman"/>
    </w:rPr>
  </w:style>
  <w:style w:type="table" w:styleId="NormalTable_60ec3921-de15-4fd7-a920-d2f9431956dc">
    <w:name w:val="Normal Table_60ec3921-de15-4fd7-a920-d2f9431956dc"/>
    <w:next w:val="Header"/>
    <w:uiPriority w:val="99"/>
    <w:unhideWhenUsed/>
    <w:qFormat/>
    <w:rPr/>
    <w:tblPr>
      <w:tblCellMar>
        <w:top w:w="0" w:type="dxa"/>
        <w:left w:w="108" w:type="dxa"/>
        <w:bottom w:w="0" w:type="dxa"/>
        <w:right w:w="108" w:type="dxa"/>
      </w:tblCellMar>
    </w:tblPr>
  </w:style>
  <w:style w:type="paragraph" w:styleId="Normal_b83a4812-1914-448a-99ec-6956104bca72">
    <w:name w:val="Normal_b83a4812-1914-448a-99ec-6956104bca72"/>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