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许昌市职业与成人教育教学研究室</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许昌市职业与成人教育教学研究室</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许昌市职业与成人教育教学研究室概况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职业与成人教育教学研究室是具有独立法人资格的正科级事业单位，属许昌市教育局直属二级机构。我室的主要职能是：指导全市职业学校和成人学校的教育教学工作；检查、评估职业学校、成人学校的教育教学质量；组织开展教师培训，培养“双师型”教师，加快教育教学改革进程；开发和编写地方教材；开展扫盲教育、扫盲后技术培训以及农村劳动力转移培训工作；组织多种形式的技能竞赛和技能测试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许昌市职业与成人教育教学研究室</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许昌市职业与成人教育教学研究室</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根据《中共许昌市委机构编制委员会关于印发&lt;许昌市教育科学研究中心职能配置、内设机构和人员编制规定&gt;的通知》（许编〔2022〕90号）要求，2023年初，许昌市普通教育教学研究室、许昌市职业与成人教育教学研究室、许昌市电化教育馆、许昌市中小学教师培训中心四家许昌市教育局直属事业单位进行重塑性改革，成立了许昌市教育科学研究中心（原4个机构撤销）。至2023年12月份，事业单位重塑性改革工作基本完成。</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许昌市职业与成人教育教学研究室。</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单位：许昌市职业与成人教育教学研究室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123.42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4.73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82.60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28.46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2.65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5.06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123.42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123.50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3.62</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3.54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127.04</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127.04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单位：许昌市职业与成人教育教学研究室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123.42</w:t>
            </w:r>
          </w:p>
        </w:tc>
        <w:tc>
          <w:tcPr>
            <w:tcW w:w="1440" w:type="dxa"/>
            <w:tcBorders/>
            <w:vAlign w:val="center"/>
          </w:tcPr>
          <w:p>
            <w:pPr>
              <w:jc w:val="right"/>
            </w:pPr>
            <w:r>
              <w:rPr>
                <w:rFonts w:ascii="宋体" w:eastAsia="宋体" w:hAnsi="宋体" w:cs="宋体"/>
                <w:b/>
                <w:i w:val="0"/>
                <w:color w:val="000000"/>
                <w:sz w:val="17"/>
              </w:rPr>
              <w:t xml:space="preserve">123.42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4.73</w:t>
            </w:r>
          </w:p>
        </w:tc>
        <w:tc>
          <w:tcPr>
            <w:tcW w:w="1440" w:type="dxa"/>
            <w:tcBorders/>
            <w:vAlign w:val="center"/>
          </w:tcPr>
          <w:p>
            <w:pPr>
              <w:jc w:val="right"/>
            </w:pPr>
            <w:r>
              <w:rPr>
                <w:rFonts w:ascii="宋体" w:eastAsia="宋体" w:hAnsi="宋体" w:cs="宋体"/>
                <w:b w:val="0"/>
                <w:i w:val="0"/>
                <w:color w:val="000000"/>
                <w:sz w:val="17"/>
              </w:rPr>
              <w:t xml:space="preserve">4.73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0.66</w:t>
            </w:r>
          </w:p>
        </w:tc>
        <w:tc>
          <w:tcPr>
            <w:tcW w:w="1440" w:type="dxa"/>
            <w:tcBorders/>
            <w:vAlign w:val="center"/>
          </w:tcPr>
          <w:p>
            <w:pPr>
              <w:jc w:val="right"/>
            </w:pPr>
            <w:r>
              <w:rPr>
                <w:rFonts w:ascii="宋体" w:eastAsia="宋体" w:hAnsi="宋体" w:cs="宋体"/>
                <w:b w:val="0"/>
                <w:i w:val="0"/>
                <w:color w:val="000000"/>
                <w:sz w:val="17"/>
              </w:rPr>
              <w:t xml:space="preserve">0.66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0.66</w:t>
            </w:r>
          </w:p>
        </w:tc>
        <w:tc>
          <w:tcPr>
            <w:tcW w:w="1440" w:type="dxa"/>
            <w:tcBorders/>
            <w:vAlign w:val="center"/>
          </w:tcPr>
          <w:p>
            <w:pPr>
              <w:jc w:val="right"/>
            </w:pPr>
            <w:r>
              <w:rPr>
                <w:rFonts w:ascii="宋体" w:eastAsia="宋体" w:hAnsi="宋体" w:cs="宋体"/>
                <w:b w:val="0"/>
                <w:i w:val="0"/>
                <w:color w:val="000000"/>
                <w:sz w:val="17"/>
              </w:rPr>
              <w:t xml:space="preserve">0.66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4.07</w:t>
            </w:r>
          </w:p>
        </w:tc>
        <w:tc>
          <w:tcPr>
            <w:tcW w:w="1440" w:type="dxa"/>
            <w:tcBorders/>
            <w:vAlign w:val="center"/>
          </w:tcPr>
          <w:p>
            <w:pPr>
              <w:jc w:val="right"/>
            </w:pPr>
            <w:r>
              <w:rPr>
                <w:rFonts w:ascii="宋体" w:eastAsia="宋体" w:hAnsi="宋体" w:cs="宋体"/>
                <w:b w:val="0"/>
                <w:i w:val="0"/>
                <w:color w:val="000000"/>
                <w:sz w:val="17"/>
              </w:rPr>
              <w:t xml:space="preserve">4.07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4.07</w:t>
            </w:r>
          </w:p>
        </w:tc>
        <w:tc>
          <w:tcPr>
            <w:tcW w:w="1440" w:type="dxa"/>
            <w:tcBorders/>
            <w:vAlign w:val="center"/>
          </w:tcPr>
          <w:p>
            <w:pPr>
              <w:jc w:val="right"/>
            </w:pPr>
            <w:r>
              <w:rPr>
                <w:rFonts w:ascii="宋体" w:eastAsia="宋体" w:hAnsi="宋体" w:cs="宋体"/>
                <w:b w:val="0"/>
                <w:i w:val="0"/>
                <w:color w:val="000000"/>
                <w:sz w:val="17"/>
              </w:rPr>
              <w:t xml:space="preserve">4.07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82.52</w:t>
            </w:r>
          </w:p>
        </w:tc>
        <w:tc>
          <w:tcPr>
            <w:tcW w:w="1440" w:type="dxa"/>
            <w:tcBorders/>
            <w:vAlign w:val="center"/>
          </w:tcPr>
          <w:p>
            <w:pPr>
              <w:jc w:val="right"/>
            </w:pPr>
            <w:r>
              <w:rPr>
                <w:rFonts w:ascii="宋体" w:eastAsia="宋体" w:hAnsi="宋体" w:cs="宋体"/>
                <w:b w:val="0"/>
                <w:i w:val="0"/>
                <w:color w:val="000000"/>
                <w:sz w:val="17"/>
              </w:rPr>
              <w:t xml:space="preserve">82.52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教育管理事务</w:t>
            </w:r>
          </w:p>
        </w:tc>
        <w:tc>
          <w:tcPr>
            <w:tcW w:w="1440" w:type="dxa"/>
            <w:tcBorders/>
            <w:vAlign w:val="center"/>
          </w:tcPr>
          <w:p>
            <w:pPr>
              <w:jc w:val="right"/>
            </w:pPr>
            <w:r>
              <w:rPr>
                <w:rFonts w:ascii="宋体" w:eastAsia="宋体" w:hAnsi="宋体" w:cs="宋体"/>
                <w:b w:val="0"/>
                <w:i w:val="0"/>
                <w:color w:val="000000"/>
                <w:sz w:val="17"/>
              </w:rPr>
              <w:t xml:space="preserve">81.41</w:t>
            </w:r>
          </w:p>
        </w:tc>
        <w:tc>
          <w:tcPr>
            <w:tcW w:w="1440" w:type="dxa"/>
            <w:tcBorders/>
            <w:vAlign w:val="center"/>
          </w:tcPr>
          <w:p>
            <w:pPr>
              <w:jc w:val="right"/>
            </w:pPr>
            <w:r>
              <w:rPr>
                <w:rFonts w:ascii="宋体" w:eastAsia="宋体" w:hAnsi="宋体" w:cs="宋体"/>
                <w:b w:val="0"/>
                <w:i w:val="0"/>
                <w:color w:val="000000"/>
                <w:sz w:val="17"/>
              </w:rPr>
              <w:t xml:space="preserve">81.41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其他教育管理事务支出</w:t>
            </w:r>
          </w:p>
        </w:tc>
        <w:tc>
          <w:tcPr>
            <w:tcW w:w="1440" w:type="dxa"/>
            <w:tcBorders/>
            <w:vAlign w:val="center"/>
          </w:tcPr>
          <w:p>
            <w:pPr>
              <w:jc w:val="right"/>
            </w:pPr>
            <w:r>
              <w:rPr>
                <w:rFonts w:ascii="宋体" w:eastAsia="宋体" w:hAnsi="宋体" w:cs="宋体"/>
                <w:b w:val="0"/>
                <w:i w:val="0"/>
                <w:color w:val="000000"/>
                <w:sz w:val="17"/>
              </w:rPr>
              <w:t xml:space="preserve">81.41</w:t>
            </w:r>
          </w:p>
        </w:tc>
        <w:tc>
          <w:tcPr>
            <w:tcW w:w="1440" w:type="dxa"/>
            <w:tcBorders/>
            <w:vAlign w:val="center"/>
          </w:tcPr>
          <w:p>
            <w:pPr>
              <w:jc w:val="right"/>
            </w:pPr>
            <w:r>
              <w:rPr>
                <w:rFonts w:ascii="宋体" w:eastAsia="宋体" w:hAnsi="宋体" w:cs="宋体"/>
                <w:b w:val="0"/>
                <w:i w:val="0"/>
                <w:color w:val="000000"/>
                <w:sz w:val="17"/>
              </w:rPr>
              <w:t xml:space="preserve">81.41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1.11</w:t>
            </w:r>
          </w:p>
        </w:tc>
        <w:tc>
          <w:tcPr>
            <w:tcW w:w="1440" w:type="dxa"/>
            <w:tcBorders/>
            <w:vAlign w:val="center"/>
          </w:tcPr>
          <w:p>
            <w:pPr>
              <w:jc w:val="right"/>
            </w:pPr>
            <w:r>
              <w:rPr>
                <w:rFonts w:ascii="宋体" w:eastAsia="宋体" w:hAnsi="宋体" w:cs="宋体"/>
                <w:b w:val="0"/>
                <w:i w:val="0"/>
                <w:color w:val="000000"/>
                <w:sz w:val="17"/>
              </w:rPr>
              <w:t xml:space="preserve">1.11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1.11</w:t>
            </w:r>
          </w:p>
        </w:tc>
        <w:tc>
          <w:tcPr>
            <w:tcW w:w="1440" w:type="dxa"/>
            <w:tcBorders/>
            <w:vAlign w:val="center"/>
          </w:tcPr>
          <w:p>
            <w:pPr>
              <w:jc w:val="right"/>
            </w:pPr>
            <w:r>
              <w:rPr>
                <w:rFonts w:ascii="宋体" w:eastAsia="宋体" w:hAnsi="宋体" w:cs="宋体"/>
                <w:b w:val="0"/>
                <w:i w:val="0"/>
                <w:color w:val="000000"/>
                <w:sz w:val="17"/>
              </w:rPr>
              <w:t xml:space="preserve">1.11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28.46</w:t>
            </w:r>
          </w:p>
        </w:tc>
        <w:tc>
          <w:tcPr>
            <w:tcW w:w="1440" w:type="dxa"/>
            <w:tcBorders/>
            <w:vAlign w:val="center"/>
          </w:tcPr>
          <w:p>
            <w:pPr>
              <w:jc w:val="right"/>
            </w:pPr>
            <w:r>
              <w:rPr>
                <w:rFonts w:ascii="宋体" w:eastAsia="宋体" w:hAnsi="宋体" w:cs="宋体"/>
                <w:b w:val="0"/>
                <w:i w:val="0"/>
                <w:color w:val="000000"/>
                <w:sz w:val="17"/>
              </w:rPr>
              <w:t xml:space="preserve">28.46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28.46</w:t>
            </w:r>
          </w:p>
        </w:tc>
        <w:tc>
          <w:tcPr>
            <w:tcW w:w="1440" w:type="dxa"/>
            <w:tcBorders/>
            <w:vAlign w:val="center"/>
          </w:tcPr>
          <w:p>
            <w:pPr>
              <w:jc w:val="right"/>
            </w:pPr>
            <w:r>
              <w:rPr>
                <w:rFonts w:ascii="宋体" w:eastAsia="宋体" w:hAnsi="宋体" w:cs="宋体"/>
                <w:b w:val="0"/>
                <w:i w:val="0"/>
                <w:color w:val="000000"/>
                <w:sz w:val="17"/>
              </w:rPr>
              <w:t xml:space="preserve">28.46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22.80</w:t>
            </w:r>
          </w:p>
        </w:tc>
        <w:tc>
          <w:tcPr>
            <w:tcW w:w="1440" w:type="dxa"/>
            <w:tcBorders/>
            <w:vAlign w:val="center"/>
          </w:tcPr>
          <w:p>
            <w:pPr>
              <w:jc w:val="right"/>
            </w:pPr>
            <w:r>
              <w:rPr>
                <w:rFonts w:ascii="宋体" w:eastAsia="宋体" w:hAnsi="宋体" w:cs="宋体"/>
                <w:b w:val="0"/>
                <w:i w:val="0"/>
                <w:color w:val="000000"/>
                <w:sz w:val="17"/>
              </w:rPr>
              <w:t xml:space="preserve">22.80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5.67</w:t>
            </w:r>
          </w:p>
        </w:tc>
        <w:tc>
          <w:tcPr>
            <w:tcW w:w="1440" w:type="dxa"/>
            <w:tcBorders/>
            <w:vAlign w:val="center"/>
          </w:tcPr>
          <w:p>
            <w:pPr>
              <w:jc w:val="right"/>
            </w:pPr>
            <w:r>
              <w:rPr>
                <w:rFonts w:ascii="宋体" w:eastAsia="宋体" w:hAnsi="宋体" w:cs="宋体"/>
                <w:b w:val="0"/>
                <w:i w:val="0"/>
                <w:color w:val="000000"/>
                <w:sz w:val="17"/>
              </w:rPr>
              <w:t xml:space="preserve">5.67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2.65</w:t>
            </w:r>
          </w:p>
        </w:tc>
        <w:tc>
          <w:tcPr>
            <w:tcW w:w="1440" w:type="dxa"/>
            <w:tcBorders/>
            <w:vAlign w:val="center"/>
          </w:tcPr>
          <w:p>
            <w:pPr>
              <w:jc w:val="right"/>
            </w:pPr>
            <w:r>
              <w:rPr>
                <w:rFonts w:ascii="宋体" w:eastAsia="宋体" w:hAnsi="宋体" w:cs="宋体"/>
                <w:b w:val="0"/>
                <w:i w:val="0"/>
                <w:color w:val="000000"/>
                <w:sz w:val="17"/>
              </w:rPr>
              <w:t xml:space="preserve">2.65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2.65</w:t>
            </w:r>
          </w:p>
        </w:tc>
        <w:tc>
          <w:tcPr>
            <w:tcW w:w="1440" w:type="dxa"/>
            <w:tcBorders/>
            <w:vAlign w:val="center"/>
          </w:tcPr>
          <w:p>
            <w:pPr>
              <w:jc w:val="right"/>
            </w:pPr>
            <w:r>
              <w:rPr>
                <w:rFonts w:ascii="宋体" w:eastAsia="宋体" w:hAnsi="宋体" w:cs="宋体"/>
                <w:b w:val="0"/>
                <w:i w:val="0"/>
                <w:color w:val="000000"/>
                <w:sz w:val="17"/>
              </w:rPr>
              <w:t xml:space="preserve">2.65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2.65</w:t>
            </w:r>
          </w:p>
        </w:tc>
        <w:tc>
          <w:tcPr>
            <w:tcW w:w="1440" w:type="dxa"/>
            <w:tcBorders/>
            <w:vAlign w:val="center"/>
          </w:tcPr>
          <w:p>
            <w:pPr>
              <w:jc w:val="right"/>
            </w:pPr>
            <w:r>
              <w:rPr>
                <w:rFonts w:ascii="宋体" w:eastAsia="宋体" w:hAnsi="宋体" w:cs="宋体"/>
                <w:b w:val="0"/>
                <w:i w:val="0"/>
                <w:color w:val="000000"/>
                <w:sz w:val="17"/>
              </w:rPr>
              <w:t xml:space="preserve">2.65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5.06</w:t>
            </w:r>
          </w:p>
        </w:tc>
        <w:tc>
          <w:tcPr>
            <w:tcW w:w="1440" w:type="dxa"/>
            <w:tcBorders/>
            <w:vAlign w:val="center"/>
          </w:tcPr>
          <w:p>
            <w:pPr>
              <w:jc w:val="right"/>
            </w:pPr>
            <w:r>
              <w:rPr>
                <w:rFonts w:ascii="宋体" w:eastAsia="宋体" w:hAnsi="宋体" w:cs="宋体"/>
                <w:b w:val="0"/>
                <w:i w:val="0"/>
                <w:color w:val="000000"/>
                <w:sz w:val="17"/>
              </w:rPr>
              <w:t xml:space="preserve">5.06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5.06</w:t>
            </w:r>
          </w:p>
        </w:tc>
        <w:tc>
          <w:tcPr>
            <w:tcW w:w="1440" w:type="dxa"/>
            <w:tcBorders/>
            <w:vAlign w:val="center"/>
          </w:tcPr>
          <w:p>
            <w:pPr>
              <w:jc w:val="right"/>
            </w:pPr>
            <w:r>
              <w:rPr>
                <w:rFonts w:ascii="宋体" w:eastAsia="宋体" w:hAnsi="宋体" w:cs="宋体"/>
                <w:b w:val="0"/>
                <w:i w:val="0"/>
                <w:color w:val="000000"/>
                <w:sz w:val="17"/>
              </w:rPr>
              <w:t xml:space="preserve">5.06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5.06</w:t>
            </w:r>
          </w:p>
        </w:tc>
        <w:tc>
          <w:tcPr>
            <w:tcW w:w="1440" w:type="dxa"/>
            <w:tcBorders/>
            <w:vAlign w:val="center"/>
          </w:tcPr>
          <w:p>
            <w:pPr>
              <w:jc w:val="right"/>
            </w:pPr>
            <w:r>
              <w:rPr>
                <w:rFonts w:ascii="宋体" w:eastAsia="宋体" w:hAnsi="宋体" w:cs="宋体"/>
                <w:b w:val="0"/>
                <w:i w:val="0"/>
                <w:color w:val="000000"/>
                <w:sz w:val="17"/>
              </w:rPr>
              <w:t xml:space="preserve">5.06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单位：许昌市职业与成人教育教学研究室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123.50</w:t>
            </w:r>
          </w:p>
        </w:tc>
        <w:tc>
          <w:tcPr>
            <w:tcW w:w="1600" w:type="dxa"/>
            <w:tcBorders/>
            <w:vAlign w:val="center"/>
          </w:tcPr>
          <w:p>
            <w:pPr>
              <w:jc w:val="right"/>
            </w:pPr>
            <w:r>
              <w:rPr>
                <w:rFonts w:ascii="宋体" w:eastAsia="宋体" w:hAnsi="宋体" w:cs="宋体"/>
                <w:b/>
                <w:i w:val="0"/>
                <w:color w:val="000000"/>
                <w:sz w:val="19"/>
              </w:rPr>
              <w:t xml:space="preserve">123.50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4.73</w:t>
            </w:r>
          </w:p>
        </w:tc>
        <w:tc>
          <w:tcPr>
            <w:tcW w:w="1600" w:type="dxa"/>
            <w:tcBorders/>
            <w:vAlign w:val="center"/>
          </w:tcPr>
          <w:p>
            <w:pPr>
              <w:jc w:val="right"/>
            </w:pPr>
            <w:r>
              <w:rPr>
                <w:rFonts w:ascii="宋体" w:eastAsia="宋体" w:hAnsi="宋体" w:cs="宋体"/>
                <w:b w:val="0"/>
                <w:i w:val="0"/>
                <w:color w:val="000000"/>
                <w:sz w:val="19"/>
              </w:rPr>
              <w:t xml:space="preserve">4.73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0.66</w:t>
            </w:r>
          </w:p>
        </w:tc>
        <w:tc>
          <w:tcPr>
            <w:tcW w:w="1600" w:type="dxa"/>
            <w:tcBorders/>
            <w:vAlign w:val="center"/>
          </w:tcPr>
          <w:p>
            <w:pPr>
              <w:jc w:val="right"/>
            </w:pPr>
            <w:r>
              <w:rPr>
                <w:rFonts w:ascii="宋体" w:eastAsia="宋体" w:hAnsi="宋体" w:cs="宋体"/>
                <w:b w:val="0"/>
                <w:i w:val="0"/>
                <w:color w:val="000000"/>
                <w:sz w:val="19"/>
              </w:rPr>
              <w:t xml:space="preserve">0.66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0.66</w:t>
            </w:r>
          </w:p>
        </w:tc>
        <w:tc>
          <w:tcPr>
            <w:tcW w:w="1600" w:type="dxa"/>
            <w:tcBorders/>
            <w:vAlign w:val="center"/>
          </w:tcPr>
          <w:p>
            <w:pPr>
              <w:jc w:val="right"/>
            </w:pPr>
            <w:r>
              <w:rPr>
                <w:rFonts w:ascii="宋体" w:eastAsia="宋体" w:hAnsi="宋体" w:cs="宋体"/>
                <w:b w:val="0"/>
                <w:i w:val="0"/>
                <w:color w:val="000000"/>
                <w:sz w:val="19"/>
              </w:rPr>
              <w:t xml:space="preserve">0.66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4.07</w:t>
            </w:r>
          </w:p>
        </w:tc>
        <w:tc>
          <w:tcPr>
            <w:tcW w:w="1600" w:type="dxa"/>
            <w:tcBorders/>
            <w:vAlign w:val="center"/>
          </w:tcPr>
          <w:p>
            <w:pPr>
              <w:jc w:val="right"/>
            </w:pPr>
            <w:r>
              <w:rPr>
                <w:rFonts w:ascii="宋体" w:eastAsia="宋体" w:hAnsi="宋体" w:cs="宋体"/>
                <w:b w:val="0"/>
                <w:i w:val="0"/>
                <w:color w:val="000000"/>
                <w:sz w:val="19"/>
              </w:rPr>
              <w:t xml:space="preserve">4.07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4.07</w:t>
            </w:r>
          </w:p>
        </w:tc>
        <w:tc>
          <w:tcPr>
            <w:tcW w:w="1600" w:type="dxa"/>
            <w:tcBorders/>
            <w:vAlign w:val="center"/>
          </w:tcPr>
          <w:p>
            <w:pPr>
              <w:jc w:val="right"/>
            </w:pPr>
            <w:r>
              <w:rPr>
                <w:rFonts w:ascii="宋体" w:eastAsia="宋体" w:hAnsi="宋体" w:cs="宋体"/>
                <w:b w:val="0"/>
                <w:i w:val="0"/>
                <w:color w:val="000000"/>
                <w:sz w:val="19"/>
              </w:rPr>
              <w:t xml:space="preserve">4.07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82.60</w:t>
            </w:r>
          </w:p>
        </w:tc>
        <w:tc>
          <w:tcPr>
            <w:tcW w:w="1600" w:type="dxa"/>
            <w:tcBorders/>
            <w:vAlign w:val="center"/>
          </w:tcPr>
          <w:p>
            <w:pPr>
              <w:jc w:val="right"/>
            </w:pPr>
            <w:r>
              <w:rPr>
                <w:rFonts w:ascii="宋体" w:eastAsia="宋体" w:hAnsi="宋体" w:cs="宋体"/>
                <w:b w:val="0"/>
                <w:i w:val="0"/>
                <w:color w:val="000000"/>
                <w:sz w:val="19"/>
              </w:rPr>
              <w:t xml:space="preserve">82.60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教育管理事务</w:t>
            </w:r>
          </w:p>
        </w:tc>
        <w:tc>
          <w:tcPr>
            <w:tcW w:w="1600" w:type="dxa"/>
            <w:tcBorders/>
            <w:vAlign w:val="center"/>
          </w:tcPr>
          <w:p>
            <w:pPr>
              <w:jc w:val="right"/>
            </w:pPr>
            <w:r>
              <w:rPr>
                <w:rFonts w:ascii="宋体" w:eastAsia="宋体" w:hAnsi="宋体" w:cs="宋体"/>
                <w:b w:val="0"/>
                <w:i w:val="0"/>
                <w:color w:val="000000"/>
                <w:sz w:val="19"/>
              </w:rPr>
              <w:t xml:space="preserve">81.49</w:t>
            </w:r>
          </w:p>
        </w:tc>
        <w:tc>
          <w:tcPr>
            <w:tcW w:w="1600" w:type="dxa"/>
            <w:tcBorders/>
            <w:vAlign w:val="center"/>
          </w:tcPr>
          <w:p>
            <w:pPr>
              <w:jc w:val="right"/>
            </w:pPr>
            <w:r>
              <w:rPr>
                <w:rFonts w:ascii="宋体" w:eastAsia="宋体" w:hAnsi="宋体" w:cs="宋体"/>
                <w:b w:val="0"/>
                <w:i w:val="0"/>
                <w:color w:val="000000"/>
                <w:sz w:val="19"/>
              </w:rPr>
              <w:t xml:space="preserve">81.49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其他教育管理事务支出</w:t>
            </w:r>
          </w:p>
        </w:tc>
        <w:tc>
          <w:tcPr>
            <w:tcW w:w="1600" w:type="dxa"/>
            <w:tcBorders/>
            <w:vAlign w:val="center"/>
          </w:tcPr>
          <w:p>
            <w:pPr>
              <w:jc w:val="right"/>
            </w:pPr>
            <w:r>
              <w:rPr>
                <w:rFonts w:ascii="宋体" w:eastAsia="宋体" w:hAnsi="宋体" w:cs="宋体"/>
                <w:b w:val="0"/>
                <w:i w:val="0"/>
                <w:color w:val="000000"/>
                <w:sz w:val="19"/>
              </w:rPr>
              <w:t xml:space="preserve">81.49</w:t>
            </w:r>
          </w:p>
        </w:tc>
        <w:tc>
          <w:tcPr>
            <w:tcW w:w="1600" w:type="dxa"/>
            <w:tcBorders/>
            <w:vAlign w:val="center"/>
          </w:tcPr>
          <w:p>
            <w:pPr>
              <w:jc w:val="right"/>
            </w:pPr>
            <w:r>
              <w:rPr>
                <w:rFonts w:ascii="宋体" w:eastAsia="宋体" w:hAnsi="宋体" w:cs="宋体"/>
                <w:b w:val="0"/>
                <w:i w:val="0"/>
                <w:color w:val="000000"/>
                <w:sz w:val="19"/>
              </w:rPr>
              <w:t xml:space="preserve">81.49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1.11</w:t>
            </w:r>
          </w:p>
        </w:tc>
        <w:tc>
          <w:tcPr>
            <w:tcW w:w="1600" w:type="dxa"/>
            <w:tcBorders/>
            <w:vAlign w:val="center"/>
          </w:tcPr>
          <w:p>
            <w:pPr>
              <w:jc w:val="right"/>
            </w:pPr>
            <w:r>
              <w:rPr>
                <w:rFonts w:ascii="宋体" w:eastAsia="宋体" w:hAnsi="宋体" w:cs="宋体"/>
                <w:b w:val="0"/>
                <w:i w:val="0"/>
                <w:color w:val="000000"/>
                <w:sz w:val="19"/>
              </w:rPr>
              <w:t xml:space="preserve">1.11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1.11</w:t>
            </w:r>
          </w:p>
        </w:tc>
        <w:tc>
          <w:tcPr>
            <w:tcW w:w="1600" w:type="dxa"/>
            <w:tcBorders/>
            <w:vAlign w:val="center"/>
          </w:tcPr>
          <w:p>
            <w:pPr>
              <w:jc w:val="right"/>
            </w:pPr>
            <w:r>
              <w:rPr>
                <w:rFonts w:ascii="宋体" w:eastAsia="宋体" w:hAnsi="宋体" w:cs="宋体"/>
                <w:b w:val="0"/>
                <w:i w:val="0"/>
                <w:color w:val="000000"/>
                <w:sz w:val="19"/>
              </w:rPr>
              <w:t xml:space="preserve">1.11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28.46</w:t>
            </w:r>
          </w:p>
        </w:tc>
        <w:tc>
          <w:tcPr>
            <w:tcW w:w="1600" w:type="dxa"/>
            <w:tcBorders/>
            <w:vAlign w:val="center"/>
          </w:tcPr>
          <w:p>
            <w:pPr>
              <w:jc w:val="right"/>
            </w:pPr>
            <w:r>
              <w:rPr>
                <w:rFonts w:ascii="宋体" w:eastAsia="宋体" w:hAnsi="宋体" w:cs="宋体"/>
                <w:b w:val="0"/>
                <w:i w:val="0"/>
                <w:color w:val="000000"/>
                <w:sz w:val="19"/>
              </w:rPr>
              <w:t xml:space="preserve">28.46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28.46</w:t>
            </w:r>
          </w:p>
        </w:tc>
        <w:tc>
          <w:tcPr>
            <w:tcW w:w="1600" w:type="dxa"/>
            <w:tcBorders/>
            <w:vAlign w:val="center"/>
          </w:tcPr>
          <w:p>
            <w:pPr>
              <w:jc w:val="right"/>
            </w:pPr>
            <w:r>
              <w:rPr>
                <w:rFonts w:ascii="宋体" w:eastAsia="宋体" w:hAnsi="宋体" w:cs="宋体"/>
                <w:b w:val="0"/>
                <w:i w:val="0"/>
                <w:color w:val="000000"/>
                <w:sz w:val="19"/>
              </w:rPr>
              <w:t xml:space="preserve">28.46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22.80</w:t>
            </w:r>
          </w:p>
        </w:tc>
        <w:tc>
          <w:tcPr>
            <w:tcW w:w="1600" w:type="dxa"/>
            <w:tcBorders/>
            <w:vAlign w:val="center"/>
          </w:tcPr>
          <w:p>
            <w:pPr>
              <w:jc w:val="right"/>
            </w:pPr>
            <w:r>
              <w:rPr>
                <w:rFonts w:ascii="宋体" w:eastAsia="宋体" w:hAnsi="宋体" w:cs="宋体"/>
                <w:b w:val="0"/>
                <w:i w:val="0"/>
                <w:color w:val="000000"/>
                <w:sz w:val="19"/>
              </w:rPr>
              <w:t xml:space="preserve">22.80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5.67</w:t>
            </w:r>
          </w:p>
        </w:tc>
        <w:tc>
          <w:tcPr>
            <w:tcW w:w="1600" w:type="dxa"/>
            <w:tcBorders/>
            <w:vAlign w:val="center"/>
          </w:tcPr>
          <w:p>
            <w:pPr>
              <w:jc w:val="right"/>
            </w:pPr>
            <w:r>
              <w:rPr>
                <w:rFonts w:ascii="宋体" w:eastAsia="宋体" w:hAnsi="宋体" w:cs="宋体"/>
                <w:b w:val="0"/>
                <w:i w:val="0"/>
                <w:color w:val="000000"/>
                <w:sz w:val="19"/>
              </w:rPr>
              <w:t xml:space="preserve">5.67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2.65</w:t>
            </w:r>
          </w:p>
        </w:tc>
        <w:tc>
          <w:tcPr>
            <w:tcW w:w="1600" w:type="dxa"/>
            <w:tcBorders/>
            <w:vAlign w:val="center"/>
          </w:tcPr>
          <w:p>
            <w:pPr>
              <w:jc w:val="right"/>
            </w:pPr>
            <w:r>
              <w:rPr>
                <w:rFonts w:ascii="宋体" w:eastAsia="宋体" w:hAnsi="宋体" w:cs="宋体"/>
                <w:b w:val="0"/>
                <w:i w:val="0"/>
                <w:color w:val="000000"/>
                <w:sz w:val="19"/>
              </w:rPr>
              <w:t xml:space="preserve">2.65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2.65</w:t>
            </w:r>
          </w:p>
        </w:tc>
        <w:tc>
          <w:tcPr>
            <w:tcW w:w="1600" w:type="dxa"/>
            <w:tcBorders/>
            <w:vAlign w:val="center"/>
          </w:tcPr>
          <w:p>
            <w:pPr>
              <w:jc w:val="right"/>
            </w:pPr>
            <w:r>
              <w:rPr>
                <w:rFonts w:ascii="宋体" w:eastAsia="宋体" w:hAnsi="宋体" w:cs="宋体"/>
                <w:b w:val="0"/>
                <w:i w:val="0"/>
                <w:color w:val="000000"/>
                <w:sz w:val="19"/>
              </w:rPr>
              <w:t xml:space="preserve">2.65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2.65</w:t>
            </w:r>
          </w:p>
        </w:tc>
        <w:tc>
          <w:tcPr>
            <w:tcW w:w="1600" w:type="dxa"/>
            <w:tcBorders/>
            <w:vAlign w:val="center"/>
          </w:tcPr>
          <w:p>
            <w:pPr>
              <w:jc w:val="right"/>
            </w:pPr>
            <w:r>
              <w:rPr>
                <w:rFonts w:ascii="宋体" w:eastAsia="宋体" w:hAnsi="宋体" w:cs="宋体"/>
                <w:b w:val="0"/>
                <w:i w:val="0"/>
                <w:color w:val="000000"/>
                <w:sz w:val="19"/>
              </w:rPr>
              <w:t xml:space="preserve">2.65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5.06</w:t>
            </w:r>
          </w:p>
        </w:tc>
        <w:tc>
          <w:tcPr>
            <w:tcW w:w="1600" w:type="dxa"/>
            <w:tcBorders/>
            <w:vAlign w:val="center"/>
          </w:tcPr>
          <w:p>
            <w:pPr>
              <w:jc w:val="right"/>
            </w:pPr>
            <w:r>
              <w:rPr>
                <w:rFonts w:ascii="宋体" w:eastAsia="宋体" w:hAnsi="宋体" w:cs="宋体"/>
                <w:b w:val="0"/>
                <w:i w:val="0"/>
                <w:color w:val="000000"/>
                <w:sz w:val="19"/>
              </w:rPr>
              <w:t xml:space="preserve">5.06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5.06</w:t>
            </w:r>
          </w:p>
        </w:tc>
        <w:tc>
          <w:tcPr>
            <w:tcW w:w="1600" w:type="dxa"/>
            <w:tcBorders/>
            <w:vAlign w:val="center"/>
          </w:tcPr>
          <w:p>
            <w:pPr>
              <w:jc w:val="right"/>
            </w:pPr>
            <w:r>
              <w:rPr>
                <w:rFonts w:ascii="宋体" w:eastAsia="宋体" w:hAnsi="宋体" w:cs="宋体"/>
                <w:b w:val="0"/>
                <w:i w:val="0"/>
                <w:color w:val="000000"/>
                <w:sz w:val="19"/>
              </w:rPr>
              <w:t xml:space="preserve">5.06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5.06</w:t>
            </w:r>
          </w:p>
        </w:tc>
        <w:tc>
          <w:tcPr>
            <w:tcW w:w="1600" w:type="dxa"/>
            <w:tcBorders/>
            <w:vAlign w:val="center"/>
          </w:tcPr>
          <w:p>
            <w:pPr>
              <w:jc w:val="right"/>
            </w:pPr>
            <w:r>
              <w:rPr>
                <w:rFonts w:ascii="宋体" w:eastAsia="宋体" w:hAnsi="宋体" w:cs="宋体"/>
                <w:b w:val="0"/>
                <w:i w:val="0"/>
                <w:color w:val="000000"/>
                <w:sz w:val="19"/>
              </w:rPr>
              <w:t xml:space="preserve">5.06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单位：许昌市职业与成人教育教学研究室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123.42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4.73</w:t>
            </w:r>
          </w:p>
        </w:tc>
        <w:tc>
          <w:tcPr>
            <w:tcW w:w="1420" w:type="dxa"/>
            <w:tcBorders/>
            <w:vAlign w:val="center"/>
          </w:tcPr>
          <w:p>
            <w:pPr>
              <w:jc w:val="right"/>
            </w:pPr>
            <w:r>
              <w:rPr>
                <w:rFonts w:ascii="宋体" w:eastAsia="宋体" w:hAnsi="宋体" w:cs="宋体"/>
                <w:b w:val="0"/>
                <w:i w:val="0"/>
                <w:color w:val="000000"/>
                <w:sz w:val="18"/>
              </w:rPr>
              <w:t xml:space="preserve">4.73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82.52</w:t>
            </w:r>
          </w:p>
        </w:tc>
        <w:tc>
          <w:tcPr>
            <w:tcW w:w="1420" w:type="dxa"/>
            <w:tcBorders/>
            <w:vAlign w:val="center"/>
          </w:tcPr>
          <w:p>
            <w:pPr>
              <w:jc w:val="right"/>
            </w:pPr>
            <w:r>
              <w:rPr>
                <w:rFonts w:ascii="宋体" w:eastAsia="宋体" w:hAnsi="宋体" w:cs="宋体"/>
                <w:b w:val="0"/>
                <w:i w:val="0"/>
                <w:color w:val="000000"/>
                <w:sz w:val="18"/>
              </w:rPr>
              <w:t xml:space="preserve">82.52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28.46</w:t>
            </w:r>
          </w:p>
        </w:tc>
        <w:tc>
          <w:tcPr>
            <w:tcW w:w="1420" w:type="dxa"/>
            <w:tcBorders/>
            <w:vAlign w:val="center"/>
          </w:tcPr>
          <w:p>
            <w:pPr>
              <w:jc w:val="right"/>
            </w:pPr>
            <w:r>
              <w:rPr>
                <w:rFonts w:ascii="宋体" w:eastAsia="宋体" w:hAnsi="宋体" w:cs="宋体"/>
                <w:b w:val="0"/>
                <w:i w:val="0"/>
                <w:color w:val="000000"/>
                <w:sz w:val="18"/>
              </w:rPr>
              <w:t xml:space="preserve">28.46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2.65</w:t>
            </w:r>
          </w:p>
        </w:tc>
        <w:tc>
          <w:tcPr>
            <w:tcW w:w="1420" w:type="dxa"/>
            <w:tcBorders/>
            <w:vAlign w:val="center"/>
          </w:tcPr>
          <w:p>
            <w:pPr>
              <w:jc w:val="right"/>
            </w:pPr>
            <w:r>
              <w:rPr>
                <w:rFonts w:ascii="宋体" w:eastAsia="宋体" w:hAnsi="宋体" w:cs="宋体"/>
                <w:b w:val="0"/>
                <w:i w:val="0"/>
                <w:color w:val="000000"/>
                <w:sz w:val="18"/>
              </w:rPr>
              <w:t xml:space="preserve">2.65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5.06</w:t>
            </w:r>
          </w:p>
        </w:tc>
        <w:tc>
          <w:tcPr>
            <w:tcW w:w="1420" w:type="dxa"/>
            <w:tcBorders/>
            <w:vAlign w:val="center"/>
          </w:tcPr>
          <w:p>
            <w:pPr>
              <w:jc w:val="right"/>
            </w:pPr>
            <w:r>
              <w:rPr>
                <w:rFonts w:ascii="宋体" w:eastAsia="宋体" w:hAnsi="宋体" w:cs="宋体"/>
                <w:b w:val="0"/>
                <w:i w:val="0"/>
                <w:color w:val="000000"/>
                <w:sz w:val="18"/>
              </w:rPr>
              <w:t xml:space="preserve">5.06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123.42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123.42</w:t>
            </w:r>
          </w:p>
        </w:tc>
        <w:tc>
          <w:tcPr>
            <w:tcW w:w="1420" w:type="dxa"/>
            <w:tcBorders/>
            <w:vAlign w:val="center"/>
          </w:tcPr>
          <w:p>
            <w:pPr>
              <w:jc w:val="right"/>
            </w:pPr>
            <w:r>
              <w:rPr>
                <w:rFonts w:ascii="宋体" w:eastAsia="宋体" w:hAnsi="宋体" w:cs="宋体"/>
                <w:b w:val="0"/>
                <w:i w:val="0"/>
                <w:color w:val="000000"/>
                <w:sz w:val="18"/>
              </w:rPr>
              <w:t xml:space="preserve">123.42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123.42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123.42</w:t>
            </w:r>
          </w:p>
        </w:tc>
        <w:tc>
          <w:tcPr>
            <w:tcW w:w="1420" w:type="dxa"/>
            <w:tcBorders/>
            <w:vAlign w:val="center"/>
          </w:tcPr>
          <w:p>
            <w:pPr>
              <w:jc w:val="right"/>
            </w:pPr>
            <w:r>
              <w:rPr>
                <w:rFonts w:ascii="宋体" w:eastAsia="宋体" w:hAnsi="宋体" w:cs="宋体"/>
                <w:b w:val="0"/>
                <w:i w:val="0"/>
                <w:color w:val="000000"/>
                <w:sz w:val="18"/>
              </w:rPr>
              <w:t xml:space="preserve">123.42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单位：许昌市职业与成人教育教学研究室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123.42</w:t>
            </w:r>
          </w:p>
        </w:tc>
        <w:tc>
          <w:tcPr>
            <w:tcW w:w="2700" w:type="dxa"/>
            <w:tcBorders/>
            <w:vAlign w:val="center"/>
          </w:tcPr>
          <w:p>
            <w:pPr>
              <w:jc w:val="right"/>
            </w:pPr>
            <w:r>
              <w:rPr>
                <w:rFonts w:ascii="宋体" w:eastAsia="宋体" w:hAnsi="宋体" w:cs="宋体"/>
                <w:b/>
                <w:i w:val="0"/>
                <w:color w:val="000000"/>
                <w:sz w:val="25"/>
              </w:rPr>
              <w:t xml:space="preserve">123.42</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4.73</w:t>
            </w:r>
          </w:p>
        </w:tc>
        <w:tc>
          <w:tcPr>
            <w:tcW w:w="2700" w:type="dxa"/>
            <w:tcBorders/>
            <w:vAlign w:val="center"/>
          </w:tcPr>
          <w:p>
            <w:pPr>
              <w:jc w:val="right"/>
            </w:pPr>
            <w:r>
              <w:rPr>
                <w:rFonts w:ascii="宋体" w:eastAsia="宋体" w:hAnsi="宋体" w:cs="宋体"/>
                <w:b w:val="0"/>
                <w:i w:val="0"/>
                <w:color w:val="000000"/>
                <w:sz w:val="25"/>
              </w:rPr>
              <w:t xml:space="preserve">4.73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0.66</w:t>
            </w:r>
          </w:p>
        </w:tc>
        <w:tc>
          <w:tcPr>
            <w:tcW w:w="2700" w:type="dxa"/>
            <w:tcBorders/>
            <w:vAlign w:val="center"/>
          </w:tcPr>
          <w:p>
            <w:pPr>
              <w:jc w:val="right"/>
            </w:pPr>
            <w:r>
              <w:rPr>
                <w:rFonts w:ascii="宋体" w:eastAsia="宋体" w:hAnsi="宋体" w:cs="宋体"/>
                <w:b w:val="0"/>
                <w:i w:val="0"/>
                <w:color w:val="000000"/>
                <w:sz w:val="25"/>
              </w:rPr>
              <w:t xml:space="preserve">0.66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0.66</w:t>
            </w:r>
          </w:p>
        </w:tc>
        <w:tc>
          <w:tcPr>
            <w:tcW w:w="2700" w:type="dxa"/>
            <w:tcBorders/>
            <w:vAlign w:val="center"/>
          </w:tcPr>
          <w:p>
            <w:pPr>
              <w:jc w:val="right"/>
            </w:pPr>
            <w:r>
              <w:rPr>
                <w:rFonts w:ascii="宋体" w:eastAsia="宋体" w:hAnsi="宋体" w:cs="宋体"/>
                <w:b w:val="0"/>
                <w:i w:val="0"/>
                <w:color w:val="000000"/>
                <w:sz w:val="25"/>
              </w:rPr>
              <w:t xml:space="preserve">0.66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4.07</w:t>
            </w:r>
          </w:p>
        </w:tc>
        <w:tc>
          <w:tcPr>
            <w:tcW w:w="2700" w:type="dxa"/>
            <w:tcBorders/>
            <w:vAlign w:val="center"/>
          </w:tcPr>
          <w:p>
            <w:pPr>
              <w:jc w:val="right"/>
            </w:pPr>
            <w:r>
              <w:rPr>
                <w:rFonts w:ascii="宋体" w:eastAsia="宋体" w:hAnsi="宋体" w:cs="宋体"/>
                <w:b w:val="0"/>
                <w:i w:val="0"/>
                <w:color w:val="000000"/>
                <w:sz w:val="25"/>
              </w:rPr>
              <w:t xml:space="preserve">4.07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4.07</w:t>
            </w:r>
          </w:p>
        </w:tc>
        <w:tc>
          <w:tcPr>
            <w:tcW w:w="2700" w:type="dxa"/>
            <w:tcBorders/>
            <w:vAlign w:val="center"/>
          </w:tcPr>
          <w:p>
            <w:pPr>
              <w:jc w:val="right"/>
            </w:pPr>
            <w:r>
              <w:rPr>
                <w:rFonts w:ascii="宋体" w:eastAsia="宋体" w:hAnsi="宋体" w:cs="宋体"/>
                <w:b w:val="0"/>
                <w:i w:val="0"/>
                <w:color w:val="000000"/>
                <w:sz w:val="25"/>
              </w:rPr>
              <w:t xml:space="preserve">4.07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82.52</w:t>
            </w:r>
          </w:p>
        </w:tc>
        <w:tc>
          <w:tcPr>
            <w:tcW w:w="2700" w:type="dxa"/>
            <w:tcBorders/>
            <w:vAlign w:val="center"/>
          </w:tcPr>
          <w:p>
            <w:pPr>
              <w:jc w:val="right"/>
            </w:pPr>
            <w:r>
              <w:rPr>
                <w:rFonts w:ascii="宋体" w:eastAsia="宋体" w:hAnsi="宋体" w:cs="宋体"/>
                <w:b w:val="0"/>
                <w:i w:val="0"/>
                <w:color w:val="000000"/>
                <w:sz w:val="25"/>
              </w:rPr>
              <w:t xml:space="preserve">82.52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教育管理事务</w:t>
            </w:r>
          </w:p>
        </w:tc>
        <w:tc>
          <w:tcPr>
            <w:tcW w:w="2700" w:type="dxa"/>
            <w:tcBorders/>
            <w:vAlign w:val="center"/>
          </w:tcPr>
          <w:p>
            <w:pPr>
              <w:jc w:val="right"/>
            </w:pPr>
            <w:r>
              <w:rPr>
                <w:rFonts w:ascii="宋体" w:eastAsia="宋体" w:hAnsi="宋体" w:cs="宋体"/>
                <w:b w:val="0"/>
                <w:i w:val="0"/>
                <w:color w:val="000000"/>
                <w:sz w:val="25"/>
              </w:rPr>
              <w:t xml:space="preserve">81.41</w:t>
            </w:r>
          </w:p>
        </w:tc>
        <w:tc>
          <w:tcPr>
            <w:tcW w:w="2700" w:type="dxa"/>
            <w:tcBorders/>
            <w:vAlign w:val="center"/>
          </w:tcPr>
          <w:p>
            <w:pPr>
              <w:jc w:val="right"/>
            </w:pPr>
            <w:r>
              <w:rPr>
                <w:rFonts w:ascii="宋体" w:eastAsia="宋体" w:hAnsi="宋体" w:cs="宋体"/>
                <w:b w:val="0"/>
                <w:i w:val="0"/>
                <w:color w:val="000000"/>
                <w:sz w:val="25"/>
              </w:rPr>
              <w:t xml:space="preserve">81.41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其他教育管理事务支出</w:t>
            </w:r>
          </w:p>
        </w:tc>
        <w:tc>
          <w:tcPr>
            <w:tcW w:w="2700" w:type="dxa"/>
            <w:tcBorders/>
            <w:vAlign w:val="center"/>
          </w:tcPr>
          <w:p>
            <w:pPr>
              <w:jc w:val="right"/>
            </w:pPr>
            <w:r>
              <w:rPr>
                <w:rFonts w:ascii="宋体" w:eastAsia="宋体" w:hAnsi="宋体" w:cs="宋体"/>
                <w:b w:val="0"/>
                <w:i w:val="0"/>
                <w:color w:val="000000"/>
                <w:sz w:val="25"/>
              </w:rPr>
              <w:t xml:space="preserve">81.41</w:t>
            </w:r>
          </w:p>
        </w:tc>
        <w:tc>
          <w:tcPr>
            <w:tcW w:w="2700" w:type="dxa"/>
            <w:tcBorders/>
            <w:vAlign w:val="center"/>
          </w:tcPr>
          <w:p>
            <w:pPr>
              <w:jc w:val="right"/>
            </w:pPr>
            <w:r>
              <w:rPr>
                <w:rFonts w:ascii="宋体" w:eastAsia="宋体" w:hAnsi="宋体" w:cs="宋体"/>
                <w:b w:val="0"/>
                <w:i w:val="0"/>
                <w:color w:val="000000"/>
                <w:sz w:val="25"/>
              </w:rPr>
              <w:t xml:space="preserve">81.41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1.11</w:t>
            </w:r>
          </w:p>
        </w:tc>
        <w:tc>
          <w:tcPr>
            <w:tcW w:w="2700" w:type="dxa"/>
            <w:tcBorders/>
            <w:vAlign w:val="center"/>
          </w:tcPr>
          <w:p>
            <w:pPr>
              <w:jc w:val="right"/>
            </w:pPr>
            <w:r>
              <w:rPr>
                <w:rFonts w:ascii="宋体" w:eastAsia="宋体" w:hAnsi="宋体" w:cs="宋体"/>
                <w:b w:val="0"/>
                <w:i w:val="0"/>
                <w:color w:val="000000"/>
                <w:sz w:val="25"/>
              </w:rPr>
              <w:t xml:space="preserve">1.11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1.11</w:t>
            </w:r>
          </w:p>
        </w:tc>
        <w:tc>
          <w:tcPr>
            <w:tcW w:w="2700" w:type="dxa"/>
            <w:tcBorders/>
            <w:vAlign w:val="center"/>
          </w:tcPr>
          <w:p>
            <w:pPr>
              <w:jc w:val="right"/>
            </w:pPr>
            <w:r>
              <w:rPr>
                <w:rFonts w:ascii="宋体" w:eastAsia="宋体" w:hAnsi="宋体" w:cs="宋体"/>
                <w:b w:val="0"/>
                <w:i w:val="0"/>
                <w:color w:val="000000"/>
                <w:sz w:val="25"/>
              </w:rPr>
              <w:t xml:space="preserve">1.11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28.46</w:t>
            </w:r>
          </w:p>
        </w:tc>
        <w:tc>
          <w:tcPr>
            <w:tcW w:w="2700" w:type="dxa"/>
            <w:tcBorders/>
            <w:vAlign w:val="center"/>
          </w:tcPr>
          <w:p>
            <w:pPr>
              <w:jc w:val="right"/>
            </w:pPr>
            <w:r>
              <w:rPr>
                <w:rFonts w:ascii="宋体" w:eastAsia="宋体" w:hAnsi="宋体" w:cs="宋体"/>
                <w:b w:val="0"/>
                <w:i w:val="0"/>
                <w:color w:val="000000"/>
                <w:sz w:val="25"/>
              </w:rPr>
              <w:t xml:space="preserve">28.46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28.46</w:t>
            </w:r>
          </w:p>
        </w:tc>
        <w:tc>
          <w:tcPr>
            <w:tcW w:w="2700" w:type="dxa"/>
            <w:tcBorders/>
            <w:vAlign w:val="center"/>
          </w:tcPr>
          <w:p>
            <w:pPr>
              <w:jc w:val="right"/>
            </w:pPr>
            <w:r>
              <w:rPr>
                <w:rFonts w:ascii="宋体" w:eastAsia="宋体" w:hAnsi="宋体" w:cs="宋体"/>
                <w:b w:val="0"/>
                <w:i w:val="0"/>
                <w:color w:val="000000"/>
                <w:sz w:val="25"/>
              </w:rPr>
              <w:t xml:space="preserve">28.46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22.80</w:t>
            </w:r>
          </w:p>
        </w:tc>
        <w:tc>
          <w:tcPr>
            <w:tcW w:w="2700" w:type="dxa"/>
            <w:tcBorders/>
            <w:vAlign w:val="center"/>
          </w:tcPr>
          <w:p>
            <w:pPr>
              <w:jc w:val="right"/>
            </w:pPr>
            <w:r>
              <w:rPr>
                <w:rFonts w:ascii="宋体" w:eastAsia="宋体" w:hAnsi="宋体" w:cs="宋体"/>
                <w:b w:val="0"/>
                <w:i w:val="0"/>
                <w:color w:val="000000"/>
                <w:sz w:val="25"/>
              </w:rPr>
              <w:t xml:space="preserve">22.80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5.67</w:t>
            </w:r>
          </w:p>
        </w:tc>
        <w:tc>
          <w:tcPr>
            <w:tcW w:w="2700" w:type="dxa"/>
            <w:tcBorders/>
            <w:vAlign w:val="center"/>
          </w:tcPr>
          <w:p>
            <w:pPr>
              <w:jc w:val="right"/>
            </w:pPr>
            <w:r>
              <w:rPr>
                <w:rFonts w:ascii="宋体" w:eastAsia="宋体" w:hAnsi="宋体" w:cs="宋体"/>
                <w:b w:val="0"/>
                <w:i w:val="0"/>
                <w:color w:val="000000"/>
                <w:sz w:val="25"/>
              </w:rPr>
              <w:t xml:space="preserve">5.67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2.65</w:t>
            </w:r>
          </w:p>
        </w:tc>
        <w:tc>
          <w:tcPr>
            <w:tcW w:w="2700" w:type="dxa"/>
            <w:tcBorders/>
            <w:vAlign w:val="center"/>
          </w:tcPr>
          <w:p>
            <w:pPr>
              <w:jc w:val="right"/>
            </w:pPr>
            <w:r>
              <w:rPr>
                <w:rFonts w:ascii="宋体" w:eastAsia="宋体" w:hAnsi="宋体" w:cs="宋体"/>
                <w:b w:val="0"/>
                <w:i w:val="0"/>
                <w:color w:val="000000"/>
                <w:sz w:val="25"/>
              </w:rPr>
              <w:t xml:space="preserve">2.65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2.65</w:t>
            </w:r>
          </w:p>
        </w:tc>
        <w:tc>
          <w:tcPr>
            <w:tcW w:w="2700" w:type="dxa"/>
            <w:tcBorders/>
            <w:vAlign w:val="center"/>
          </w:tcPr>
          <w:p>
            <w:pPr>
              <w:jc w:val="right"/>
            </w:pPr>
            <w:r>
              <w:rPr>
                <w:rFonts w:ascii="宋体" w:eastAsia="宋体" w:hAnsi="宋体" w:cs="宋体"/>
                <w:b w:val="0"/>
                <w:i w:val="0"/>
                <w:color w:val="000000"/>
                <w:sz w:val="25"/>
              </w:rPr>
              <w:t xml:space="preserve">2.65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2.65</w:t>
            </w:r>
          </w:p>
        </w:tc>
        <w:tc>
          <w:tcPr>
            <w:tcW w:w="2700" w:type="dxa"/>
            <w:tcBorders/>
            <w:vAlign w:val="center"/>
          </w:tcPr>
          <w:p>
            <w:pPr>
              <w:jc w:val="right"/>
            </w:pPr>
            <w:r>
              <w:rPr>
                <w:rFonts w:ascii="宋体" w:eastAsia="宋体" w:hAnsi="宋体" w:cs="宋体"/>
                <w:b w:val="0"/>
                <w:i w:val="0"/>
                <w:color w:val="000000"/>
                <w:sz w:val="25"/>
              </w:rPr>
              <w:t xml:space="preserve">2.65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5.06</w:t>
            </w:r>
          </w:p>
        </w:tc>
        <w:tc>
          <w:tcPr>
            <w:tcW w:w="2700" w:type="dxa"/>
            <w:tcBorders/>
            <w:vAlign w:val="center"/>
          </w:tcPr>
          <w:p>
            <w:pPr>
              <w:jc w:val="right"/>
            </w:pPr>
            <w:r>
              <w:rPr>
                <w:rFonts w:ascii="宋体" w:eastAsia="宋体" w:hAnsi="宋体" w:cs="宋体"/>
                <w:b w:val="0"/>
                <w:i w:val="0"/>
                <w:color w:val="000000"/>
                <w:sz w:val="25"/>
              </w:rPr>
              <w:t xml:space="preserve">5.06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5.06</w:t>
            </w:r>
          </w:p>
        </w:tc>
        <w:tc>
          <w:tcPr>
            <w:tcW w:w="2700" w:type="dxa"/>
            <w:tcBorders/>
            <w:vAlign w:val="center"/>
          </w:tcPr>
          <w:p>
            <w:pPr>
              <w:jc w:val="right"/>
            </w:pPr>
            <w:r>
              <w:rPr>
                <w:rFonts w:ascii="宋体" w:eastAsia="宋体" w:hAnsi="宋体" w:cs="宋体"/>
                <w:b w:val="0"/>
                <w:i w:val="0"/>
                <w:color w:val="000000"/>
                <w:sz w:val="25"/>
              </w:rPr>
              <w:t xml:space="preserve">5.06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5.06</w:t>
            </w:r>
          </w:p>
        </w:tc>
        <w:tc>
          <w:tcPr>
            <w:tcW w:w="2700" w:type="dxa"/>
            <w:tcBorders/>
            <w:vAlign w:val="center"/>
          </w:tcPr>
          <w:p>
            <w:pPr>
              <w:jc w:val="right"/>
            </w:pPr>
            <w:r>
              <w:rPr>
                <w:rFonts w:ascii="宋体" w:eastAsia="宋体" w:hAnsi="宋体" w:cs="宋体"/>
                <w:b w:val="0"/>
                <w:i w:val="0"/>
                <w:color w:val="000000"/>
                <w:sz w:val="25"/>
              </w:rPr>
              <w:t xml:space="preserve">5.06</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单位：许昌市职业与成人教育教学研究室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91.49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7.32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23.06</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1.83</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8.75</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0.23</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33.82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12.14</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5.67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2.65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1.85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5.06</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0.19</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24.61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22.80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1.81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1.60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0.66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0.26</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116.10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7.32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单位：许昌市职业与成人教育教学研究室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单位：许昌市职业与成人教育教学研究室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单位：许昌市职业与成人教育教学研究室</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127.04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增加11.07万元，增长9.55%</w:t>
      </w:r>
      <w:r>
        <w:rPr>
          <w:rFonts w:ascii="仿宋" w:eastAsia="仿宋" w:hAnsi="仿宋" w:cs="仿宋" w:hint="eastAsia"/>
          <w:kern w:val="0"/>
          <w:sz w:val="32"/>
          <w:szCs w:val="32"/>
          <w:lang w:val="en-US" w:eastAsia="zh-CN"/>
        </w:rPr>
        <w:t xml:space="preserve">。主要原因是1.职工工资正常增长；2.本年度外出调研工作增加，公用经费支出交上年度增加。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123.42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财政拨款收入123.42万元，占100.00%；上级补助收入0.00万元，占0.00%；事业收入0.00万元，占0.00%；经营收入0.00万元，占0.00%；附属单位上缴收入0.00万元，占0.00%；其他收入0.00万元，占0.00%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123.50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基本支出123.50万元，占100.00%；项目支出0.00万元，占0.00%；上缴上级支出0.00万元，占0.00%；经营支出0.00万元，占0.00%；对附属单位补助支出0.00万元，占0.00%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123.42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增加7.45万元，增长6.42%</w:t>
      </w:r>
      <w:r>
        <w:rPr>
          <w:rFonts w:ascii="仿宋" w:eastAsia="仿宋" w:hAnsi="仿宋" w:cs="仿宋" w:hint="eastAsia"/>
          <w:kern w:val="0"/>
          <w:sz w:val="32"/>
          <w:szCs w:val="32"/>
          <w:lang w:val="en-US" w:eastAsia="zh-CN"/>
        </w:rPr>
        <w:t xml:space="preserve">。主要原因是1.职工工资正常增长；2.本年度外出调研工作增加，公用经费支出交上年度增加。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123.42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99.94</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增加7.45万元，增长6.42%</w:t>
      </w:r>
      <w:r>
        <w:rPr>
          <w:rFonts w:ascii="仿宋" w:eastAsia="仿宋" w:hAnsi="仿宋" w:cs="仿宋" w:hint="eastAsia"/>
          <w:kern w:val="0"/>
          <w:sz w:val="32"/>
          <w:szCs w:val="32"/>
          <w:lang w:val="en-US" w:eastAsia="zh-CN"/>
        </w:rPr>
        <w:t xml:space="preserve">。主要原因是1.职工工资正常增长；2.本年度外出调研工作增加，公用经费支出交上年度增加。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123.42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一般公共服务支出（类）4.73万元，占3.83%；教育支出（类）82.52万元，占66.86%；社会保障和就业支出（类）28.46万元，占23.06%；卫生健康支出（类）2.65万元，占2.15%；住房保障支出（类）5.06万元，占4.10%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126.00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123.42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97.95</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年初预算数为0.66万元，决算数0.66万元,完成年初预算的100.00%，决算数与年初预算数不存在差异。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年初预算数为0.00万元，决算数4.07万元,决算数与年初预算数存在差异的主要原因是年中收支2022年度未休假补贴款项，年初未纳入预算。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3.教育支出（类）教育管理事务（款）其他教育管理事务支出（项）</w:t>
      </w:r>
      <w:r>
        <w:rPr>
          <w:rFonts w:ascii="仿宋" w:eastAsia="仿宋" w:hAnsi="仿宋" w:cs="仿宋" w:hint="default"/>
          <w:kern w:val="2"/>
          <w:sz w:val="32"/>
          <w:szCs w:val="32"/>
          <w:lang w:val="en-US" w:eastAsia="zh-CN"/>
        </w:rPr>
        <w:t xml:space="preserve">年初预算数为88.26万元，决算数81.41万元,完成年初预算的92.24%，决算数与年初预算数存在差异的主要原因是本年度我单位新增退休职工1名，相关支出减少。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4.教育支出（类）普通教育（款）其他普通教育支出（项）</w:t>
      </w:r>
      <w:r>
        <w:rPr>
          <w:rFonts w:ascii="仿宋" w:eastAsia="仿宋" w:hAnsi="仿宋" w:cs="仿宋" w:hint="default"/>
          <w:kern w:val="2"/>
          <w:sz w:val="32"/>
          <w:szCs w:val="32"/>
          <w:lang w:val="en-US" w:eastAsia="zh-CN"/>
        </w:rPr>
        <w:t xml:space="preserve">年初预算数为0.00万元，决算数1.11万元,决算数与年初预算数存在差异的主要原因是年中收支2023年度地方教龄津贴款项，年初未纳入预算。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年初预算数为20.86万元，决算数22.80万元,完成年初预算的109.30%，决算数与年初预算数存在差异的主要原因是本年度我单位新增退休职工1名，相关支出增加。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年初预算数为6.74万元，决算数5.67万元,完成年初预算的84.12%，决算数与年初预算数存在差异的主要原因是本年度我单位新增退休职工1名，相关支出减少。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年初预算数为3.26万元，决算数2.65万元,完成年初预算的81.29%，决算数与年初预算数存在差异的主要原因是本年度我单位新增退休职工1名，相关支出减少。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年初预算数为6.22万元，决算数5.06万元,完成年初预算的81.35%，决算数与年初预算数存在差异的主要原因是本年度我单位新增退休职工1名，相关支出减少。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123.42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其中：人员经费116.10万元，主要包括：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公用经费7.32万元，主要包括：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126.00</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95.2</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优秀</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我单位严格按照预算批复开展活动，预期工作目标均圆满完成</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818"/>
        <w:gridCol w:w="885"/>
        <w:gridCol w:w="1360"/>
        <w:gridCol w:w="2101"/>
        <w:gridCol w:w="2035"/>
        <w:gridCol w:w="818"/>
        <w:gridCol w:w="630"/>
        <w:gridCol w:w="630"/>
        <w:gridCol w:w="630"/>
      </w:tblGrid>
      <w:tr>
        <w:trPr>
          <w:trHeight w:hRule="exact" w:val="318"/>
          <w:jc w:val="center"/>
        </w:trPr>
        <w:tc>
          <w:tcPr>
            <w:tcW w:w="7199" w:type="dxa"/>
            <w:hMerge w:val="restart"/>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1"/>
              </w:rPr>
              <w:t xml:space="preserve">本级部门(单位)整体绩效目标表</w:t>
            </w: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w="818"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r>
      <w:tr>
        <w:trPr>
          <w:trHeight w:hRule="exact" w:val="159"/>
          <w:jc w:val="center"/>
        </w:trPr>
        <w:tc>
          <w:tcPr>
            <w:tcW w:w="7199" w:type="dxa"/>
            <w:hMerge w:val="restart"/>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13"/>
              </w:rPr>
              <w:t xml:space="preserve">（2023年度）  </w:t>
            </w: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w="818"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r>
      <w:tr>
        <w:trPr>
          <w:trHeight w:hRule="exact" w:val="159"/>
          <w:jc w:val="center"/>
        </w:trPr>
        <w:tc>
          <w:tcPr>
            <w:tcW w:w="818" w:type="dxa"/>
            <w:tcBorders/>
            <w:shd w:val="clear" w:color="auto" w:fill="auto"/>
            <w:vAlign w:val="center"/>
          </w:tcPr>
          <w:p>
            <w:pPr>
              <w:snapToGrid w:val="0"/>
              <w:spacing w:before="0" w:beforeAutospacing="0" w:after="0" w:afterAutospacing="0" w:line="240" w:lineRule="auto"/>
              <w:jc w:val="center"/>
            </w:pPr>
          </w:p>
        </w:tc>
        <w:tc>
          <w:tcPr>
            <w:tcW w:w="885" w:type="dxa"/>
            <w:tcBorders/>
            <w:shd w:val="clear" w:color="auto" w:fill="auto"/>
            <w:vAlign w:val="center"/>
          </w:tcPr>
          <w:p>
            <w:pPr>
              <w:snapToGrid w:val="0"/>
              <w:spacing w:before="0" w:beforeAutospacing="0" w:after="0" w:afterAutospacing="0" w:line="240" w:lineRule="auto"/>
              <w:jc w:val="center"/>
            </w:pPr>
          </w:p>
        </w:tc>
        <w:tc>
          <w:tcPr>
            <w:tcW w:w="1360" w:type="dxa"/>
            <w:tcBorders/>
            <w:shd w:val="clear" w:color="auto" w:fill="auto"/>
            <w:vAlign w:val="center"/>
          </w:tcPr>
          <w:p>
            <w:pPr>
              <w:snapToGrid w:val="0"/>
              <w:spacing w:before="0" w:beforeAutospacing="0" w:after="0" w:afterAutospacing="0" w:line="240" w:lineRule="auto"/>
              <w:jc w:val="center"/>
            </w:pPr>
          </w:p>
        </w:tc>
        <w:tc>
          <w:tcPr>
            <w:tcW w:w="2101" w:type="dxa"/>
            <w:tcBorders/>
            <w:shd w:val="clear" w:color="auto" w:fill="auto"/>
            <w:vAlign w:val="center"/>
          </w:tcPr>
          <w:p>
            <w:pPr>
              <w:snapToGrid w:val="0"/>
              <w:spacing w:before="0" w:beforeAutospacing="0" w:after="0" w:afterAutospacing="0" w:line="240" w:lineRule="auto"/>
              <w:jc w:val="center"/>
            </w:pPr>
          </w:p>
        </w:tc>
        <w:tc>
          <w:tcPr>
            <w:tcW w:w="2035" w:type="dxa"/>
            <w:tcBorders/>
            <w:shd w:val="clear" w:color="auto" w:fill="auto"/>
            <w:vAlign w:val="center"/>
          </w:tcPr>
          <w:p>
            <w:pPr>
              <w:snapToGrid w:val="0"/>
              <w:spacing w:before="0" w:beforeAutospacing="0" w:after="0" w:afterAutospacing="0" w:line="240" w:lineRule="auto"/>
              <w:jc w:val="center"/>
            </w:pPr>
          </w:p>
        </w:tc>
        <w:tc>
          <w:tcPr>
            <w:tcW w:w="818"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r>
      <w:tr>
        <w:trPr>
          <w:trHeight w:hRule="exact" w:val="569"/>
          <w:jc w:val="center"/>
        </w:trPr>
        <w:tc>
          <w:tcPr>
            <w:tcW w:w="818"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2101"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2035"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1448"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r>
              <w:rPr>
                <w:rFonts w:ascii="Calibri" w:eastAsia="Calibri" w:hAnsi="Calibri" w:cs="Calibri"/>
                <w:b w:val="0"/>
                <w:i w:val="0"/>
                <w:color w:val="000000"/>
                <w:sz w:val="10"/>
              </w:rPr>
              <w:t xml:space="preserve">填表人及联系方式：</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1260"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孙涛  2983550</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59"/>
          <w:jc w:val="center"/>
        </w:trPr>
        <w:tc>
          <w:tcPr>
            <w:tcW w:w="170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部门（单位）名称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0"/>
              </w:rPr>
              <w:t xml:space="preserve">许昌市职业与成人教育教学研究室</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44"/>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年度履职目标</w:t>
            </w:r>
          </w:p>
        </w:tc>
        <w:tc>
          <w:tcPr>
            <w:tcW w:w="638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0"/>
              </w:rPr>
              <w:t xml:space="preserve">目标1：完成2021年教师“优质课”等各项业务评选工作并上报市教育局，并择优参加省级评比</w:t>
            </w:r>
          </w:p>
          <w:p>
            <w:pPr>
              <w:snapToGrid w:val="0"/>
              <w:spacing w:before="0" w:beforeAutospacing="0" w:after="0" w:afterAutospacing="0" w:line="240" w:lineRule="auto"/>
              <w:jc w:val="left"/>
              <w:rPr/>
            </w:pPr>
            <w:r>
              <w:rPr>
                <w:rFonts w:ascii="SimSun" w:eastAsia="SimSun" w:hAnsi="SimSun" w:cs="SimSun"/>
                <w:b w:val="0"/>
                <w:i w:val="0"/>
                <w:color w:val="000000"/>
                <w:sz w:val="10"/>
              </w:rPr>
              <w:t xml:space="preserve">目标2：开展完成2021年市级教师、学生各类技能竞赛、素质能力大赛和文明风采竞赛活动</w:t>
            </w:r>
          </w:p>
          <w:p>
            <w:pPr>
              <w:snapToGrid w:val="0"/>
              <w:spacing w:before="0" w:beforeAutospacing="0" w:after="0" w:afterAutospacing="0" w:line="240" w:lineRule="auto"/>
              <w:jc w:val="left"/>
              <w:rPr/>
            </w:pPr>
            <w:r>
              <w:rPr>
                <w:rFonts w:ascii="SimSun" w:eastAsia="SimSun" w:hAnsi="SimSun" w:cs="SimSun"/>
                <w:b w:val="0"/>
                <w:i w:val="0"/>
                <w:color w:val="000000"/>
                <w:sz w:val="10"/>
              </w:rPr>
              <w:t xml:space="preserve">目标3：完成2021年各学科（专业）教研改革工作，每个市属职业学校及各区（县、市）至少调研2次</w:t>
            </w:r>
          </w:p>
          <w:p>
            <w:pPr>
              <w:snapToGrid w:val="0"/>
              <w:spacing w:before="0" w:beforeAutospacing="0" w:after="0" w:afterAutospacing="0" w:line="240" w:lineRule="auto"/>
              <w:jc w:val="left"/>
              <w:rPr/>
            </w:pPr>
            <w:r>
              <w:rPr>
                <w:rFonts w:ascii="SimSun" w:eastAsia="SimSun" w:hAnsi="SimSun" w:cs="SimSun"/>
                <w:b w:val="0"/>
                <w:i w:val="0"/>
                <w:color w:val="000000"/>
                <w:sz w:val="10"/>
              </w:rPr>
              <w:t xml:space="preserve">目标4：组织师生参加省级、国家级各类竞赛活动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全年执行数</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分值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预算执行率</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得分</w:t>
            </w:r>
          </w:p>
        </w:tc>
      </w:tr>
      <w:tr>
        <w:trPr>
          <w:trHeight w:hRule="exact" w:val="159"/>
          <w:jc w:val="center"/>
        </w:trPr>
        <w:tc>
          <w:tcPr>
            <w:tcW w:w="818"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预算情况  </w:t>
            </w:r>
          </w:p>
        </w:tc>
        <w:tc>
          <w:tcPr>
            <w:tcW w:w="22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部门预算总额（万元）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126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123.42</w:t>
            </w:r>
          </w:p>
        </w:tc>
        <w:tc>
          <w:tcPr>
            <w:tcW w:w="63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=F7/D7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9.2</w:t>
            </w:r>
          </w:p>
        </w:tc>
      </w:tr>
      <w:tr>
        <w:trPr>
          <w:trHeight w:hRule="exact" w:val="159"/>
          <w:jc w:val="center"/>
        </w:trPr>
        <w:tc>
          <w:tcPr>
            <w:tcW w:w="818"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资金来源</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（1）基本支出</w:t>
            </w: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126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172.628107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123.42</w:t>
            </w:r>
          </w:p>
        </w:tc>
        <w:tc>
          <w:tcPr>
            <w:tcW w:w="63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w:t>
            </w:r>
          </w:p>
        </w:tc>
      </w:tr>
      <w:tr>
        <w:trPr>
          <w:trHeight w:hRule="exact" w:val="159"/>
          <w:jc w:val="center"/>
        </w:trPr>
        <w:tc>
          <w:tcPr>
            <w:tcW w:w="818"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（2）项目支出</w:t>
            </w: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w:t>
            </w:r>
          </w:p>
        </w:tc>
        <w:tc>
          <w:tcPr>
            <w:tcW w:w="63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w:t>
            </w:r>
          </w:p>
        </w:tc>
      </w:tr>
      <w:tr>
        <w:trPr>
          <w:trHeight w:hRule="exact" w:val="159"/>
          <w:jc w:val="center"/>
        </w:trPr>
        <w:tc>
          <w:tcPr>
            <w:tcW w:w="818"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818"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0"/>
              </w:rPr>
              <w:t xml:space="preserve">目标名称</w:t>
            </w: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主要内容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10"/>
          <w:jc w:val="center"/>
        </w:trPr>
        <w:tc>
          <w:tcPr>
            <w:tcW w:w="818"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目标1</w:t>
            </w: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开展职业与成人教育教学研究，促进全市职业与成人教育事业发展。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开展职业与成人教育教学研究，促进全市职业与成人教育事业发展。</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10"/>
          <w:jc w:val="center"/>
        </w:trPr>
        <w:tc>
          <w:tcPr>
            <w:tcW w:w="818"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目标2</w:t>
            </w: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组织开展教师、学生各类技能竞赛、素质能力大赛和文明风采竞赛活动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组织开展教师、学生各类技能竞赛、素质能力大赛和文明风采竞赛活动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10"/>
          <w:jc w:val="center"/>
        </w:trPr>
        <w:tc>
          <w:tcPr>
            <w:tcW w:w="818"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目标3</w:t>
            </w: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组织参加省级、国家级竞赛活动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组织参加省级、国家级竞赛活动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一级指标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二级指标</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三级指标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指标值</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指标值说明</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实际完成值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分值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得分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未完成原因分析及改进措施</w:t>
            </w:r>
          </w:p>
        </w:tc>
      </w:tr>
      <w:tr>
        <w:trPr>
          <w:trHeight w:hRule="exact" w:val="159"/>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 投入管理指标  </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工作目标管理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年度履职目标相关性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围绕年度履职工作目标有序开展</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相关</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工作任务科学性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制定有年度工作任务</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科学</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绩效指标合理性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绩效指标制定合理</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合理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预算和财务管理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预算编制完整性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预算编制完整</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专项资金细化率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0.95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预算执行率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预算调整率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0.05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0.05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结转结余率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0.05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“三公经费”控制率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100%%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政府采购执行率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决算真实性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决算数据真实</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真实</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资金使用合规性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资金使用合理合规</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合规</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管理制度健全性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建立有完善的管理制度</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完善</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预决算信息公开性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预决算按时间节点、要求进行了公开</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公开</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资产管理规范性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资产有管理制度，并有专人进行管理</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规范</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绩效管理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绩效目标编制完成率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绩效监控完成率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绩效自评完成率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部门绩效评价完成率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评价结果应用率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1"/>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产出指标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重点工作任务完成</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无</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规范</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履职目标实现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保证履职工作目标完成</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完备</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效益指标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履职效益</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电教教学研究工作健康持续发展</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健康持续发展</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满意度</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学校教师满意度</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17"/>
          <w:jc w:val="center"/>
        </w:trPr>
        <w:tc>
          <w:tcPr>
            <w:tcW w:w="801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总分（100分）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=SUM(G16:G39)+G7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0"/>
              </w:rPr>
              <w:t xml:space="preserve">=SUM(H16:H39)+I7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5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