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许昌市社会科学界联合会部门决算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许昌市社会科学界联合会概况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许昌市社会科学界联合会概况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(一)团结和组织全市社会科学工作者；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(二)组织研究党的基本理论和路线方针政策；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(三)发挥智库作用，组织全市社会科学工作者围绕市委市政府中心工作开展理论研究；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(四)履行对本会团体会员及市级民办社科研究机构的业务管理服务和监督职责；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(五)贯彻落实《河南省社会科学普及条例》；</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(六)促进和加强社会科学学术团体之间、理论工作部门与实际工作部门之间、社会科学界与自然科学界之间的联系和协作，有计划的开展社会科学课题调研和联合攻关；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(七)受市委市政府委托，做好社会科学优秀成果评奖活动和社科优秀专家、先进社科学术团体以及优秀社科工作者的评选活动；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(八)办好综合性社会科学刊物《改革论坛》。</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许昌市社会科学界联合会内设机构2个,包括：办公室、科普科研部。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从决算单位构成看，许昌市社会科学界联合会部门决算包括：本级决算（1个）。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1.许昌市社会科学界联合会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249.52</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195.35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10.59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249.52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254.71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5.19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254.71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254.71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249.52</w:t>
            </w:r>
          </w:p>
        </w:tc>
        <w:tc>
          <w:tcPr>
            <w:tcW w:w="1440" w:type="dxa"/>
            <w:vAlign w:val="center"/>
          </w:tcPr>
          <w:p>
            <w:pPr>
              <w:jc w:val="right"/>
            </w:pPr>
            <w:r>
              <w:rPr>
                <w:rFonts w:ascii="宋体" w:hAnsi="宋体" w:eastAsia="宋体" w:cs="宋体"/>
                <w:b/>
                <w:i w:val="0"/>
                <w:color w:val="000000"/>
                <w:sz w:val="17"/>
              </w:rPr>
              <w:t>249.52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190.16</w:t>
            </w:r>
          </w:p>
        </w:tc>
        <w:tc>
          <w:tcPr>
            <w:tcW w:w="1440" w:type="dxa"/>
            <w:vAlign w:val="center"/>
          </w:tcPr>
          <w:p>
            <w:pPr>
              <w:jc w:val="right"/>
            </w:pPr>
            <w:r>
              <w:rPr>
                <w:rFonts w:ascii="宋体" w:hAnsi="宋体" w:eastAsia="宋体" w:cs="宋体"/>
                <w:b w:val="0"/>
                <w:i w:val="0"/>
                <w:color w:val="000000"/>
                <w:sz w:val="17"/>
              </w:rPr>
              <w:t>190.16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185.04</w:t>
            </w:r>
          </w:p>
        </w:tc>
        <w:tc>
          <w:tcPr>
            <w:tcW w:w="1440" w:type="dxa"/>
            <w:vAlign w:val="center"/>
          </w:tcPr>
          <w:p>
            <w:pPr>
              <w:jc w:val="right"/>
            </w:pPr>
            <w:r>
              <w:rPr>
                <w:rFonts w:ascii="宋体" w:hAnsi="宋体" w:eastAsia="宋体" w:cs="宋体"/>
                <w:b w:val="0"/>
                <w:i w:val="0"/>
                <w:color w:val="000000"/>
                <w:sz w:val="17"/>
              </w:rPr>
              <w:t>185.04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176.11</w:t>
            </w:r>
          </w:p>
        </w:tc>
        <w:tc>
          <w:tcPr>
            <w:tcW w:w="1440" w:type="dxa"/>
            <w:vAlign w:val="center"/>
          </w:tcPr>
          <w:p>
            <w:pPr>
              <w:jc w:val="right"/>
            </w:pPr>
            <w:r>
              <w:rPr>
                <w:rFonts w:ascii="宋体" w:hAnsi="宋体" w:eastAsia="宋体" w:cs="宋体"/>
                <w:b w:val="0"/>
                <w:i w:val="0"/>
                <w:color w:val="000000"/>
                <w:sz w:val="17"/>
              </w:rPr>
              <w:t>176.11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8.04</w:t>
            </w:r>
          </w:p>
        </w:tc>
        <w:tc>
          <w:tcPr>
            <w:tcW w:w="1440" w:type="dxa"/>
            <w:vAlign w:val="center"/>
          </w:tcPr>
          <w:p>
            <w:pPr>
              <w:jc w:val="right"/>
            </w:pPr>
            <w:r>
              <w:rPr>
                <w:rFonts w:ascii="宋体" w:hAnsi="宋体" w:eastAsia="宋体" w:cs="宋体"/>
                <w:b w:val="0"/>
                <w:i w:val="0"/>
                <w:color w:val="000000"/>
                <w:sz w:val="17"/>
              </w:rPr>
              <w:t>8.04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0.89</w:t>
            </w:r>
          </w:p>
        </w:tc>
        <w:tc>
          <w:tcPr>
            <w:tcW w:w="1440" w:type="dxa"/>
            <w:vAlign w:val="center"/>
          </w:tcPr>
          <w:p>
            <w:pPr>
              <w:jc w:val="right"/>
            </w:pPr>
            <w:r>
              <w:rPr>
                <w:rFonts w:ascii="宋体" w:hAnsi="宋体" w:eastAsia="宋体" w:cs="宋体"/>
                <w:b w:val="0"/>
                <w:i w:val="0"/>
                <w:color w:val="000000"/>
                <w:sz w:val="17"/>
              </w:rPr>
              <w:t>0.89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4.52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36.78</w:t>
            </w:r>
          </w:p>
        </w:tc>
        <w:tc>
          <w:tcPr>
            <w:tcW w:w="1440" w:type="dxa"/>
            <w:vAlign w:val="center"/>
          </w:tcPr>
          <w:p>
            <w:pPr>
              <w:jc w:val="right"/>
            </w:pPr>
            <w:r>
              <w:rPr>
                <w:rFonts w:ascii="宋体" w:hAnsi="宋体" w:eastAsia="宋体" w:cs="宋体"/>
                <w:b w:val="0"/>
                <w:i w:val="0"/>
                <w:color w:val="000000"/>
                <w:sz w:val="17"/>
              </w:rPr>
              <w:t>36.78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25.47</w:t>
            </w:r>
          </w:p>
        </w:tc>
        <w:tc>
          <w:tcPr>
            <w:tcW w:w="1440" w:type="dxa"/>
            <w:vAlign w:val="center"/>
          </w:tcPr>
          <w:p>
            <w:pPr>
              <w:jc w:val="right"/>
            </w:pPr>
            <w:r>
              <w:rPr>
                <w:rFonts w:ascii="宋体" w:hAnsi="宋体" w:eastAsia="宋体" w:cs="宋体"/>
                <w:b w:val="0"/>
                <w:i w:val="0"/>
                <w:color w:val="000000"/>
                <w:sz w:val="17"/>
              </w:rPr>
              <w:t>25.47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11.02</w:t>
            </w:r>
          </w:p>
        </w:tc>
        <w:tc>
          <w:tcPr>
            <w:tcW w:w="1440" w:type="dxa"/>
            <w:vAlign w:val="center"/>
          </w:tcPr>
          <w:p>
            <w:pPr>
              <w:jc w:val="right"/>
            </w:pPr>
            <w:r>
              <w:rPr>
                <w:rFonts w:ascii="宋体" w:hAnsi="宋体" w:eastAsia="宋体" w:cs="宋体"/>
                <w:b w:val="0"/>
                <w:i w:val="0"/>
                <w:color w:val="000000"/>
                <w:sz w:val="17"/>
              </w:rPr>
              <w:t>11.02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12.00</w:t>
            </w:r>
          </w:p>
        </w:tc>
        <w:tc>
          <w:tcPr>
            <w:tcW w:w="1440" w:type="dxa"/>
            <w:vAlign w:val="center"/>
          </w:tcPr>
          <w:p>
            <w:pPr>
              <w:jc w:val="right"/>
            </w:pPr>
            <w:r>
              <w:rPr>
                <w:rFonts w:ascii="宋体" w:hAnsi="宋体" w:eastAsia="宋体" w:cs="宋体"/>
                <w:b w:val="0"/>
                <w:i w:val="0"/>
                <w:color w:val="000000"/>
                <w:sz w:val="17"/>
              </w:rPr>
              <w:t>12.00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12.00</w:t>
            </w:r>
          </w:p>
        </w:tc>
        <w:tc>
          <w:tcPr>
            <w:tcW w:w="1440" w:type="dxa"/>
            <w:vAlign w:val="center"/>
          </w:tcPr>
          <w:p>
            <w:pPr>
              <w:jc w:val="right"/>
            </w:pPr>
            <w:r>
              <w:rPr>
                <w:rFonts w:ascii="宋体" w:hAnsi="宋体" w:eastAsia="宋体" w:cs="宋体"/>
                <w:b w:val="0"/>
                <w:i w:val="0"/>
                <w:color w:val="000000"/>
                <w:sz w:val="17"/>
              </w:rPr>
              <w:t>12.00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5.72</w:t>
            </w:r>
          </w:p>
        </w:tc>
        <w:tc>
          <w:tcPr>
            <w:tcW w:w="1440" w:type="dxa"/>
            <w:vAlign w:val="center"/>
          </w:tcPr>
          <w:p>
            <w:pPr>
              <w:jc w:val="right"/>
            </w:pPr>
            <w:r>
              <w:rPr>
                <w:rFonts w:ascii="宋体" w:hAnsi="宋体" w:eastAsia="宋体" w:cs="宋体"/>
                <w:b w:val="0"/>
                <w:i w:val="0"/>
                <w:color w:val="000000"/>
                <w:sz w:val="17"/>
              </w:rPr>
              <w:t>5.72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6.28</w:t>
            </w:r>
          </w:p>
        </w:tc>
        <w:tc>
          <w:tcPr>
            <w:tcW w:w="1440" w:type="dxa"/>
            <w:vAlign w:val="center"/>
          </w:tcPr>
          <w:p>
            <w:pPr>
              <w:jc w:val="right"/>
            </w:pPr>
            <w:r>
              <w:rPr>
                <w:rFonts w:ascii="宋体" w:hAnsi="宋体" w:eastAsia="宋体" w:cs="宋体"/>
                <w:b w:val="0"/>
                <w:i w:val="0"/>
                <w:color w:val="000000"/>
                <w:sz w:val="17"/>
              </w:rPr>
              <w:t>6.28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10.59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254.71</w:t>
            </w:r>
          </w:p>
        </w:tc>
        <w:tc>
          <w:tcPr>
            <w:tcW w:w="1600" w:type="dxa"/>
            <w:vAlign w:val="center"/>
          </w:tcPr>
          <w:p>
            <w:pPr>
              <w:jc w:val="right"/>
            </w:pPr>
            <w:r>
              <w:rPr>
                <w:rFonts w:ascii="宋体" w:hAnsi="宋体" w:eastAsia="宋体" w:cs="宋体"/>
                <w:b/>
                <w:i w:val="0"/>
                <w:color w:val="000000"/>
                <w:sz w:val="19"/>
              </w:rPr>
              <w:t>241.20</w:t>
            </w:r>
          </w:p>
        </w:tc>
        <w:tc>
          <w:tcPr>
            <w:tcW w:w="1600" w:type="dxa"/>
            <w:vAlign w:val="center"/>
          </w:tcPr>
          <w:p>
            <w:pPr>
              <w:jc w:val="right"/>
            </w:pPr>
            <w:r>
              <w:rPr>
                <w:rFonts w:ascii="宋体" w:hAnsi="宋体" w:eastAsia="宋体" w:cs="宋体"/>
                <w:b/>
                <w:i w:val="0"/>
                <w:color w:val="000000"/>
                <w:sz w:val="19"/>
              </w:rPr>
              <w:t>13.51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195.35</w:t>
            </w:r>
          </w:p>
        </w:tc>
        <w:tc>
          <w:tcPr>
            <w:tcW w:w="1600" w:type="dxa"/>
            <w:vAlign w:val="center"/>
          </w:tcPr>
          <w:p>
            <w:pPr>
              <w:jc w:val="right"/>
            </w:pPr>
            <w:r>
              <w:rPr>
                <w:rFonts w:ascii="宋体" w:hAnsi="宋体" w:eastAsia="宋体" w:cs="宋体"/>
                <w:b w:val="0"/>
                <w:i w:val="0"/>
                <w:color w:val="000000"/>
                <w:sz w:val="19"/>
              </w:rPr>
              <w:t>182.12</w:t>
            </w:r>
          </w:p>
        </w:tc>
        <w:tc>
          <w:tcPr>
            <w:tcW w:w="1600" w:type="dxa"/>
            <w:vAlign w:val="center"/>
          </w:tcPr>
          <w:p>
            <w:pPr>
              <w:jc w:val="right"/>
            </w:pPr>
            <w:r>
              <w:rPr>
                <w:rFonts w:ascii="宋体" w:hAnsi="宋体" w:eastAsia="宋体" w:cs="宋体"/>
                <w:b w:val="0"/>
                <w:i w:val="0"/>
                <w:color w:val="000000"/>
                <w:sz w:val="19"/>
              </w:rPr>
              <w:t>13.23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190.23</w:t>
            </w:r>
          </w:p>
        </w:tc>
        <w:tc>
          <w:tcPr>
            <w:tcW w:w="1600" w:type="dxa"/>
            <w:vAlign w:val="center"/>
          </w:tcPr>
          <w:p>
            <w:pPr>
              <w:jc w:val="right"/>
            </w:pPr>
            <w:r>
              <w:rPr>
                <w:rFonts w:ascii="宋体" w:hAnsi="宋体" w:eastAsia="宋体" w:cs="宋体"/>
                <w:b w:val="0"/>
                <w:i w:val="0"/>
                <w:color w:val="000000"/>
                <w:sz w:val="19"/>
              </w:rPr>
              <w:t>177.00</w:t>
            </w:r>
          </w:p>
        </w:tc>
        <w:tc>
          <w:tcPr>
            <w:tcW w:w="1600" w:type="dxa"/>
            <w:vAlign w:val="center"/>
          </w:tcPr>
          <w:p>
            <w:pPr>
              <w:jc w:val="right"/>
            </w:pPr>
            <w:r>
              <w:rPr>
                <w:rFonts w:ascii="宋体" w:hAnsi="宋体" w:eastAsia="宋体" w:cs="宋体"/>
                <w:b w:val="0"/>
                <w:i w:val="0"/>
                <w:color w:val="000000"/>
                <w:sz w:val="19"/>
              </w:rPr>
              <w:t>13.23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176.11</w:t>
            </w:r>
          </w:p>
        </w:tc>
        <w:tc>
          <w:tcPr>
            <w:tcW w:w="1600" w:type="dxa"/>
            <w:vAlign w:val="center"/>
          </w:tcPr>
          <w:p>
            <w:pPr>
              <w:jc w:val="right"/>
            </w:pPr>
            <w:r>
              <w:rPr>
                <w:rFonts w:ascii="宋体" w:hAnsi="宋体" w:eastAsia="宋体" w:cs="宋体"/>
                <w:b w:val="0"/>
                <w:i w:val="0"/>
                <w:color w:val="000000"/>
                <w:sz w:val="19"/>
              </w:rPr>
              <w:t>176.11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0.89</w:t>
            </w:r>
          </w:p>
        </w:tc>
        <w:tc>
          <w:tcPr>
            <w:tcW w:w="1600" w:type="dxa"/>
            <w:vAlign w:val="center"/>
          </w:tcPr>
          <w:p>
            <w:pPr>
              <w:jc w:val="right"/>
            </w:pPr>
            <w:r>
              <w:rPr>
                <w:rFonts w:ascii="宋体" w:hAnsi="宋体" w:eastAsia="宋体" w:cs="宋体"/>
                <w:b w:val="0"/>
                <w:i w:val="0"/>
                <w:color w:val="000000"/>
                <w:sz w:val="19"/>
              </w:rPr>
              <w:t>0.89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4.52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36.78</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25.47</w:t>
            </w:r>
          </w:p>
        </w:tc>
        <w:tc>
          <w:tcPr>
            <w:tcW w:w="1600" w:type="dxa"/>
            <w:vAlign w:val="center"/>
          </w:tcPr>
          <w:p>
            <w:pPr>
              <w:jc w:val="right"/>
            </w:pPr>
            <w:r>
              <w:rPr>
                <w:rFonts w:ascii="宋体" w:hAnsi="宋体" w:eastAsia="宋体" w:cs="宋体"/>
                <w:b w:val="0"/>
                <w:i w:val="0"/>
                <w:color w:val="000000"/>
                <w:sz w:val="19"/>
              </w:rPr>
              <w:t>25.47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11.02</w:t>
            </w:r>
          </w:p>
        </w:tc>
        <w:tc>
          <w:tcPr>
            <w:tcW w:w="1600" w:type="dxa"/>
            <w:vAlign w:val="center"/>
          </w:tcPr>
          <w:p>
            <w:pPr>
              <w:jc w:val="right"/>
            </w:pPr>
            <w:r>
              <w:rPr>
                <w:rFonts w:ascii="宋体" w:hAnsi="宋体" w:eastAsia="宋体" w:cs="宋体"/>
                <w:b w:val="0"/>
                <w:i w:val="0"/>
                <w:color w:val="000000"/>
                <w:sz w:val="19"/>
              </w:rPr>
              <w:t>11.02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12.00</w:t>
            </w:r>
          </w:p>
        </w:tc>
        <w:tc>
          <w:tcPr>
            <w:tcW w:w="1600" w:type="dxa"/>
            <w:vAlign w:val="center"/>
          </w:tcPr>
          <w:p>
            <w:pPr>
              <w:jc w:val="right"/>
            </w:pPr>
            <w:r>
              <w:rPr>
                <w:rFonts w:ascii="宋体" w:hAnsi="宋体" w:eastAsia="宋体" w:cs="宋体"/>
                <w:b w:val="0"/>
                <w:i w:val="0"/>
                <w:color w:val="000000"/>
                <w:sz w:val="19"/>
              </w:rPr>
              <w:t>12.00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12.00</w:t>
            </w:r>
          </w:p>
        </w:tc>
        <w:tc>
          <w:tcPr>
            <w:tcW w:w="1600" w:type="dxa"/>
            <w:vAlign w:val="center"/>
          </w:tcPr>
          <w:p>
            <w:pPr>
              <w:jc w:val="right"/>
            </w:pPr>
            <w:r>
              <w:rPr>
                <w:rFonts w:ascii="宋体" w:hAnsi="宋体" w:eastAsia="宋体" w:cs="宋体"/>
                <w:b w:val="0"/>
                <w:i w:val="0"/>
                <w:color w:val="000000"/>
                <w:sz w:val="19"/>
              </w:rPr>
              <w:t>12.00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5.72</w:t>
            </w:r>
          </w:p>
        </w:tc>
        <w:tc>
          <w:tcPr>
            <w:tcW w:w="1600" w:type="dxa"/>
            <w:vAlign w:val="center"/>
          </w:tcPr>
          <w:p>
            <w:pPr>
              <w:jc w:val="right"/>
            </w:pPr>
            <w:r>
              <w:rPr>
                <w:rFonts w:ascii="宋体" w:hAnsi="宋体" w:eastAsia="宋体" w:cs="宋体"/>
                <w:b w:val="0"/>
                <w:i w:val="0"/>
                <w:color w:val="000000"/>
                <w:sz w:val="19"/>
              </w:rPr>
              <w:t>5.72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6.28</w:t>
            </w:r>
          </w:p>
        </w:tc>
        <w:tc>
          <w:tcPr>
            <w:tcW w:w="1600" w:type="dxa"/>
            <w:vAlign w:val="center"/>
          </w:tcPr>
          <w:p>
            <w:pPr>
              <w:jc w:val="right"/>
            </w:pPr>
            <w:r>
              <w:rPr>
                <w:rFonts w:ascii="宋体" w:hAnsi="宋体" w:eastAsia="宋体" w:cs="宋体"/>
                <w:b w:val="0"/>
                <w:i w:val="0"/>
                <w:color w:val="000000"/>
                <w:sz w:val="19"/>
              </w:rPr>
              <w:t>6.28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10.59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249.52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195.35</w:t>
            </w:r>
          </w:p>
        </w:tc>
        <w:tc>
          <w:tcPr>
            <w:tcW w:w="1420" w:type="dxa"/>
            <w:vAlign w:val="center"/>
          </w:tcPr>
          <w:p>
            <w:pPr>
              <w:jc w:val="right"/>
            </w:pPr>
            <w:r>
              <w:rPr>
                <w:rFonts w:ascii="宋体" w:hAnsi="宋体" w:eastAsia="宋体" w:cs="宋体"/>
                <w:b w:val="0"/>
                <w:i w:val="0"/>
                <w:color w:val="000000"/>
                <w:sz w:val="18"/>
              </w:rPr>
              <w:t>195.35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36.78</w:t>
            </w:r>
          </w:p>
        </w:tc>
        <w:tc>
          <w:tcPr>
            <w:tcW w:w="1420" w:type="dxa"/>
            <w:vAlign w:val="center"/>
          </w:tcPr>
          <w:p>
            <w:pPr>
              <w:jc w:val="right"/>
            </w:pPr>
            <w:r>
              <w:rPr>
                <w:rFonts w:ascii="宋体" w:hAnsi="宋体" w:eastAsia="宋体" w:cs="宋体"/>
                <w:b w:val="0"/>
                <w:i w:val="0"/>
                <w:color w:val="000000"/>
                <w:sz w:val="18"/>
              </w:rPr>
              <w:t>36.78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12.00</w:t>
            </w:r>
          </w:p>
        </w:tc>
        <w:tc>
          <w:tcPr>
            <w:tcW w:w="1420" w:type="dxa"/>
            <w:vAlign w:val="center"/>
          </w:tcPr>
          <w:p>
            <w:pPr>
              <w:jc w:val="right"/>
            </w:pPr>
            <w:r>
              <w:rPr>
                <w:rFonts w:ascii="宋体" w:hAnsi="宋体" w:eastAsia="宋体" w:cs="宋体"/>
                <w:b w:val="0"/>
                <w:i w:val="0"/>
                <w:color w:val="000000"/>
                <w:sz w:val="18"/>
              </w:rPr>
              <w:t>12.00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10.59</w:t>
            </w:r>
          </w:p>
        </w:tc>
        <w:tc>
          <w:tcPr>
            <w:tcW w:w="1420" w:type="dxa"/>
            <w:vAlign w:val="center"/>
          </w:tcPr>
          <w:p>
            <w:pPr>
              <w:jc w:val="right"/>
            </w:pPr>
            <w:r>
              <w:rPr>
                <w:rFonts w:ascii="宋体" w:hAnsi="宋体" w:eastAsia="宋体" w:cs="宋体"/>
                <w:b w:val="0"/>
                <w:i w:val="0"/>
                <w:color w:val="000000"/>
                <w:sz w:val="18"/>
              </w:rPr>
              <w:t>10.59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249.52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254.71</w:t>
            </w:r>
          </w:p>
        </w:tc>
        <w:tc>
          <w:tcPr>
            <w:tcW w:w="1420" w:type="dxa"/>
            <w:vAlign w:val="center"/>
          </w:tcPr>
          <w:p>
            <w:pPr>
              <w:jc w:val="right"/>
            </w:pPr>
            <w:r>
              <w:rPr>
                <w:rFonts w:ascii="宋体" w:hAnsi="宋体" w:eastAsia="宋体" w:cs="宋体"/>
                <w:b w:val="0"/>
                <w:i w:val="0"/>
                <w:color w:val="000000"/>
                <w:sz w:val="18"/>
              </w:rPr>
              <w:t>254.71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5.19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5.19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254.71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254.71</w:t>
            </w:r>
          </w:p>
        </w:tc>
        <w:tc>
          <w:tcPr>
            <w:tcW w:w="1420" w:type="dxa"/>
            <w:vAlign w:val="center"/>
          </w:tcPr>
          <w:p>
            <w:pPr>
              <w:jc w:val="right"/>
            </w:pPr>
            <w:r>
              <w:rPr>
                <w:rFonts w:ascii="宋体" w:hAnsi="宋体" w:eastAsia="宋体" w:cs="宋体"/>
                <w:b w:val="0"/>
                <w:i w:val="0"/>
                <w:color w:val="000000"/>
                <w:sz w:val="18"/>
              </w:rPr>
              <w:t>254.71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254.71</w:t>
            </w:r>
          </w:p>
        </w:tc>
        <w:tc>
          <w:tcPr>
            <w:tcW w:w="2700" w:type="dxa"/>
            <w:vAlign w:val="center"/>
          </w:tcPr>
          <w:p>
            <w:pPr>
              <w:jc w:val="right"/>
            </w:pPr>
            <w:r>
              <w:rPr>
                <w:rFonts w:ascii="宋体" w:hAnsi="宋体" w:eastAsia="宋体" w:cs="宋体"/>
                <w:b/>
                <w:i w:val="0"/>
                <w:color w:val="000000"/>
                <w:sz w:val="25"/>
              </w:rPr>
              <w:t>241.20</w:t>
            </w:r>
          </w:p>
        </w:tc>
        <w:tc>
          <w:tcPr>
            <w:tcW w:w="2658" w:type="dxa"/>
            <w:vAlign w:val="center"/>
          </w:tcPr>
          <w:p>
            <w:pPr>
              <w:jc w:val="right"/>
            </w:pPr>
            <w:r>
              <w:rPr>
                <w:rFonts w:ascii="宋体" w:hAnsi="宋体" w:eastAsia="宋体" w:cs="宋体"/>
                <w:b/>
                <w:i w:val="0"/>
                <w:color w:val="000000"/>
                <w:sz w:val="25"/>
              </w:rPr>
              <w:t>13.51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195.35</w:t>
            </w:r>
          </w:p>
        </w:tc>
        <w:tc>
          <w:tcPr>
            <w:tcW w:w="2700" w:type="dxa"/>
            <w:vAlign w:val="center"/>
          </w:tcPr>
          <w:p>
            <w:pPr>
              <w:jc w:val="right"/>
            </w:pPr>
            <w:r>
              <w:rPr>
                <w:rFonts w:ascii="宋体" w:hAnsi="宋体" w:eastAsia="宋体" w:cs="宋体"/>
                <w:b w:val="0"/>
                <w:i w:val="0"/>
                <w:color w:val="000000"/>
                <w:sz w:val="25"/>
              </w:rPr>
              <w:t>182.12</w:t>
            </w:r>
          </w:p>
        </w:tc>
        <w:tc>
          <w:tcPr>
            <w:tcW w:w="2658" w:type="dxa"/>
            <w:vAlign w:val="center"/>
          </w:tcPr>
          <w:p>
            <w:pPr>
              <w:jc w:val="right"/>
            </w:pPr>
            <w:r>
              <w:rPr>
                <w:rFonts w:ascii="宋体" w:hAnsi="宋体" w:eastAsia="宋体" w:cs="宋体"/>
                <w:b w:val="0"/>
                <w:i w:val="0"/>
                <w:color w:val="000000"/>
                <w:sz w:val="25"/>
              </w:rPr>
              <w:t>13.23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0.60</w:t>
            </w:r>
          </w:p>
        </w:tc>
        <w:tc>
          <w:tcPr>
            <w:tcW w:w="2700" w:type="dxa"/>
            <w:vAlign w:val="center"/>
          </w:tcPr>
          <w:p>
            <w:pPr>
              <w:jc w:val="right"/>
            </w:pPr>
            <w:r>
              <w:rPr>
                <w:rFonts w:ascii="宋体" w:hAnsi="宋体" w:eastAsia="宋体" w:cs="宋体"/>
                <w:b w:val="0"/>
                <w:i w:val="0"/>
                <w:color w:val="000000"/>
                <w:sz w:val="25"/>
              </w:rPr>
              <w:t>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0.60</w:t>
            </w:r>
          </w:p>
        </w:tc>
        <w:tc>
          <w:tcPr>
            <w:tcW w:w="2700" w:type="dxa"/>
            <w:vAlign w:val="center"/>
          </w:tcPr>
          <w:p>
            <w:pPr>
              <w:jc w:val="right"/>
            </w:pPr>
            <w:r>
              <w:rPr>
                <w:rFonts w:ascii="宋体" w:hAnsi="宋体" w:eastAsia="宋体" w:cs="宋体"/>
                <w:b w:val="0"/>
                <w:i w:val="0"/>
                <w:color w:val="000000"/>
                <w:sz w:val="25"/>
              </w:rPr>
              <w:t>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190.23</w:t>
            </w:r>
          </w:p>
        </w:tc>
        <w:tc>
          <w:tcPr>
            <w:tcW w:w="2700" w:type="dxa"/>
            <w:vAlign w:val="center"/>
          </w:tcPr>
          <w:p>
            <w:pPr>
              <w:jc w:val="right"/>
            </w:pPr>
            <w:r>
              <w:rPr>
                <w:rFonts w:ascii="宋体" w:hAnsi="宋体" w:eastAsia="宋体" w:cs="宋体"/>
                <w:b w:val="0"/>
                <w:i w:val="0"/>
                <w:color w:val="000000"/>
                <w:sz w:val="25"/>
              </w:rPr>
              <w:t>177.00</w:t>
            </w:r>
          </w:p>
        </w:tc>
        <w:tc>
          <w:tcPr>
            <w:tcW w:w="2658" w:type="dxa"/>
            <w:vAlign w:val="center"/>
          </w:tcPr>
          <w:p>
            <w:pPr>
              <w:jc w:val="right"/>
            </w:pPr>
            <w:r>
              <w:rPr>
                <w:rFonts w:ascii="宋体" w:hAnsi="宋体" w:eastAsia="宋体" w:cs="宋体"/>
                <w:b w:val="0"/>
                <w:i w:val="0"/>
                <w:color w:val="000000"/>
                <w:sz w:val="25"/>
              </w:rPr>
              <w:t>13.23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176.11</w:t>
            </w:r>
          </w:p>
        </w:tc>
        <w:tc>
          <w:tcPr>
            <w:tcW w:w="2700" w:type="dxa"/>
            <w:vAlign w:val="center"/>
          </w:tcPr>
          <w:p>
            <w:pPr>
              <w:jc w:val="right"/>
            </w:pPr>
            <w:r>
              <w:rPr>
                <w:rFonts w:ascii="宋体" w:hAnsi="宋体" w:eastAsia="宋体" w:cs="宋体"/>
                <w:b w:val="0"/>
                <w:i w:val="0"/>
                <w:color w:val="000000"/>
                <w:sz w:val="25"/>
              </w:rPr>
              <w:t>176.11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13.23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0.89</w:t>
            </w:r>
          </w:p>
        </w:tc>
        <w:tc>
          <w:tcPr>
            <w:tcW w:w="2700" w:type="dxa"/>
            <w:vAlign w:val="center"/>
          </w:tcPr>
          <w:p>
            <w:pPr>
              <w:jc w:val="right"/>
            </w:pPr>
            <w:r>
              <w:rPr>
                <w:rFonts w:ascii="宋体" w:hAnsi="宋体" w:eastAsia="宋体" w:cs="宋体"/>
                <w:b w:val="0"/>
                <w:i w:val="0"/>
                <w:color w:val="000000"/>
                <w:sz w:val="25"/>
              </w:rPr>
              <w:t>0.89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4.52</w:t>
            </w:r>
          </w:p>
        </w:tc>
        <w:tc>
          <w:tcPr>
            <w:tcW w:w="2700" w:type="dxa"/>
            <w:vAlign w:val="center"/>
          </w:tcPr>
          <w:p>
            <w:pPr>
              <w:jc w:val="right"/>
            </w:pPr>
            <w:r>
              <w:rPr>
                <w:rFonts w:ascii="宋体" w:hAnsi="宋体" w:eastAsia="宋体" w:cs="宋体"/>
                <w:b w:val="0"/>
                <w:i w:val="0"/>
                <w:color w:val="000000"/>
                <w:sz w:val="25"/>
              </w:rPr>
              <w:t>4.52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4.52</w:t>
            </w:r>
          </w:p>
        </w:tc>
        <w:tc>
          <w:tcPr>
            <w:tcW w:w="2700" w:type="dxa"/>
            <w:vAlign w:val="center"/>
          </w:tcPr>
          <w:p>
            <w:pPr>
              <w:jc w:val="right"/>
            </w:pPr>
            <w:r>
              <w:rPr>
                <w:rFonts w:ascii="宋体" w:hAnsi="宋体" w:eastAsia="宋体" w:cs="宋体"/>
                <w:b w:val="0"/>
                <w:i w:val="0"/>
                <w:color w:val="000000"/>
                <w:sz w:val="25"/>
              </w:rPr>
              <w:t>4.52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36.78</w:t>
            </w:r>
          </w:p>
        </w:tc>
        <w:tc>
          <w:tcPr>
            <w:tcW w:w="2700" w:type="dxa"/>
            <w:vAlign w:val="center"/>
          </w:tcPr>
          <w:p>
            <w:pPr>
              <w:jc w:val="right"/>
            </w:pPr>
            <w:r>
              <w:rPr>
                <w:rFonts w:ascii="宋体" w:hAnsi="宋体" w:eastAsia="宋体" w:cs="宋体"/>
                <w:b w:val="0"/>
                <w:i w:val="0"/>
                <w:color w:val="000000"/>
                <w:sz w:val="25"/>
              </w:rPr>
              <w:t>36.49</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36.49</w:t>
            </w:r>
          </w:p>
        </w:tc>
        <w:tc>
          <w:tcPr>
            <w:tcW w:w="2700" w:type="dxa"/>
            <w:vAlign w:val="center"/>
          </w:tcPr>
          <w:p>
            <w:pPr>
              <w:jc w:val="right"/>
            </w:pPr>
            <w:r>
              <w:rPr>
                <w:rFonts w:ascii="宋体" w:hAnsi="宋体" w:eastAsia="宋体" w:cs="宋体"/>
                <w:b w:val="0"/>
                <w:i w:val="0"/>
                <w:color w:val="000000"/>
                <w:sz w:val="25"/>
              </w:rPr>
              <w:t>36.49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25.47</w:t>
            </w:r>
          </w:p>
        </w:tc>
        <w:tc>
          <w:tcPr>
            <w:tcW w:w="2700" w:type="dxa"/>
            <w:vAlign w:val="center"/>
          </w:tcPr>
          <w:p>
            <w:pPr>
              <w:jc w:val="right"/>
            </w:pPr>
            <w:r>
              <w:rPr>
                <w:rFonts w:ascii="宋体" w:hAnsi="宋体" w:eastAsia="宋体" w:cs="宋体"/>
                <w:b w:val="0"/>
                <w:i w:val="0"/>
                <w:color w:val="000000"/>
                <w:sz w:val="25"/>
              </w:rPr>
              <w:t>25.47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11.02</w:t>
            </w:r>
          </w:p>
        </w:tc>
        <w:tc>
          <w:tcPr>
            <w:tcW w:w="2700" w:type="dxa"/>
            <w:vAlign w:val="center"/>
          </w:tcPr>
          <w:p>
            <w:pPr>
              <w:jc w:val="right"/>
            </w:pPr>
            <w:r>
              <w:rPr>
                <w:rFonts w:ascii="宋体" w:hAnsi="宋体" w:eastAsia="宋体" w:cs="宋体"/>
                <w:b w:val="0"/>
                <w:i w:val="0"/>
                <w:color w:val="000000"/>
                <w:sz w:val="25"/>
              </w:rPr>
              <w:t>11.02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0.28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0.28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12.00</w:t>
            </w:r>
          </w:p>
        </w:tc>
        <w:tc>
          <w:tcPr>
            <w:tcW w:w="2700" w:type="dxa"/>
            <w:vAlign w:val="center"/>
          </w:tcPr>
          <w:p>
            <w:pPr>
              <w:jc w:val="right"/>
            </w:pPr>
            <w:r>
              <w:rPr>
                <w:rFonts w:ascii="宋体" w:hAnsi="宋体" w:eastAsia="宋体" w:cs="宋体"/>
                <w:b w:val="0"/>
                <w:i w:val="0"/>
                <w:color w:val="000000"/>
                <w:sz w:val="25"/>
              </w:rPr>
              <w:t>12.00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12.00</w:t>
            </w:r>
          </w:p>
        </w:tc>
        <w:tc>
          <w:tcPr>
            <w:tcW w:w="2700" w:type="dxa"/>
            <w:vAlign w:val="center"/>
          </w:tcPr>
          <w:p>
            <w:pPr>
              <w:jc w:val="right"/>
            </w:pPr>
            <w:r>
              <w:rPr>
                <w:rFonts w:ascii="宋体" w:hAnsi="宋体" w:eastAsia="宋体" w:cs="宋体"/>
                <w:b w:val="0"/>
                <w:i w:val="0"/>
                <w:color w:val="000000"/>
                <w:sz w:val="25"/>
              </w:rPr>
              <w:t>12.00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5.72</w:t>
            </w:r>
          </w:p>
        </w:tc>
        <w:tc>
          <w:tcPr>
            <w:tcW w:w="2700" w:type="dxa"/>
            <w:vAlign w:val="center"/>
          </w:tcPr>
          <w:p>
            <w:pPr>
              <w:jc w:val="right"/>
            </w:pPr>
            <w:r>
              <w:rPr>
                <w:rFonts w:ascii="宋体" w:hAnsi="宋体" w:eastAsia="宋体" w:cs="宋体"/>
                <w:b w:val="0"/>
                <w:i w:val="0"/>
                <w:color w:val="000000"/>
                <w:sz w:val="25"/>
              </w:rPr>
              <w:t>5.72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6.28</w:t>
            </w:r>
          </w:p>
        </w:tc>
        <w:tc>
          <w:tcPr>
            <w:tcW w:w="2700" w:type="dxa"/>
            <w:vAlign w:val="center"/>
          </w:tcPr>
          <w:p>
            <w:pPr>
              <w:jc w:val="right"/>
            </w:pPr>
            <w:r>
              <w:rPr>
                <w:rFonts w:ascii="宋体" w:hAnsi="宋体" w:eastAsia="宋体" w:cs="宋体"/>
                <w:b w:val="0"/>
                <w:i w:val="0"/>
                <w:color w:val="000000"/>
                <w:sz w:val="25"/>
              </w:rPr>
              <w:t>6.28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10.59</w:t>
            </w:r>
          </w:p>
        </w:tc>
        <w:tc>
          <w:tcPr>
            <w:tcW w:w="2700" w:type="dxa"/>
            <w:vAlign w:val="center"/>
          </w:tcPr>
          <w:p>
            <w:pPr>
              <w:jc w:val="right"/>
            </w:pPr>
            <w:r>
              <w:rPr>
                <w:rFonts w:ascii="宋体" w:hAnsi="宋体" w:eastAsia="宋体" w:cs="宋体"/>
                <w:b w:val="0"/>
                <w:i w:val="0"/>
                <w:color w:val="000000"/>
                <w:sz w:val="25"/>
              </w:rPr>
              <w:t>10.59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10.59</w:t>
            </w:r>
          </w:p>
        </w:tc>
        <w:tc>
          <w:tcPr>
            <w:tcW w:w="2700" w:type="dxa"/>
            <w:vAlign w:val="center"/>
          </w:tcPr>
          <w:p>
            <w:pPr>
              <w:jc w:val="right"/>
            </w:pPr>
            <w:r>
              <w:rPr>
                <w:rFonts w:ascii="宋体" w:hAnsi="宋体" w:eastAsia="宋体" w:cs="宋体"/>
                <w:b w:val="0"/>
                <w:i w:val="0"/>
                <w:color w:val="000000"/>
                <w:sz w:val="25"/>
              </w:rPr>
              <w:t>10.59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10.59</w:t>
            </w:r>
          </w:p>
        </w:tc>
        <w:tc>
          <w:tcPr>
            <w:tcW w:w="2700" w:type="dxa"/>
            <w:vAlign w:val="center"/>
          </w:tcPr>
          <w:p>
            <w:pPr>
              <w:jc w:val="right"/>
            </w:pPr>
            <w:r>
              <w:rPr>
                <w:rFonts w:ascii="宋体" w:hAnsi="宋体" w:eastAsia="宋体" w:cs="宋体"/>
                <w:b w:val="0"/>
                <w:i w:val="0"/>
                <w:color w:val="000000"/>
                <w:sz w:val="25"/>
              </w:rPr>
              <w:t>10.59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188.48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20.63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71.38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6.39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39.48</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43.75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11.02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0.54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5.73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6.28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0.62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10.59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32.09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25.47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0.89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1.97</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8.27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6.62</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220.57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20.63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部门：许昌市社会科学界联合会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1.97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1.97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1.97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1.97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1.97</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1.97</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2023年度收、支总计均为254.71万元。与上年度相比，收、支总计各增加50.36万元，增长24.64%。主要原因是我单位人员晋级晋档及津补贴上调，增加项目经费。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249.52万元，其中：财政拨款收入249.52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2023年度支出合计254.71万元，其中：基本支出241.20万元，占94.70%；项目支出13.51万元，占5.30%；上缴上级支出0.00万元，占0.00%；经营支出0.00万元，占0.00%；对附属单位补助支出0.00万元，占0.00%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2023年度财政拨款收、支总计均为254.71万元。与上年度相比，财政拨款收、支总计各增加50.36万元，增长24.64%。主要原因是我单位人员晋级晋档及津补贴上调，增加项目经费。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2023年度一般公共预算财政拨款支出254.71万元，占支出合计的100.00%。与上年度相比，一般公共预算财政拨款支出增加50.36万元，增长24.64%。主要原因是我单位人员晋级晋档及津补贴上调，增加项目经费。</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254.71万元，主要用于以下方面：一般公共服务支出（类）195.35万元，占76.70%；社会保障和就业支出（类）36.78万元，占14.44%；卫生健康支出（类）12.00万元，占4.71%；住房保障支出（类）10.59万元，占4.16%</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2023年度一般公共预算财政拨款支出年初预算为206.35万元，支出决算为254.71万元，完成年初预算的123.44%。其中：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年初预算数为0.00万元，决算数0.60万元,决算数与年初预算数存在差异的主要原因是我单位工资及各项津补贴的调标。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2.一般公共服务支出（类）群众团体事务（款）行政运行（项）</w:t>
      </w:r>
      <w:r>
        <w:rPr>
          <w:rFonts w:hint="default" w:ascii="仿宋" w:hAnsi="仿宋" w:eastAsia="仿宋" w:cs="仿宋"/>
          <w:kern w:val="0"/>
          <w:sz w:val="32"/>
          <w:szCs w:val="32"/>
          <w:lang w:val="en-US" w:eastAsia="zh-CN"/>
        </w:rPr>
        <w:t>年初预算数为153.05万元，决算数176.11万元,完成年初预算的115.07%，决算数与年初预算数存在差异的主要原因是我单位工资及各项津补贴的调标。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3.一般公共服务支出（类）群众团体事务（款）一般行政管理事务（项）</w:t>
      </w:r>
      <w:r>
        <w:rPr>
          <w:rFonts w:hint="default" w:ascii="仿宋" w:hAnsi="仿宋" w:eastAsia="仿宋" w:cs="仿宋"/>
          <w:kern w:val="0"/>
          <w:sz w:val="32"/>
          <w:szCs w:val="32"/>
          <w:lang w:val="en-US" w:eastAsia="zh-CN"/>
        </w:rPr>
        <w:t>年初预算数为0.00万元，决算数13.23万元,决算数与年初预算数存在差异的主要原因是我单位工资及各项津补贴的调标。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0"/>
          <w:sz w:val="32"/>
          <w:szCs w:val="32"/>
          <w:lang w:val="en-US" w:eastAsia="zh-CN"/>
        </w:rPr>
        <w:t>年初预算数为0.89万元，决算数0.89万元,完成年初预算的100.00%，决算数与年初预算数不存在差异。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年初预算数为0.00万元，决算数4.52万元,决算数与年初预算数存在差异的主要原因是我单位工资及各项津补贴的调标。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年初预算数为21.50万元，决算数25.47万元,完成年初预算的118.47%，决算数与年初预算数存在差异的主要原因是我单位工资及各项津补贴的调标。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年初预算数为9.98万元，决算数11.02万元,完成年初预算的110.42%，决算数与年初预算数存在差异的主要原因是我单位各项津补贴的调标，社保基数调整。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8.社会保障和就业支出（类）就业补助（款）其他就业补助支出（项）</w:t>
      </w:r>
      <w:r>
        <w:rPr>
          <w:rFonts w:hint="default" w:ascii="仿宋" w:hAnsi="仿宋" w:eastAsia="仿宋" w:cs="仿宋"/>
          <w:kern w:val="0"/>
          <w:sz w:val="32"/>
          <w:szCs w:val="32"/>
          <w:lang w:val="en-US" w:eastAsia="zh-CN"/>
        </w:rPr>
        <w:t>年初预算数为0.00万元，决算数0.28万元,决算数与年初预算数存在差异的主要原因是我单位各项津补贴的调标，社保基数调整。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年初预算数为5.21万元，决算数5.72万元,完成年初预算的109.79%，决算数与年初预算数存在差异的主要原因是我单位各项津补贴的调标，社保基数调整。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年初预算数为5.79万元，决算数6.28万元,完成年初预算的108.46%，决算数与年初预算数存在差异的主要原因是我单位各项津补贴的调标，社保基数调整。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0"/>
          <w:sz w:val="32"/>
          <w:szCs w:val="32"/>
          <w:lang w:val="en-US" w:eastAsia="zh-CN"/>
        </w:rPr>
        <w:t>年初预算数为9.93万元，决算数10.59万元,完成年初预算的106.65%，决算数与年初预算数存在差异的主要原因是我单位各项津补贴的调标，公积金基数调整。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241.20万元。其中：人员经费220.57万元，主要包括：基本工资、津贴补贴、奖金、机关事业单位基本养老保险缴费、职工基本医疗保险缴费、公务员医疗补助缴费、其他社会保障缴费、住房公积金、退休费、其他对个人和家庭的补助支出。公用经费20.63万元，主要包括：办公费、印刷费、邮电费、差旅费、会议费、培训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2023年度“三公”经费财政拨款支出预算为1.97万元，支出决算为1.97万元，完成预算的100.00%。2023年度“三公”经费支出决算数与预算数无差异。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1.97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预算为1.97万元，支出决算为1.97万元，完成预算的100.00%。决算数与预算数无差异。其中：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1.97万元。主要用于公车修理,路桥费和保险费油耗支出。2023年期末，部门开支财政拨款的公务用车保有量为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2023年度机关运行经费支出20.63万元，较2022年度增长1.26万元，增长6.50%，主要原因是我单位年度工作任务相对较多，经费支出增加。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涉及预算资金248.98万元。自评得分为100分，等级为“优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。从部门整体自评情况来看，整体绩效自评结果满意。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基于项目预期目标的实现程度，我部门对2023年度部门预算项目支出（含部门参与分配的转移支付项目）开展绩效自评，涉及项目2个，项目金额13.23万元。其中：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社会科学界联合会第五次代表大会，自评得分为100分，等级为“优”。本项目全年预算财政拨付8.04万元，上年结转0万元，全年实际支出8.04万元，执行率100%，目标任务按照时效有序开展，项目已完结，不存在相关问题，自评结果满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社科理论刊物印刷，自评得分为100分，等级为“优”。本项目全年预算财政拨付5.19万元，上年结转0万元，全年实际支出5.19万元，执行率100%，目标任务按照时效有序开展，项目已完结，不存在相关问题，自评结果满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从项目绩效自评情况来看，项目各环节落实较好，高质量完成了项目指标。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bookmarkStart w:id="0" w:name="_GoBack"/>
      <w:bookmarkEnd w:id="0"/>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548"/>
        <w:gridCol w:w="327"/>
        <w:gridCol w:w="327"/>
        <w:gridCol w:w="1413"/>
        <w:gridCol w:w="1243"/>
        <w:gridCol w:w="2571"/>
        <w:gridCol w:w="1422"/>
        <w:gridCol w:w="1421"/>
        <w:gridCol w:w="19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许昌市社会科学界联合会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268.93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248.98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目标1:团结和组织全市社会科学工作者组织研究党的基本理论和路线方针政策；</w:t>
            </w:r>
            <w:r>
              <w:br w:type="textWrapping"/>
            </w:r>
            <w:r>
              <w:rPr>
                <w:rFonts w:ascii="宋体" w:hAnsi="宋体" w:eastAsia="宋体" w:cs="宋体"/>
                <w:i w:val="0"/>
                <w:iCs w:val="0"/>
                <w:color w:val="000000"/>
                <w:kern w:val="0"/>
                <w:sz w:val="18"/>
                <w:szCs w:val="18"/>
                <w:u w:val="none"/>
                <w:lang w:val="en-US" w:eastAsia="zh-CN"/>
              </w:rPr>
              <w:t>目标2:发挥智库作用，组织全市社会科学工作者围绕市委市政府中心工作，对本会团体会员及市级民办社科研究机构的业务管理服务和监督职责。</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在市委市政府的坚强领导和市委宣传部的关心指导下，全市社科战线坚持以习近平新时代中国特色社会主义思想为指导，聚焦学习宣传贯彻党的二十大精神工作主线，深入贯彻落实习近平文化思想，扎实开展学习贯彻习近平新时代中国特色社会主义思想主题教育，凝心铸魂筑牢思想根基、创新思路服务中心大局、实干担当促进社科发展，全市社科事业实现新的突破，为高质量建设城乡融合共同富裕先行试验区贡献了社科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任务1：编辑改革论坛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做好市委市政府的智慧库</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改版社科理论刊物《改革论坛》，开设党的建设、城乡融合、文化强市、调查研究等栏目，2023年共编辑出版4期。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任务2：社会科学普及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做好群众与政府的纽带作用使普及工作更深入群众在市委市政府的指导下更加深入开展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开展第五批许昌市社科普及基地创建活动，15个活动氛围浓、带动能力强的基地获评许昌市社科普及基地，目前全市社科普及基地发展到56家；组织举办以“宣传贯彻党的二十大精神 凝心聚力共建现代化许昌”为主题的社科普及周活动，组织指导各社科普及基地开展近200项社科普及活动。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任务3：贯彻落实《河南省社会科学普及条例》</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认真省贯彻社科普及条例</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与市直相关单位和各群团组织的沟通协作，健全完善了以17家单位为成员的许昌市社科普及工作联席会议制度，整合社科资源，凝聚各方力量，构建形成“大社科”工作格局。为服务好城乡融合共同富裕先行试验区建设，积极协调省社科联出台正式文件印发《关于支持许昌高质量建设城乡融合共同富裕先行试验区的若干措施》，出台13条具体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重点工作2计划完成率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重点工作3计划完成率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年度工作目标2实现率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完成社科联职责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018"/>
        <w:gridCol w:w="1984"/>
        <w:gridCol w:w="516"/>
        <w:gridCol w:w="476"/>
        <w:gridCol w:w="2756"/>
        <w:gridCol w:w="1355"/>
        <w:gridCol w:w="835"/>
        <w:gridCol w:w="758"/>
        <w:gridCol w:w="758"/>
        <w:gridCol w:w="1268"/>
        <w:gridCol w:w="1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许昌市社会科学界联合会第五次代表大会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许昌市社会科学界联合会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预算编制科学合理，决策程序规范有序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科学界联合会第五次代表大会项目全面总结第四次代表大会以来，我市哲学社会科学工作的成就和经验，明确今后五年面临的形势和任务，选举产生许昌市社科联第五届委员会，为建设城乡融合共同富裕先行试验区，打造“五个强市”，实现经济发展高质量、城乡建设高水平、人民群众高素质，全面开创许昌社会主义现代化建设新局面贡献社科力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科联第五次代表大会圆满完成，会议选举产生新一届委员会，主席、副主席、秘书长。为更进一步提升政治站位，坚决贯彻党中央和省委、市委决策部署，更好服务全市大局，聚焦城乡融合共同富裕先行试验区和“五个强市”建设，主动参政议政、建言献策。为实现经济发展高质量、城乡建设高水平、人民群众高素质，全面开创许昌社会主义现代化建设新局面贡献社科力量。社科理论刊物印刷发行，许昌市社会科学界联合会更好的履行了工作职责，积极把社科理论研究成果进行转化，发挥了为市委市政府决策提供智力支撑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指标1：会议期间住宿费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指标2：会议期间餐费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≤2.4812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指标3：会议室租赁费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≤1.5200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指标4：会议文件印刷费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≤1.8990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指标5：会议公杂费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≤0.8300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指标1：会议总成本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≤8.0382万元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指标2：会议数量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指标3：参会人数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指标4：会议天数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指标1：参会人数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指标2：会议成果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指标1：履职、促进事业发展持续影响程度</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指标2：落实党委政府决策的持续影响程度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指标1：上级部门满意度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指标3：其他工作人员满意度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107"/>
        <w:gridCol w:w="2159"/>
        <w:gridCol w:w="797"/>
        <w:gridCol w:w="761"/>
        <w:gridCol w:w="2916"/>
        <w:gridCol w:w="1148"/>
        <w:gridCol w:w="722"/>
        <w:gridCol w:w="722"/>
        <w:gridCol w:w="648"/>
        <w:gridCol w:w="1081"/>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社科理论刊物印刷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许昌市社会科学界联合会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预算编制科学合理，决策程序规范有序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《改革论坛》杂志和《许昌市 2022 年度社科规划重点课题研究成果汇编》一书，均面向全市机关事业单位发放,积极服务全市工作大局，聚焦城乡融合共同富裕先行试验区和“五个强市”建设，建言献策。为实现经济发展高质量、城乡建设高水平、人民群众高素质，全面开创许昌社会主义现代化建设新局面贡献社科力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社科理论刊物《改革论坛》杂志和《许昌市 2022 年度社科规划重点课题研究成果汇编》的发行，促使许昌市社会科学界联合会更好的履行了工作职责，积极把社科理论研究成果进行转化，发挥了为市委市政府决策提供智力支撑的作用。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《改革论坛》杂志印刷册数（份数）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《许昌市2022年度社科规划重点课题研究成果汇编》印刷册数（份数）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《改革论坛》杂志印刷品质量合格率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《许昌市2022年度社科规划重点课题研究成果汇编》印刷品质量合格率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《改革论坛》杂志印刷品信息传递效果</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《许昌市2022年度社科规划重点课题研究成果汇编》印刷品信息传递效果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《改革论坛》杂志印刷品使用者满意度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《许昌市2022年度社科规划重点课题研究成果汇编》印刷品使用者满意度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633" w:right="1440" w:bottom="1689"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a/HpZ6wEAAMIDAAAOAAAAZHJz&#10;L2Uyb0RvYy54bWytU0uOEzEQ3SNxB8t70klA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bahr94PieBvHA0pdOXz6ev30/fPrFZ&#10;VqgPsabCh7DBcRcpzHQHjS5/iQgbiqrHq6pqSExScraYLxZTwpZ0dtkQTvV4PWBMbxQ4loOGI42t&#10;qCkOdzGdSy8l+TUPa2Mt5UVt/S8JwsyZKnd87jFHadgOY+NbaI9EGOHshBjk2tCbdyKmjUAaPfVJ&#10;dk73tGgLfcNhjDjrAD/+LZ/raSJ0yllPVmq4J69zZt96mlR23SXAS7C9BH7vXgN5c8YZJltCuiC8&#10;JLiGJ872Ac2uI3wtbMxmEETs1T6RBEWZzO9MaqRNRinajqbOTvx5X6oef73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Ba/HpZ6wEAAMI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EBCF9"/>
    <w:multiLevelType w:val="multilevel"/>
    <w:tmpl w:val="BDAEBCF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7FDBD8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2452835-84fc-44ff-a706-7a485a47570e"/>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1d85deaa-4c9f-4443-bacd-b67db88f178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9</TotalTime>
  <ScaleCrop>false</ScaleCrop>
  <LinksUpToDate>false</LinksUpToDate>
  <CharactersWithSpaces>19414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2024-10-08T14:56:40Z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