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许昌市社会治安综合管理中心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许昌市社会治安综合管理中心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许昌市社会治安综合管理中心概况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社会治安综合管理中心认真贯彻综治法规政策，加强对综治问题的调查研究，向党委、政府提出政策建议；组织协调并解决辖区内涉及多个部门的社会治安综合治理事项；协调、指导、推动网格化管理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许昌市社会治安综合管理中心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许昌市社会治安综合管理中心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1.许昌市社会治安综合管理中心。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单位：许昌市社会治安综合管理中心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143.30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123.86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8.68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4.01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6.75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143.30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143.30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143.30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143.30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单位：许昌市社会治安综合管理中心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143.30</w:t>
            </w:r>
          </w:p>
        </w:tc>
        <w:tc>
          <w:tcPr>
            <w:tcW w:w="1440" w:type="dxa"/>
            <w:tcBorders/>
            <w:vAlign w:val="center"/>
          </w:tcPr>
          <w:p>
            <w:pPr>
              <w:jc w:val="right"/>
            </w:pPr>
            <w:r>
              <w:rPr>
                <w:rFonts w:ascii="宋体" w:eastAsia="宋体" w:hAnsi="宋体" w:cs="宋体"/>
                <w:b/>
                <w:i w:val="0"/>
                <w:color w:val="000000"/>
                <w:sz w:val="17"/>
              </w:rPr>
              <w:t xml:space="preserve">143.30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123.86</w:t>
            </w:r>
          </w:p>
        </w:tc>
        <w:tc>
          <w:tcPr>
            <w:tcW w:w="1440" w:type="dxa"/>
            <w:tcBorders/>
            <w:vAlign w:val="center"/>
          </w:tcPr>
          <w:p>
            <w:pPr>
              <w:jc w:val="right"/>
            </w:pPr>
            <w:r>
              <w:rPr>
                <w:rFonts w:ascii="宋体" w:eastAsia="宋体" w:hAnsi="宋体" w:cs="宋体"/>
                <w:b w:val="0"/>
                <w:i w:val="0"/>
                <w:color w:val="000000"/>
                <w:sz w:val="17"/>
              </w:rPr>
              <w:t xml:space="preserve">123.86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党委办公厅（室）及相关机构事务</w:t>
            </w:r>
          </w:p>
        </w:tc>
        <w:tc>
          <w:tcPr>
            <w:tcW w:w="1440" w:type="dxa"/>
            <w:tcBorders/>
            <w:vAlign w:val="center"/>
          </w:tcPr>
          <w:p>
            <w:pPr>
              <w:jc w:val="right"/>
            </w:pPr>
            <w:r>
              <w:rPr>
                <w:rFonts w:ascii="宋体" w:eastAsia="宋体" w:hAnsi="宋体" w:cs="宋体"/>
                <w:b w:val="0"/>
                <w:i w:val="0"/>
                <w:color w:val="000000"/>
                <w:sz w:val="17"/>
              </w:rPr>
              <w:t xml:space="preserve">119.03</w:t>
            </w:r>
          </w:p>
        </w:tc>
        <w:tc>
          <w:tcPr>
            <w:tcW w:w="1440" w:type="dxa"/>
            <w:tcBorders/>
            <w:vAlign w:val="center"/>
          </w:tcPr>
          <w:p>
            <w:pPr>
              <w:jc w:val="right"/>
            </w:pPr>
            <w:r>
              <w:rPr>
                <w:rFonts w:ascii="宋体" w:eastAsia="宋体" w:hAnsi="宋体" w:cs="宋体"/>
                <w:b w:val="0"/>
                <w:i w:val="0"/>
                <w:color w:val="000000"/>
                <w:sz w:val="17"/>
              </w:rPr>
              <w:t xml:space="preserve">119.03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1.78</w:t>
            </w:r>
          </w:p>
        </w:tc>
        <w:tc>
          <w:tcPr>
            <w:tcW w:w="1440" w:type="dxa"/>
            <w:tcBorders/>
            <w:vAlign w:val="center"/>
          </w:tcPr>
          <w:p>
            <w:pPr>
              <w:jc w:val="right"/>
            </w:pPr>
            <w:r>
              <w:rPr>
                <w:rFonts w:ascii="宋体" w:eastAsia="宋体" w:hAnsi="宋体" w:cs="宋体"/>
                <w:b w:val="0"/>
                <w:i w:val="0"/>
                <w:color w:val="000000"/>
                <w:sz w:val="17"/>
              </w:rPr>
              <w:t xml:space="preserve">1.78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2013150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117.25</w:t>
            </w:r>
          </w:p>
        </w:tc>
        <w:tc>
          <w:tcPr>
            <w:tcW w:w="1440" w:type="dxa"/>
            <w:tcBorders/>
            <w:vAlign w:val="center"/>
          </w:tcPr>
          <w:p>
            <w:pPr>
              <w:jc w:val="right"/>
            </w:pPr>
            <w:r>
              <w:rPr>
                <w:rFonts w:ascii="宋体" w:eastAsia="宋体" w:hAnsi="宋体" w:cs="宋体"/>
                <w:b w:val="0"/>
                <w:i w:val="0"/>
                <w:color w:val="000000"/>
                <w:sz w:val="17"/>
              </w:rPr>
              <w:t xml:space="preserve">117.25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4.22</w:t>
            </w:r>
          </w:p>
        </w:tc>
        <w:tc>
          <w:tcPr>
            <w:tcW w:w="1440" w:type="dxa"/>
            <w:tcBorders/>
            <w:vAlign w:val="center"/>
          </w:tcPr>
          <w:p>
            <w:pPr>
              <w:jc w:val="right"/>
            </w:pPr>
            <w:r>
              <w:rPr>
                <w:rFonts w:ascii="宋体" w:eastAsia="宋体" w:hAnsi="宋体" w:cs="宋体"/>
                <w:b w:val="0"/>
                <w:i w:val="0"/>
                <w:color w:val="000000"/>
                <w:sz w:val="17"/>
              </w:rPr>
              <w:t xml:space="preserve">4.22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4.22</w:t>
            </w:r>
          </w:p>
        </w:tc>
        <w:tc>
          <w:tcPr>
            <w:tcW w:w="1440" w:type="dxa"/>
            <w:tcBorders/>
            <w:vAlign w:val="center"/>
          </w:tcPr>
          <w:p>
            <w:pPr>
              <w:jc w:val="right"/>
            </w:pPr>
            <w:r>
              <w:rPr>
                <w:rFonts w:ascii="宋体" w:eastAsia="宋体" w:hAnsi="宋体" w:cs="宋体"/>
                <w:b w:val="0"/>
                <w:i w:val="0"/>
                <w:color w:val="000000"/>
                <w:sz w:val="17"/>
              </w:rPr>
              <w:t xml:space="preserve">4.22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4.01</w:t>
            </w:r>
          </w:p>
        </w:tc>
        <w:tc>
          <w:tcPr>
            <w:tcW w:w="1440" w:type="dxa"/>
            <w:tcBorders/>
            <w:vAlign w:val="center"/>
          </w:tcPr>
          <w:p>
            <w:pPr>
              <w:jc w:val="right"/>
            </w:pPr>
            <w:r>
              <w:rPr>
                <w:rFonts w:ascii="宋体" w:eastAsia="宋体" w:hAnsi="宋体" w:cs="宋体"/>
                <w:b w:val="0"/>
                <w:i w:val="0"/>
                <w:color w:val="000000"/>
                <w:sz w:val="17"/>
              </w:rPr>
              <w:t xml:space="preserve">4.01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4.01</w:t>
            </w:r>
          </w:p>
        </w:tc>
        <w:tc>
          <w:tcPr>
            <w:tcW w:w="1440" w:type="dxa"/>
            <w:tcBorders/>
            <w:vAlign w:val="center"/>
          </w:tcPr>
          <w:p>
            <w:pPr>
              <w:jc w:val="right"/>
            </w:pPr>
            <w:r>
              <w:rPr>
                <w:rFonts w:ascii="宋体" w:eastAsia="宋体" w:hAnsi="宋体" w:cs="宋体"/>
                <w:b w:val="0"/>
                <w:i w:val="0"/>
                <w:color w:val="000000"/>
                <w:sz w:val="17"/>
              </w:rPr>
              <w:t xml:space="preserve">4.01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4.01</w:t>
            </w:r>
          </w:p>
        </w:tc>
        <w:tc>
          <w:tcPr>
            <w:tcW w:w="1440" w:type="dxa"/>
            <w:tcBorders/>
            <w:vAlign w:val="center"/>
          </w:tcPr>
          <w:p>
            <w:pPr>
              <w:jc w:val="right"/>
            </w:pPr>
            <w:r>
              <w:rPr>
                <w:rFonts w:ascii="宋体" w:eastAsia="宋体" w:hAnsi="宋体" w:cs="宋体"/>
                <w:b w:val="0"/>
                <w:i w:val="0"/>
                <w:color w:val="000000"/>
                <w:sz w:val="17"/>
              </w:rPr>
              <w:t xml:space="preserve">4.01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6.75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单位：许昌市社会治安综合管理中心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143.30</w:t>
            </w:r>
          </w:p>
        </w:tc>
        <w:tc>
          <w:tcPr>
            <w:tcW w:w="1600" w:type="dxa"/>
            <w:tcBorders/>
            <w:vAlign w:val="center"/>
          </w:tcPr>
          <w:p>
            <w:pPr>
              <w:jc w:val="right"/>
            </w:pPr>
            <w:r>
              <w:rPr>
                <w:rFonts w:ascii="宋体" w:eastAsia="宋体" w:hAnsi="宋体" w:cs="宋体"/>
                <w:b/>
                <w:i w:val="0"/>
                <w:color w:val="000000"/>
                <w:sz w:val="19"/>
              </w:rPr>
              <w:t xml:space="preserve">143.30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123.86</w:t>
            </w:r>
          </w:p>
        </w:tc>
        <w:tc>
          <w:tcPr>
            <w:tcW w:w="1600" w:type="dxa"/>
            <w:tcBorders/>
            <w:vAlign w:val="center"/>
          </w:tcPr>
          <w:p>
            <w:pPr>
              <w:jc w:val="right"/>
            </w:pPr>
            <w:r>
              <w:rPr>
                <w:rFonts w:ascii="宋体" w:eastAsia="宋体" w:hAnsi="宋体" w:cs="宋体"/>
                <w:b w:val="0"/>
                <w:i w:val="0"/>
                <w:color w:val="000000"/>
                <w:sz w:val="19"/>
              </w:rPr>
              <w:t xml:space="preserve">123.86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党委办公厅（室）及相关机构事务</w:t>
            </w:r>
          </w:p>
        </w:tc>
        <w:tc>
          <w:tcPr>
            <w:tcW w:w="1600" w:type="dxa"/>
            <w:tcBorders/>
            <w:vAlign w:val="center"/>
          </w:tcPr>
          <w:p>
            <w:pPr>
              <w:jc w:val="right"/>
            </w:pPr>
            <w:r>
              <w:rPr>
                <w:rFonts w:ascii="宋体" w:eastAsia="宋体" w:hAnsi="宋体" w:cs="宋体"/>
                <w:b w:val="0"/>
                <w:i w:val="0"/>
                <w:color w:val="000000"/>
                <w:sz w:val="19"/>
              </w:rPr>
              <w:t xml:space="preserve">119.03</w:t>
            </w:r>
          </w:p>
        </w:tc>
        <w:tc>
          <w:tcPr>
            <w:tcW w:w="1600" w:type="dxa"/>
            <w:tcBorders/>
            <w:vAlign w:val="center"/>
          </w:tcPr>
          <w:p>
            <w:pPr>
              <w:jc w:val="right"/>
            </w:pPr>
            <w:r>
              <w:rPr>
                <w:rFonts w:ascii="宋体" w:eastAsia="宋体" w:hAnsi="宋体" w:cs="宋体"/>
                <w:b w:val="0"/>
                <w:i w:val="0"/>
                <w:color w:val="000000"/>
                <w:sz w:val="19"/>
              </w:rPr>
              <w:t xml:space="preserve">119.03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1.78</w:t>
            </w:r>
          </w:p>
        </w:tc>
        <w:tc>
          <w:tcPr>
            <w:tcW w:w="1600" w:type="dxa"/>
            <w:tcBorders/>
            <w:vAlign w:val="center"/>
          </w:tcPr>
          <w:p>
            <w:pPr>
              <w:jc w:val="right"/>
            </w:pPr>
            <w:r>
              <w:rPr>
                <w:rFonts w:ascii="宋体" w:eastAsia="宋体" w:hAnsi="宋体" w:cs="宋体"/>
                <w:b w:val="0"/>
                <w:i w:val="0"/>
                <w:color w:val="000000"/>
                <w:sz w:val="19"/>
              </w:rPr>
              <w:t xml:space="preserve">1.78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2013150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117.25</w:t>
            </w:r>
          </w:p>
        </w:tc>
        <w:tc>
          <w:tcPr>
            <w:tcW w:w="1600" w:type="dxa"/>
            <w:tcBorders/>
            <w:vAlign w:val="center"/>
          </w:tcPr>
          <w:p>
            <w:pPr>
              <w:jc w:val="right"/>
            </w:pPr>
            <w:r>
              <w:rPr>
                <w:rFonts w:ascii="宋体" w:eastAsia="宋体" w:hAnsi="宋体" w:cs="宋体"/>
                <w:b w:val="0"/>
                <w:i w:val="0"/>
                <w:color w:val="000000"/>
                <w:sz w:val="19"/>
              </w:rPr>
              <w:t xml:space="preserve">117.25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4.22</w:t>
            </w:r>
          </w:p>
        </w:tc>
        <w:tc>
          <w:tcPr>
            <w:tcW w:w="1600" w:type="dxa"/>
            <w:tcBorders/>
            <w:vAlign w:val="center"/>
          </w:tcPr>
          <w:p>
            <w:pPr>
              <w:jc w:val="right"/>
            </w:pPr>
            <w:r>
              <w:rPr>
                <w:rFonts w:ascii="宋体" w:eastAsia="宋体" w:hAnsi="宋体" w:cs="宋体"/>
                <w:b w:val="0"/>
                <w:i w:val="0"/>
                <w:color w:val="000000"/>
                <w:sz w:val="19"/>
              </w:rPr>
              <w:t xml:space="preserve">4.22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4.22</w:t>
            </w:r>
          </w:p>
        </w:tc>
        <w:tc>
          <w:tcPr>
            <w:tcW w:w="1600" w:type="dxa"/>
            <w:tcBorders/>
            <w:vAlign w:val="center"/>
          </w:tcPr>
          <w:p>
            <w:pPr>
              <w:jc w:val="right"/>
            </w:pPr>
            <w:r>
              <w:rPr>
                <w:rFonts w:ascii="宋体" w:eastAsia="宋体" w:hAnsi="宋体" w:cs="宋体"/>
                <w:b w:val="0"/>
                <w:i w:val="0"/>
                <w:color w:val="000000"/>
                <w:sz w:val="19"/>
              </w:rPr>
              <w:t xml:space="preserve">4.22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4.01</w:t>
            </w:r>
          </w:p>
        </w:tc>
        <w:tc>
          <w:tcPr>
            <w:tcW w:w="1600" w:type="dxa"/>
            <w:tcBorders/>
            <w:vAlign w:val="center"/>
          </w:tcPr>
          <w:p>
            <w:pPr>
              <w:jc w:val="right"/>
            </w:pPr>
            <w:r>
              <w:rPr>
                <w:rFonts w:ascii="宋体" w:eastAsia="宋体" w:hAnsi="宋体" w:cs="宋体"/>
                <w:b w:val="0"/>
                <w:i w:val="0"/>
                <w:color w:val="000000"/>
                <w:sz w:val="19"/>
              </w:rPr>
              <w:t xml:space="preserve">4.01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4.01</w:t>
            </w:r>
          </w:p>
        </w:tc>
        <w:tc>
          <w:tcPr>
            <w:tcW w:w="1600" w:type="dxa"/>
            <w:tcBorders/>
            <w:vAlign w:val="center"/>
          </w:tcPr>
          <w:p>
            <w:pPr>
              <w:jc w:val="right"/>
            </w:pPr>
            <w:r>
              <w:rPr>
                <w:rFonts w:ascii="宋体" w:eastAsia="宋体" w:hAnsi="宋体" w:cs="宋体"/>
                <w:b w:val="0"/>
                <w:i w:val="0"/>
                <w:color w:val="000000"/>
                <w:sz w:val="19"/>
              </w:rPr>
              <w:t xml:space="preserve">4.01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4.01</w:t>
            </w:r>
          </w:p>
        </w:tc>
        <w:tc>
          <w:tcPr>
            <w:tcW w:w="1600" w:type="dxa"/>
            <w:tcBorders/>
            <w:vAlign w:val="center"/>
          </w:tcPr>
          <w:p>
            <w:pPr>
              <w:jc w:val="right"/>
            </w:pPr>
            <w:r>
              <w:rPr>
                <w:rFonts w:ascii="宋体" w:eastAsia="宋体" w:hAnsi="宋体" w:cs="宋体"/>
                <w:b w:val="0"/>
                <w:i w:val="0"/>
                <w:color w:val="000000"/>
                <w:sz w:val="19"/>
              </w:rPr>
              <w:t xml:space="preserve">4.01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6.75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单位：许昌市社会治安综合管理中心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143.30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123.86</w:t>
            </w:r>
          </w:p>
        </w:tc>
        <w:tc>
          <w:tcPr>
            <w:tcW w:w="1420" w:type="dxa"/>
            <w:tcBorders/>
            <w:vAlign w:val="center"/>
          </w:tcPr>
          <w:p>
            <w:pPr>
              <w:jc w:val="right"/>
            </w:pPr>
            <w:r>
              <w:rPr>
                <w:rFonts w:ascii="宋体" w:eastAsia="宋体" w:hAnsi="宋体" w:cs="宋体"/>
                <w:b w:val="0"/>
                <w:i w:val="0"/>
                <w:color w:val="000000"/>
                <w:sz w:val="18"/>
              </w:rPr>
              <w:t xml:space="preserve">123.86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8.68</w:t>
            </w:r>
          </w:p>
        </w:tc>
        <w:tc>
          <w:tcPr>
            <w:tcW w:w="1420" w:type="dxa"/>
            <w:tcBorders/>
            <w:vAlign w:val="center"/>
          </w:tcPr>
          <w:p>
            <w:pPr>
              <w:jc w:val="right"/>
            </w:pPr>
            <w:r>
              <w:rPr>
                <w:rFonts w:ascii="宋体" w:eastAsia="宋体" w:hAnsi="宋体" w:cs="宋体"/>
                <w:b w:val="0"/>
                <w:i w:val="0"/>
                <w:color w:val="000000"/>
                <w:sz w:val="18"/>
              </w:rPr>
              <w:t xml:space="preserve">8.68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4.01</w:t>
            </w:r>
          </w:p>
        </w:tc>
        <w:tc>
          <w:tcPr>
            <w:tcW w:w="1420" w:type="dxa"/>
            <w:tcBorders/>
            <w:vAlign w:val="center"/>
          </w:tcPr>
          <w:p>
            <w:pPr>
              <w:jc w:val="right"/>
            </w:pPr>
            <w:r>
              <w:rPr>
                <w:rFonts w:ascii="宋体" w:eastAsia="宋体" w:hAnsi="宋体" w:cs="宋体"/>
                <w:b w:val="0"/>
                <w:i w:val="0"/>
                <w:color w:val="000000"/>
                <w:sz w:val="18"/>
              </w:rPr>
              <w:t xml:space="preserve">4.01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6.75</w:t>
            </w:r>
          </w:p>
        </w:tc>
        <w:tc>
          <w:tcPr>
            <w:tcW w:w="1420" w:type="dxa"/>
            <w:tcBorders/>
            <w:vAlign w:val="center"/>
          </w:tcPr>
          <w:p>
            <w:pPr>
              <w:jc w:val="right"/>
            </w:pPr>
            <w:r>
              <w:rPr>
                <w:rFonts w:ascii="宋体" w:eastAsia="宋体" w:hAnsi="宋体" w:cs="宋体"/>
                <w:b w:val="0"/>
                <w:i w:val="0"/>
                <w:color w:val="000000"/>
                <w:sz w:val="18"/>
              </w:rPr>
              <w:t xml:space="preserve">6.75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143.30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143.30</w:t>
            </w:r>
          </w:p>
        </w:tc>
        <w:tc>
          <w:tcPr>
            <w:tcW w:w="1420" w:type="dxa"/>
            <w:tcBorders/>
            <w:vAlign w:val="center"/>
          </w:tcPr>
          <w:p>
            <w:pPr>
              <w:jc w:val="right"/>
            </w:pPr>
            <w:r>
              <w:rPr>
                <w:rFonts w:ascii="宋体" w:eastAsia="宋体" w:hAnsi="宋体" w:cs="宋体"/>
                <w:b w:val="0"/>
                <w:i w:val="0"/>
                <w:color w:val="000000"/>
                <w:sz w:val="18"/>
              </w:rPr>
              <w:t xml:space="preserve">143.30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143.30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143.30</w:t>
            </w:r>
          </w:p>
        </w:tc>
        <w:tc>
          <w:tcPr>
            <w:tcW w:w="1420" w:type="dxa"/>
            <w:tcBorders/>
            <w:vAlign w:val="center"/>
          </w:tcPr>
          <w:p>
            <w:pPr>
              <w:jc w:val="right"/>
            </w:pPr>
            <w:r>
              <w:rPr>
                <w:rFonts w:ascii="宋体" w:eastAsia="宋体" w:hAnsi="宋体" w:cs="宋体"/>
                <w:b w:val="0"/>
                <w:i w:val="0"/>
                <w:color w:val="000000"/>
                <w:sz w:val="18"/>
              </w:rPr>
              <w:t xml:space="preserve">143.30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单位：许昌市社会治安综合管理中心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143.30</w:t>
            </w:r>
          </w:p>
        </w:tc>
        <w:tc>
          <w:tcPr>
            <w:tcW w:w="2700" w:type="dxa"/>
            <w:tcBorders/>
            <w:vAlign w:val="center"/>
          </w:tcPr>
          <w:p>
            <w:pPr>
              <w:jc w:val="right"/>
            </w:pPr>
            <w:r>
              <w:rPr>
                <w:rFonts w:ascii="宋体" w:eastAsia="宋体" w:hAnsi="宋体" w:cs="宋体"/>
                <w:b/>
                <w:i w:val="0"/>
                <w:color w:val="000000"/>
                <w:sz w:val="25"/>
              </w:rPr>
              <w:t xml:space="preserve">143.30</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123.86</w:t>
            </w:r>
          </w:p>
        </w:tc>
        <w:tc>
          <w:tcPr>
            <w:tcW w:w="2700" w:type="dxa"/>
            <w:tcBorders/>
            <w:vAlign w:val="center"/>
          </w:tcPr>
          <w:p>
            <w:pPr>
              <w:jc w:val="right"/>
            </w:pPr>
            <w:r>
              <w:rPr>
                <w:rFonts w:ascii="宋体" w:eastAsia="宋体" w:hAnsi="宋体" w:cs="宋体"/>
                <w:b w:val="0"/>
                <w:i w:val="0"/>
                <w:color w:val="000000"/>
                <w:sz w:val="25"/>
              </w:rPr>
              <w:t xml:space="preserve">123.86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党委办公厅（室）及相关机构事务</w:t>
            </w:r>
          </w:p>
        </w:tc>
        <w:tc>
          <w:tcPr>
            <w:tcW w:w="2700" w:type="dxa"/>
            <w:tcBorders/>
            <w:vAlign w:val="center"/>
          </w:tcPr>
          <w:p>
            <w:pPr>
              <w:jc w:val="right"/>
            </w:pPr>
            <w:r>
              <w:rPr>
                <w:rFonts w:ascii="宋体" w:eastAsia="宋体" w:hAnsi="宋体" w:cs="宋体"/>
                <w:b w:val="0"/>
                <w:i w:val="0"/>
                <w:color w:val="000000"/>
                <w:sz w:val="25"/>
              </w:rPr>
              <w:t xml:space="preserve">119.03</w:t>
            </w:r>
          </w:p>
        </w:tc>
        <w:tc>
          <w:tcPr>
            <w:tcW w:w="2700" w:type="dxa"/>
            <w:tcBorders/>
            <w:vAlign w:val="center"/>
          </w:tcPr>
          <w:p>
            <w:pPr>
              <w:jc w:val="right"/>
            </w:pPr>
            <w:r>
              <w:rPr>
                <w:rFonts w:ascii="宋体" w:eastAsia="宋体" w:hAnsi="宋体" w:cs="宋体"/>
                <w:b w:val="0"/>
                <w:i w:val="0"/>
                <w:color w:val="000000"/>
                <w:sz w:val="25"/>
              </w:rPr>
              <w:t xml:space="preserve">119.03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1.78</w:t>
            </w:r>
          </w:p>
        </w:tc>
        <w:tc>
          <w:tcPr>
            <w:tcW w:w="2700" w:type="dxa"/>
            <w:tcBorders/>
            <w:vAlign w:val="center"/>
          </w:tcPr>
          <w:p>
            <w:pPr>
              <w:jc w:val="right"/>
            </w:pPr>
            <w:r>
              <w:rPr>
                <w:rFonts w:ascii="宋体" w:eastAsia="宋体" w:hAnsi="宋体" w:cs="宋体"/>
                <w:b w:val="0"/>
                <w:i w:val="0"/>
                <w:color w:val="000000"/>
                <w:sz w:val="25"/>
              </w:rPr>
              <w:t xml:space="preserve">1.78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2013150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117.25</w:t>
            </w:r>
          </w:p>
        </w:tc>
        <w:tc>
          <w:tcPr>
            <w:tcW w:w="2700" w:type="dxa"/>
            <w:tcBorders/>
            <w:vAlign w:val="center"/>
          </w:tcPr>
          <w:p>
            <w:pPr>
              <w:jc w:val="right"/>
            </w:pPr>
            <w:r>
              <w:rPr>
                <w:rFonts w:ascii="宋体" w:eastAsia="宋体" w:hAnsi="宋体" w:cs="宋体"/>
                <w:b w:val="0"/>
                <w:i w:val="0"/>
                <w:color w:val="000000"/>
                <w:sz w:val="25"/>
              </w:rPr>
              <w:t xml:space="preserve">117.25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4.22</w:t>
            </w:r>
          </w:p>
        </w:tc>
        <w:tc>
          <w:tcPr>
            <w:tcW w:w="2700" w:type="dxa"/>
            <w:tcBorders/>
            <w:vAlign w:val="center"/>
          </w:tcPr>
          <w:p>
            <w:pPr>
              <w:jc w:val="right"/>
            </w:pPr>
            <w:r>
              <w:rPr>
                <w:rFonts w:ascii="宋体" w:eastAsia="宋体" w:hAnsi="宋体" w:cs="宋体"/>
                <w:b w:val="0"/>
                <w:i w:val="0"/>
                <w:color w:val="000000"/>
                <w:sz w:val="25"/>
              </w:rPr>
              <w:t xml:space="preserve">4.22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4.22</w:t>
            </w:r>
          </w:p>
        </w:tc>
        <w:tc>
          <w:tcPr>
            <w:tcW w:w="2700" w:type="dxa"/>
            <w:tcBorders/>
            <w:vAlign w:val="center"/>
          </w:tcPr>
          <w:p>
            <w:pPr>
              <w:jc w:val="right"/>
            </w:pPr>
            <w:r>
              <w:rPr>
                <w:rFonts w:ascii="宋体" w:eastAsia="宋体" w:hAnsi="宋体" w:cs="宋体"/>
                <w:b w:val="0"/>
                <w:i w:val="0"/>
                <w:color w:val="000000"/>
                <w:sz w:val="25"/>
              </w:rPr>
              <w:t xml:space="preserve">4.22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4.01</w:t>
            </w:r>
          </w:p>
        </w:tc>
        <w:tc>
          <w:tcPr>
            <w:tcW w:w="2700" w:type="dxa"/>
            <w:tcBorders/>
            <w:vAlign w:val="center"/>
          </w:tcPr>
          <w:p>
            <w:pPr>
              <w:jc w:val="right"/>
            </w:pPr>
            <w:r>
              <w:rPr>
                <w:rFonts w:ascii="宋体" w:eastAsia="宋体" w:hAnsi="宋体" w:cs="宋体"/>
                <w:b w:val="0"/>
                <w:i w:val="0"/>
                <w:color w:val="000000"/>
                <w:sz w:val="25"/>
              </w:rPr>
              <w:t xml:space="preserve">4.01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4.01</w:t>
            </w:r>
          </w:p>
        </w:tc>
        <w:tc>
          <w:tcPr>
            <w:tcW w:w="2700" w:type="dxa"/>
            <w:tcBorders/>
            <w:vAlign w:val="center"/>
          </w:tcPr>
          <w:p>
            <w:pPr>
              <w:jc w:val="right"/>
            </w:pPr>
            <w:r>
              <w:rPr>
                <w:rFonts w:ascii="宋体" w:eastAsia="宋体" w:hAnsi="宋体" w:cs="宋体"/>
                <w:b w:val="0"/>
                <w:i w:val="0"/>
                <w:color w:val="000000"/>
                <w:sz w:val="25"/>
              </w:rPr>
              <w:t xml:space="preserve">4.01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4.01</w:t>
            </w:r>
          </w:p>
        </w:tc>
        <w:tc>
          <w:tcPr>
            <w:tcW w:w="2700" w:type="dxa"/>
            <w:tcBorders/>
            <w:vAlign w:val="center"/>
          </w:tcPr>
          <w:p>
            <w:pPr>
              <w:jc w:val="right"/>
            </w:pPr>
            <w:r>
              <w:rPr>
                <w:rFonts w:ascii="宋体" w:eastAsia="宋体" w:hAnsi="宋体" w:cs="宋体"/>
                <w:b w:val="0"/>
                <w:i w:val="0"/>
                <w:color w:val="000000"/>
                <w:sz w:val="25"/>
              </w:rPr>
              <w:t xml:space="preserve">4.01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700" w:type="dxa"/>
            <w:tcBorders/>
            <w:vAlign w:val="center"/>
          </w:tcPr>
          <w:p>
            <w:pPr>
              <w:jc w:val="right"/>
            </w:pPr>
            <w:r>
              <w:rPr>
                <w:rFonts w:ascii="宋体" w:eastAsia="宋体" w:hAnsi="宋体" w:cs="宋体"/>
                <w:b w:val="0"/>
                <w:i w:val="0"/>
                <w:color w:val="000000"/>
                <w:sz w:val="25"/>
              </w:rPr>
              <w:t xml:space="preserve">6.75</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单位：许昌市社会治安综合管理中心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132.47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10.84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36.25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2.32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37.32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21.04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17.46</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9.45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0.22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3.56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1.40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0.57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3.73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6.75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0.63</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0.62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0.76</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0.18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132.47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10.84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单位：许昌市社会治安综合管理中心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单位：许昌市社会治安综合管理中心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单位：许昌市社会治安综合管理中心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143.30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增加75.20万元，增长110.43%</w:t>
      </w:r>
      <w:r>
        <w:rPr>
          <w:rFonts w:ascii="仿宋" w:eastAsia="仿宋" w:hAnsi="仿宋" w:cs="仿宋" w:hint="eastAsia"/>
          <w:kern w:val="0"/>
          <w:sz w:val="32"/>
          <w:szCs w:val="32"/>
          <w:lang w:val="en-US" w:eastAsia="zh-CN"/>
        </w:rPr>
        <w:t xml:space="preserve">。主要原因是2022年9月之前人员工资通过局机关发放，9月后独立核算，无法与2023年整年决算对比。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143.30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财政拨款收入143.30万元，占100.00%；上级补助收入0.00万元，占0.00%；事业收入0.00万元，占0.00%；经营收入0.00万元，占0.00%；附属单位上缴收入0.00万元，占0.00%；其他收入0.00万元，占0.00%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143.30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基本支出143.30万元，占100.00%；项目支出0.00万元，占0.00%；上缴上级支出0.00万元，占0.00%；经营支出0.00万元，占0.00%；对附属单位补助支出0.00万元，占0.00%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143.30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增加75.20万元，增长110.43%</w:t>
      </w:r>
      <w:r>
        <w:rPr>
          <w:rFonts w:ascii="仿宋" w:eastAsia="仿宋" w:hAnsi="仿宋" w:cs="仿宋" w:hint="eastAsia"/>
          <w:kern w:val="0"/>
          <w:sz w:val="32"/>
          <w:szCs w:val="32"/>
          <w:lang w:val="en-US" w:eastAsia="zh-CN"/>
        </w:rPr>
        <w:t xml:space="preserve">。主要原因是2022年9月之前人员工资通过局机关发放，9月后独立核算，无法与2023年整年决算对比。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143.30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增加75.20万元，增长110.43%</w:t>
      </w:r>
      <w:r>
        <w:rPr>
          <w:rFonts w:ascii="仿宋" w:eastAsia="仿宋" w:hAnsi="仿宋" w:cs="仿宋" w:hint="eastAsia"/>
          <w:kern w:val="0"/>
          <w:sz w:val="32"/>
          <w:szCs w:val="32"/>
          <w:lang w:val="en-US" w:eastAsia="zh-CN"/>
        </w:rPr>
        <w:t xml:space="preserve">。主要原因是2022年9月之前人员工资通过局机关发放，9月后独立核算，无法与2023年整年决算对比。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143.30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一般公共服务支出（类）123.86万元，占86.43%；社会保障和就业支出（类）8.68万元，占6.06%；卫生健康支出（类）4.01万元，占2.80%；住房保障支出（类）6.75万元，占4.71%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122.60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143.30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116.88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年初预算数为0.62万元，决算数0.62万元,完成年初预算的100.00%，决算数与年初预算数不存在差异。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2.一般公共服务支出（类）党委办公厅（室）及相关机构事务（款）行政运行（项）</w:t>
      </w:r>
      <w:r>
        <w:rPr>
          <w:rFonts w:ascii="仿宋" w:eastAsia="仿宋" w:hAnsi="仿宋" w:cs="仿宋" w:hint="default"/>
          <w:kern w:val="2"/>
          <w:sz w:val="32"/>
          <w:szCs w:val="32"/>
          <w:lang w:val="en-US" w:eastAsia="zh-CN"/>
        </w:rPr>
        <w:t xml:space="preserve">年初预算数为1.78万元，决算数1.78万元,完成年初预算的100.00%，决算数与年初预算数不存在差异。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3.一般公共服务支出（类）党委办公厅（室）及相关机构事务（款）事业运行（项）</w:t>
      </w:r>
      <w:r>
        <w:rPr>
          <w:rFonts w:ascii="仿宋" w:eastAsia="仿宋" w:hAnsi="仿宋" w:cs="仿宋" w:hint="default"/>
          <w:kern w:val="2"/>
          <w:sz w:val="32"/>
          <w:szCs w:val="32"/>
          <w:lang w:val="en-US" w:eastAsia="zh-CN"/>
        </w:rPr>
        <w:t xml:space="preserve">年初预算数为104.03万元，决算数117.25万元,完成年初预算的112.71%，决算数与年初预算数存在差异的主要原因是人员增加四名，经费增加。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年初预算数为4.22万元，决算数4.22万元,完成年初预算的100.00%，决算数与年初预算数不存在差异。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年初预算数为7.66万元，决算数8.68万元,完成年初预算的113.32%，决算数与年初预算数存在差异的主要原因是养老保险基数变动以及人员增加，导致实际缴纳费用增加。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6.卫生健康支出（类）行政事业单位医疗（款）事业单位医疗（项）</w:t>
      </w:r>
      <w:r>
        <w:rPr>
          <w:rFonts w:ascii="仿宋" w:eastAsia="仿宋" w:hAnsi="仿宋" w:cs="仿宋" w:hint="default"/>
          <w:kern w:val="2"/>
          <w:sz w:val="32"/>
          <w:szCs w:val="32"/>
          <w:lang w:val="en-US" w:eastAsia="zh-CN"/>
        </w:rPr>
        <w:t xml:space="preserve">年初预算数为3.54万元，决算数4.01万元,完成年初预算的113.28%，决算数与年初预算数存在差异的主要原因是医疗保险基数变动以及人员增加，导致实际缴纳费用增加。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年初预算数为6.75万元，决算数6.75万元,完成年初预算的100.00%，决算数与年初预算数不存在差异。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143.30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其中：人员经费132.47万元，主要包括：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公用经费10.84万元，主要包括：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0.00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143.30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设立完善的整体及项目绩效目标，并积极制定相关的制度，组织相关培训，保证绩效管理工作顺利进行。绩效管理中期严格进行绩效监控工作，监督控制绩效管理工作合理合规的开展，年度终了积极开展绩效自评工作，对全年绩效监控工作做出合理中肯的评价，根据自评结果，预算执行情况、目标完成情况、总结存在的问题及原因，进一步完善今后的绩效管理工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b722b45a-1094-4ca7-8dd9-0749700795a6"/>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97"/>
        <w:gridCol w:w="974"/>
        <w:gridCol w:w="711"/>
        <w:gridCol w:w="594"/>
        <w:gridCol w:w="1598"/>
        <w:gridCol w:w="1025"/>
        <w:gridCol w:w="1299"/>
        <w:gridCol w:w="588"/>
        <w:gridCol w:w="545"/>
        <w:gridCol w:w="699"/>
        <w:gridCol w:w="711"/>
        <w:gridCol w:w="1141"/>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许昌市社会治安综合管理中心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122.6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143.3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143.3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122.6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143.3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143.3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一、始终保持政治定力，确保政法工作沿着正确方向前进。坚持党对政法工作的绝对领导，坚持中国特色社会主义法治道路，坚持以人民为中心的发展思想。</w:t>
            </w:r>
            <w:r>
              <w:rPr/>
              <w:br/>
            </w:r>
            <w:r>
              <w:rPr>
                <w:rFonts w:ascii="宋体" w:eastAsia="宋体" w:hAnsi="宋体" w:cs="宋体"/>
                <w:i w:val="0"/>
                <w:iCs w:val="0"/>
                <w:color w:val="000000"/>
                <w:kern w:val="0"/>
                <w:sz w:val="18"/>
                <w:szCs w:val="18"/>
                <w:u w:val="none"/>
                <w:bdr w:val="none" w:sz="0" w:space="0" w:color="auto"/>
                <w:lang w:val="en-US" w:eastAsia="zh-CN"/>
              </w:rPr>
              <w:t xml:space="preserve">二、始终忠诚履职尽责，扎实做好维护国家安全和社会稳定工作。</w:t>
            </w:r>
            <w:r>
              <w:rPr/>
              <w:br/>
            </w:r>
            <w:r>
              <w:rPr>
                <w:rFonts w:ascii="宋体" w:eastAsia="宋体" w:hAnsi="宋体" w:cs="宋体"/>
                <w:i w:val="0"/>
                <w:iCs w:val="0"/>
                <w:color w:val="000000"/>
                <w:kern w:val="0"/>
                <w:sz w:val="18"/>
                <w:szCs w:val="18"/>
                <w:u w:val="none"/>
                <w:bdr w:val="none" w:sz="0" w:space="0" w:color="auto"/>
                <w:lang w:val="en-US" w:eastAsia="zh-CN"/>
              </w:rPr>
              <w:t xml:space="preserve">三、始终坚定深化改革，努力提高护航振兴发展的能力水平。</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一、始终保持政治定力，确保政法工作沿着正确方向前进。坚持党对政法工作的绝对领导，坚持中国特色社会主义法治道路，坚持以人民为中心的发展思想。</w:t>
            </w:r>
            <w:r>
              <w:rPr/>
              <w:br/>
            </w:r>
            <w:r>
              <w:rPr>
                <w:rFonts w:ascii="宋体" w:eastAsia="宋体" w:hAnsi="宋体" w:cs="宋体"/>
                <w:i w:val="0"/>
                <w:iCs w:val="0"/>
                <w:color w:val="000000"/>
                <w:kern w:val="0"/>
                <w:sz w:val="18"/>
                <w:szCs w:val="18"/>
                <w:u w:val="none"/>
                <w:bdr w:val="none" w:sz="0" w:space="0" w:color="auto"/>
                <w:lang w:val="en-US" w:eastAsia="zh-CN"/>
              </w:rPr>
              <w:t xml:space="preserve">二、始终忠诚履职尽责，扎实做好维护国家安全和社会稳定工作。</w:t>
            </w:r>
            <w:r>
              <w:rPr/>
              <w:br/>
            </w:r>
            <w:r>
              <w:rPr>
                <w:rFonts w:ascii="宋体" w:eastAsia="宋体" w:hAnsi="宋体" w:cs="宋体"/>
                <w:i w:val="0"/>
                <w:iCs w:val="0"/>
                <w:color w:val="000000"/>
                <w:kern w:val="0"/>
                <w:sz w:val="18"/>
                <w:szCs w:val="18"/>
                <w:u w:val="none"/>
                <w:bdr w:val="none" w:sz="0" w:space="0" w:color="auto"/>
                <w:lang w:val="en-US" w:eastAsia="zh-CN"/>
              </w:rPr>
              <w:t xml:space="preserve">三、始终坚定深化改革，努力提高护航振兴发展的能力水平。</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平安建设专项活动</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保证社会治安综合治理和平安建设基础建设，营造稳定的社会环境。大力推进社会治安防控体系建设，不断提高人民群众的安全感和满意度。</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保证社会治安综合治理和平安建设基础建设，营造稳定的社会环境。大力推进社会治安防控体系建设,确保社会治安大局持续稳定。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平安建设专项工作完成度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维护社会大局稳定</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平安建设社会效益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27446518-e75c-433e-a432-d277627bf69a"/>
              <w:rPr>
                <w:rFonts w:ascii="宋体" w:eastAsia="宋体" w:hAnsi="宋体" w:cs="宋体" w:hint="eastAsia"/>
                <w:i w:val="0"/>
                <w:iCs w:val="0"/>
                <w:color w:val="000000"/>
                <w:sz w:val="18"/>
                <w:szCs w:val="18"/>
                <w:u w:val="none"/>
              </w:rPr>
            </w:pPr>
          </w:p>
        </w:tc>
      </w:tr>
    </w:tbl>
    <w:p>
      <w:pPr>
        <w:pStyle w:val="Normal_27446518-e75c-433e-a432-d277627bf69a"/>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2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27446518-e75c-433e-a432-d277627bf69a">
    <w:name w:val="Normal_27446518-e75c-433e-a432-d277627bf69a"/>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b722b45a-1094-4ca7-8dd9-0749700795a6">
    <w:name w:val="Normal Table_b722b45a-1094-4ca7-8dd9-0749700795a6"/>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