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许昌市物业管理中心单位决算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许昌市物业管理中心概况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许昌市物业管理中心概况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（一）为维护误以为行业秩序提供保障；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（二）中心城区房屋专项维修资金交存、管理、使用；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（三）全市物业服务企业信用信息管理；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（四）小区精细化管理工作指导。</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许昌市物业管理中心内设机构4个,包括：综合办公室、维修资金管理科、维修工程管理科、企业管理科。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从决算单位构成看，许昌市物业管理中心单位决算包括：本级决算（1个）。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1.许昌市物业管理中心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137.54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0.63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3.81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118.21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7.18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137.54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137.54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137.54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137.54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137.54</w:t>
            </w:r>
          </w:p>
        </w:tc>
        <w:tc>
          <w:tcPr>
            <w:tcW w:w="1440" w:type="dxa"/>
            <w:vAlign w:val="center"/>
          </w:tcPr>
          <w:p>
            <w:pPr>
              <w:jc w:val="right"/>
            </w:pPr>
            <w:r>
              <w:rPr>
                <w:rFonts w:ascii="宋体" w:hAnsi="宋体" w:eastAsia="宋体" w:cs="宋体"/>
                <w:b/>
                <w:i w:val="0"/>
                <w:color w:val="000000"/>
                <w:sz w:val="17"/>
              </w:rPr>
              <w:t>137.54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7.71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3.81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2120199</w:t>
            </w:r>
          </w:p>
        </w:tc>
        <w:tc>
          <w:tcPr>
            <w:tcW w:w="3140" w:type="dxa"/>
            <w:vAlign w:val="center"/>
          </w:tcPr>
          <w:p>
            <w:pPr>
              <w:jc w:val="left"/>
            </w:pPr>
            <w:r>
              <w:rPr>
                <w:rFonts w:ascii="宋体" w:hAnsi="宋体" w:eastAsia="宋体" w:cs="宋体"/>
                <w:b w:val="0"/>
                <w:i w:val="0"/>
                <w:color w:val="000000"/>
                <w:sz w:val="17"/>
              </w:rPr>
              <w:t>其他城乡社区管理事务支出</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118.21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7.18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137.54</w:t>
            </w:r>
          </w:p>
        </w:tc>
        <w:tc>
          <w:tcPr>
            <w:tcW w:w="1600" w:type="dxa"/>
            <w:vAlign w:val="center"/>
          </w:tcPr>
          <w:p>
            <w:pPr>
              <w:jc w:val="right"/>
            </w:pPr>
            <w:r>
              <w:rPr>
                <w:rFonts w:ascii="宋体" w:hAnsi="宋体" w:eastAsia="宋体" w:cs="宋体"/>
                <w:b/>
                <w:i w:val="0"/>
                <w:color w:val="000000"/>
                <w:sz w:val="19"/>
              </w:rPr>
              <w:t>124.55</w:t>
            </w:r>
          </w:p>
        </w:tc>
        <w:tc>
          <w:tcPr>
            <w:tcW w:w="1600" w:type="dxa"/>
            <w:vAlign w:val="center"/>
          </w:tcPr>
          <w:p>
            <w:pPr>
              <w:jc w:val="right"/>
            </w:pPr>
            <w:r>
              <w:rPr>
                <w:rFonts w:ascii="宋体" w:hAnsi="宋体" w:eastAsia="宋体" w:cs="宋体"/>
                <w:b/>
                <w:i w:val="0"/>
                <w:color w:val="000000"/>
                <w:sz w:val="19"/>
              </w:rPr>
              <w:t>12.99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7.71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3.81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118.21</w:t>
            </w:r>
          </w:p>
        </w:tc>
        <w:tc>
          <w:tcPr>
            <w:tcW w:w="1600" w:type="dxa"/>
            <w:vAlign w:val="center"/>
          </w:tcPr>
          <w:p>
            <w:pPr>
              <w:jc w:val="right"/>
            </w:pPr>
            <w:r>
              <w:rPr>
                <w:rFonts w:ascii="宋体" w:hAnsi="宋体" w:eastAsia="宋体" w:cs="宋体"/>
                <w:b w:val="0"/>
                <w:i w:val="0"/>
                <w:color w:val="000000"/>
                <w:sz w:val="19"/>
              </w:rPr>
              <w:t>105.22</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118.21</w:t>
            </w:r>
          </w:p>
        </w:tc>
        <w:tc>
          <w:tcPr>
            <w:tcW w:w="1600" w:type="dxa"/>
            <w:vAlign w:val="center"/>
          </w:tcPr>
          <w:p>
            <w:pPr>
              <w:jc w:val="right"/>
            </w:pPr>
            <w:r>
              <w:rPr>
                <w:rFonts w:ascii="宋体" w:hAnsi="宋体" w:eastAsia="宋体" w:cs="宋体"/>
                <w:b w:val="0"/>
                <w:i w:val="0"/>
                <w:color w:val="000000"/>
                <w:sz w:val="19"/>
              </w:rPr>
              <w:t>105.22</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2120199</w:t>
            </w:r>
          </w:p>
        </w:tc>
        <w:tc>
          <w:tcPr>
            <w:tcW w:w="3480" w:type="dxa"/>
            <w:vAlign w:val="center"/>
          </w:tcPr>
          <w:p>
            <w:pPr>
              <w:jc w:val="left"/>
            </w:pPr>
            <w:r>
              <w:rPr>
                <w:rFonts w:ascii="宋体" w:hAnsi="宋体" w:eastAsia="宋体" w:cs="宋体"/>
                <w:b w:val="0"/>
                <w:i w:val="0"/>
                <w:color w:val="000000"/>
                <w:sz w:val="19"/>
              </w:rPr>
              <w:t>其他城乡社区管理事务支出</w:t>
            </w:r>
          </w:p>
        </w:tc>
        <w:tc>
          <w:tcPr>
            <w:tcW w:w="1600" w:type="dxa"/>
            <w:vAlign w:val="center"/>
          </w:tcPr>
          <w:p>
            <w:pPr>
              <w:jc w:val="right"/>
            </w:pPr>
            <w:r>
              <w:rPr>
                <w:rFonts w:ascii="宋体" w:hAnsi="宋体" w:eastAsia="宋体" w:cs="宋体"/>
                <w:b w:val="0"/>
                <w:i w:val="0"/>
                <w:color w:val="000000"/>
                <w:sz w:val="19"/>
              </w:rPr>
              <w:t>118.21</w:t>
            </w:r>
          </w:p>
        </w:tc>
        <w:tc>
          <w:tcPr>
            <w:tcW w:w="1600" w:type="dxa"/>
            <w:vAlign w:val="center"/>
          </w:tcPr>
          <w:p>
            <w:pPr>
              <w:jc w:val="right"/>
            </w:pPr>
            <w:r>
              <w:rPr>
                <w:rFonts w:ascii="宋体" w:hAnsi="宋体" w:eastAsia="宋体" w:cs="宋体"/>
                <w:b w:val="0"/>
                <w:i w:val="0"/>
                <w:color w:val="000000"/>
                <w:sz w:val="19"/>
              </w:rPr>
              <w:t>105.22</w:t>
            </w:r>
          </w:p>
        </w:tc>
        <w:tc>
          <w:tcPr>
            <w:tcW w:w="1600" w:type="dxa"/>
            <w:vAlign w:val="center"/>
          </w:tcPr>
          <w:p>
            <w:pPr>
              <w:jc w:val="right"/>
            </w:pPr>
            <w:r>
              <w:rPr>
                <w:rFonts w:ascii="宋体" w:hAnsi="宋体" w:eastAsia="宋体" w:cs="宋体"/>
                <w:b w:val="0"/>
                <w:i w:val="0"/>
                <w:color w:val="000000"/>
                <w:sz w:val="19"/>
              </w:rPr>
              <w:t>12.99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7.18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137.54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0.63</w:t>
            </w:r>
          </w:p>
        </w:tc>
        <w:tc>
          <w:tcPr>
            <w:tcW w:w="1420" w:type="dxa"/>
            <w:vAlign w:val="center"/>
          </w:tcPr>
          <w:p>
            <w:pPr>
              <w:jc w:val="right"/>
            </w:pPr>
            <w:r>
              <w:rPr>
                <w:rFonts w:ascii="宋体" w:hAnsi="宋体" w:eastAsia="宋体" w:cs="宋体"/>
                <w:b w:val="0"/>
                <w:i w:val="0"/>
                <w:color w:val="000000"/>
                <w:sz w:val="18"/>
              </w:rPr>
              <w:t>0.63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7.71</w:t>
            </w:r>
          </w:p>
        </w:tc>
        <w:tc>
          <w:tcPr>
            <w:tcW w:w="1420" w:type="dxa"/>
            <w:vAlign w:val="center"/>
          </w:tcPr>
          <w:p>
            <w:pPr>
              <w:jc w:val="right"/>
            </w:pPr>
            <w:r>
              <w:rPr>
                <w:rFonts w:ascii="宋体" w:hAnsi="宋体" w:eastAsia="宋体" w:cs="宋体"/>
                <w:b w:val="0"/>
                <w:i w:val="0"/>
                <w:color w:val="000000"/>
                <w:sz w:val="18"/>
              </w:rPr>
              <w:t>7.71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3.81</w:t>
            </w:r>
          </w:p>
        </w:tc>
        <w:tc>
          <w:tcPr>
            <w:tcW w:w="1420" w:type="dxa"/>
            <w:vAlign w:val="center"/>
          </w:tcPr>
          <w:p>
            <w:pPr>
              <w:jc w:val="right"/>
            </w:pPr>
            <w:r>
              <w:rPr>
                <w:rFonts w:ascii="宋体" w:hAnsi="宋体" w:eastAsia="宋体" w:cs="宋体"/>
                <w:b w:val="0"/>
                <w:i w:val="0"/>
                <w:color w:val="000000"/>
                <w:sz w:val="18"/>
              </w:rPr>
              <w:t>3.81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118.21</w:t>
            </w:r>
          </w:p>
        </w:tc>
        <w:tc>
          <w:tcPr>
            <w:tcW w:w="1420" w:type="dxa"/>
            <w:vAlign w:val="center"/>
          </w:tcPr>
          <w:p>
            <w:pPr>
              <w:jc w:val="right"/>
            </w:pPr>
            <w:r>
              <w:rPr>
                <w:rFonts w:ascii="宋体" w:hAnsi="宋体" w:eastAsia="宋体" w:cs="宋体"/>
                <w:b w:val="0"/>
                <w:i w:val="0"/>
                <w:color w:val="000000"/>
                <w:sz w:val="18"/>
              </w:rPr>
              <w:t>118.21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7.18</w:t>
            </w:r>
          </w:p>
        </w:tc>
        <w:tc>
          <w:tcPr>
            <w:tcW w:w="1420" w:type="dxa"/>
            <w:vAlign w:val="center"/>
          </w:tcPr>
          <w:p>
            <w:pPr>
              <w:jc w:val="right"/>
            </w:pPr>
            <w:r>
              <w:rPr>
                <w:rFonts w:ascii="宋体" w:hAnsi="宋体" w:eastAsia="宋体" w:cs="宋体"/>
                <w:b w:val="0"/>
                <w:i w:val="0"/>
                <w:color w:val="000000"/>
                <w:sz w:val="18"/>
              </w:rPr>
              <w:t>7.18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137.54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137.54</w:t>
            </w:r>
          </w:p>
        </w:tc>
        <w:tc>
          <w:tcPr>
            <w:tcW w:w="1420" w:type="dxa"/>
            <w:vAlign w:val="center"/>
          </w:tcPr>
          <w:p>
            <w:pPr>
              <w:jc w:val="right"/>
            </w:pPr>
            <w:r>
              <w:rPr>
                <w:rFonts w:ascii="宋体" w:hAnsi="宋体" w:eastAsia="宋体" w:cs="宋体"/>
                <w:b w:val="0"/>
                <w:i w:val="0"/>
                <w:color w:val="000000"/>
                <w:sz w:val="18"/>
              </w:rPr>
              <w:t>137.54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137.54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137.54</w:t>
            </w:r>
          </w:p>
        </w:tc>
        <w:tc>
          <w:tcPr>
            <w:tcW w:w="1420" w:type="dxa"/>
            <w:vAlign w:val="center"/>
          </w:tcPr>
          <w:p>
            <w:pPr>
              <w:jc w:val="right"/>
            </w:pPr>
            <w:r>
              <w:rPr>
                <w:rFonts w:ascii="宋体" w:hAnsi="宋体" w:eastAsia="宋体" w:cs="宋体"/>
                <w:b w:val="0"/>
                <w:i w:val="0"/>
                <w:color w:val="000000"/>
                <w:sz w:val="18"/>
              </w:rPr>
              <w:t>137.54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137.54</w:t>
            </w:r>
          </w:p>
        </w:tc>
        <w:tc>
          <w:tcPr>
            <w:tcW w:w="2700" w:type="dxa"/>
            <w:vAlign w:val="center"/>
          </w:tcPr>
          <w:p>
            <w:pPr>
              <w:jc w:val="right"/>
            </w:pPr>
            <w:r>
              <w:rPr>
                <w:rFonts w:ascii="宋体" w:hAnsi="宋体" w:eastAsia="宋体" w:cs="宋体"/>
                <w:b/>
                <w:i w:val="0"/>
                <w:color w:val="000000"/>
                <w:sz w:val="25"/>
              </w:rPr>
              <w:t>124.55</w:t>
            </w:r>
          </w:p>
        </w:tc>
        <w:tc>
          <w:tcPr>
            <w:tcW w:w="2658" w:type="dxa"/>
            <w:vAlign w:val="center"/>
          </w:tcPr>
          <w:p>
            <w:pPr>
              <w:jc w:val="right"/>
            </w:pPr>
            <w:r>
              <w:rPr>
                <w:rFonts w:ascii="宋体" w:hAnsi="宋体" w:eastAsia="宋体" w:cs="宋体"/>
                <w:b/>
                <w:i w:val="0"/>
                <w:color w:val="000000"/>
                <w:sz w:val="25"/>
              </w:rPr>
              <w:t>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0.63</w:t>
            </w:r>
          </w:p>
        </w:tc>
        <w:tc>
          <w:tcPr>
            <w:tcW w:w="2700" w:type="dxa"/>
            <w:vAlign w:val="center"/>
          </w:tcPr>
          <w:p>
            <w:pPr>
              <w:jc w:val="right"/>
            </w:pPr>
            <w:r>
              <w:rPr>
                <w:rFonts w:ascii="宋体" w:hAnsi="宋体" w:eastAsia="宋体" w:cs="宋体"/>
                <w:b w:val="0"/>
                <w:i w:val="0"/>
                <w:color w:val="000000"/>
                <w:sz w:val="25"/>
              </w:rPr>
              <w:t>0.63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0.63</w:t>
            </w:r>
          </w:p>
        </w:tc>
        <w:tc>
          <w:tcPr>
            <w:tcW w:w="2700" w:type="dxa"/>
            <w:vAlign w:val="center"/>
          </w:tcPr>
          <w:p>
            <w:pPr>
              <w:jc w:val="right"/>
            </w:pPr>
            <w:r>
              <w:rPr>
                <w:rFonts w:ascii="宋体" w:hAnsi="宋体" w:eastAsia="宋体" w:cs="宋体"/>
                <w:b w:val="0"/>
                <w:i w:val="0"/>
                <w:color w:val="000000"/>
                <w:sz w:val="25"/>
              </w:rPr>
              <w:t>0.63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0.63</w:t>
            </w:r>
          </w:p>
        </w:tc>
        <w:tc>
          <w:tcPr>
            <w:tcW w:w="2700" w:type="dxa"/>
            <w:vAlign w:val="center"/>
          </w:tcPr>
          <w:p>
            <w:pPr>
              <w:jc w:val="right"/>
            </w:pPr>
            <w:r>
              <w:rPr>
                <w:rFonts w:ascii="宋体" w:hAnsi="宋体" w:eastAsia="宋体" w:cs="宋体"/>
                <w:b w:val="0"/>
                <w:i w:val="0"/>
                <w:color w:val="000000"/>
                <w:sz w:val="25"/>
              </w:rPr>
              <w:t>0.63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7.71</w:t>
            </w:r>
          </w:p>
        </w:tc>
        <w:tc>
          <w:tcPr>
            <w:tcW w:w="2700" w:type="dxa"/>
            <w:vAlign w:val="center"/>
          </w:tcPr>
          <w:p>
            <w:pPr>
              <w:jc w:val="right"/>
            </w:pPr>
            <w:r>
              <w:rPr>
                <w:rFonts w:ascii="宋体" w:hAnsi="宋体" w:eastAsia="宋体" w:cs="宋体"/>
                <w:b w:val="0"/>
                <w:i w:val="0"/>
                <w:color w:val="000000"/>
                <w:sz w:val="25"/>
              </w:rPr>
              <w:t>7.71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7.71</w:t>
            </w:r>
          </w:p>
        </w:tc>
        <w:tc>
          <w:tcPr>
            <w:tcW w:w="2700" w:type="dxa"/>
            <w:vAlign w:val="center"/>
          </w:tcPr>
          <w:p>
            <w:pPr>
              <w:jc w:val="right"/>
            </w:pPr>
            <w:r>
              <w:rPr>
                <w:rFonts w:ascii="宋体" w:hAnsi="宋体" w:eastAsia="宋体" w:cs="宋体"/>
                <w:b w:val="0"/>
                <w:i w:val="0"/>
                <w:color w:val="000000"/>
                <w:sz w:val="25"/>
              </w:rPr>
              <w:t>7.71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7.71</w:t>
            </w:r>
          </w:p>
        </w:tc>
        <w:tc>
          <w:tcPr>
            <w:tcW w:w="2700" w:type="dxa"/>
            <w:vAlign w:val="center"/>
          </w:tcPr>
          <w:p>
            <w:pPr>
              <w:jc w:val="right"/>
            </w:pPr>
            <w:r>
              <w:rPr>
                <w:rFonts w:ascii="宋体" w:hAnsi="宋体" w:eastAsia="宋体" w:cs="宋体"/>
                <w:b w:val="0"/>
                <w:i w:val="0"/>
                <w:color w:val="000000"/>
                <w:sz w:val="25"/>
              </w:rPr>
              <w:t>7.71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3.81</w:t>
            </w:r>
          </w:p>
        </w:tc>
        <w:tc>
          <w:tcPr>
            <w:tcW w:w="2700" w:type="dxa"/>
            <w:vAlign w:val="center"/>
          </w:tcPr>
          <w:p>
            <w:pPr>
              <w:jc w:val="right"/>
            </w:pPr>
            <w:r>
              <w:rPr>
                <w:rFonts w:ascii="宋体" w:hAnsi="宋体" w:eastAsia="宋体" w:cs="宋体"/>
                <w:b w:val="0"/>
                <w:i w:val="0"/>
                <w:color w:val="000000"/>
                <w:sz w:val="25"/>
              </w:rPr>
              <w:t>3.81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3.81</w:t>
            </w:r>
          </w:p>
        </w:tc>
        <w:tc>
          <w:tcPr>
            <w:tcW w:w="2700" w:type="dxa"/>
            <w:vAlign w:val="center"/>
          </w:tcPr>
          <w:p>
            <w:pPr>
              <w:jc w:val="right"/>
            </w:pPr>
            <w:r>
              <w:rPr>
                <w:rFonts w:ascii="宋体" w:hAnsi="宋体" w:eastAsia="宋体" w:cs="宋体"/>
                <w:b w:val="0"/>
                <w:i w:val="0"/>
                <w:color w:val="000000"/>
                <w:sz w:val="25"/>
              </w:rPr>
              <w:t>3.81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3.81</w:t>
            </w:r>
          </w:p>
        </w:tc>
        <w:tc>
          <w:tcPr>
            <w:tcW w:w="2700" w:type="dxa"/>
            <w:vAlign w:val="center"/>
          </w:tcPr>
          <w:p>
            <w:pPr>
              <w:jc w:val="right"/>
            </w:pPr>
            <w:r>
              <w:rPr>
                <w:rFonts w:ascii="宋体" w:hAnsi="宋体" w:eastAsia="宋体" w:cs="宋体"/>
                <w:b w:val="0"/>
                <w:i w:val="0"/>
                <w:color w:val="000000"/>
                <w:sz w:val="25"/>
              </w:rPr>
              <w:t>3.81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118.21</w:t>
            </w:r>
          </w:p>
        </w:tc>
        <w:tc>
          <w:tcPr>
            <w:tcW w:w="2700" w:type="dxa"/>
            <w:vAlign w:val="center"/>
          </w:tcPr>
          <w:p>
            <w:pPr>
              <w:jc w:val="right"/>
            </w:pPr>
            <w:r>
              <w:rPr>
                <w:rFonts w:ascii="宋体" w:hAnsi="宋体" w:eastAsia="宋体" w:cs="宋体"/>
                <w:b w:val="0"/>
                <w:i w:val="0"/>
                <w:color w:val="000000"/>
                <w:sz w:val="25"/>
              </w:rPr>
              <w:t>105.22</w:t>
            </w:r>
          </w:p>
        </w:tc>
        <w:tc>
          <w:tcPr>
            <w:tcW w:w="2658" w:type="dxa"/>
            <w:vAlign w:val="center"/>
          </w:tcPr>
          <w:p>
            <w:pPr>
              <w:jc w:val="right"/>
            </w:pPr>
            <w:r>
              <w:rPr>
                <w:rFonts w:ascii="宋体" w:hAnsi="宋体" w:eastAsia="宋体" w:cs="宋体"/>
                <w:b w:val="0"/>
                <w:i w:val="0"/>
                <w:color w:val="000000"/>
                <w:sz w:val="25"/>
              </w:rPr>
              <w:t>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118.21</w:t>
            </w:r>
          </w:p>
        </w:tc>
        <w:tc>
          <w:tcPr>
            <w:tcW w:w="2700" w:type="dxa"/>
            <w:vAlign w:val="center"/>
          </w:tcPr>
          <w:p>
            <w:pPr>
              <w:jc w:val="right"/>
            </w:pPr>
            <w:r>
              <w:rPr>
                <w:rFonts w:ascii="宋体" w:hAnsi="宋体" w:eastAsia="宋体" w:cs="宋体"/>
                <w:b w:val="0"/>
                <w:i w:val="0"/>
                <w:color w:val="000000"/>
                <w:sz w:val="25"/>
              </w:rPr>
              <w:t>105.22</w:t>
            </w:r>
          </w:p>
        </w:tc>
        <w:tc>
          <w:tcPr>
            <w:tcW w:w="2658" w:type="dxa"/>
            <w:vAlign w:val="center"/>
          </w:tcPr>
          <w:p>
            <w:pPr>
              <w:jc w:val="right"/>
            </w:pPr>
            <w:r>
              <w:rPr>
                <w:rFonts w:ascii="宋体" w:hAnsi="宋体" w:eastAsia="宋体" w:cs="宋体"/>
                <w:b w:val="0"/>
                <w:i w:val="0"/>
                <w:color w:val="000000"/>
                <w:sz w:val="25"/>
              </w:rPr>
              <w:t>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2120199</w:t>
            </w:r>
          </w:p>
        </w:tc>
        <w:tc>
          <w:tcPr>
            <w:tcW w:w="4700" w:type="dxa"/>
            <w:vAlign w:val="center"/>
          </w:tcPr>
          <w:p>
            <w:pPr>
              <w:jc w:val="left"/>
            </w:pPr>
            <w:r>
              <w:rPr>
                <w:rFonts w:ascii="宋体" w:hAnsi="宋体" w:eastAsia="宋体" w:cs="宋体"/>
                <w:b w:val="0"/>
                <w:i w:val="0"/>
                <w:color w:val="000000"/>
                <w:sz w:val="25"/>
              </w:rPr>
              <w:t>其他城乡社区管理事务支出</w:t>
            </w:r>
          </w:p>
        </w:tc>
        <w:tc>
          <w:tcPr>
            <w:tcW w:w="2700" w:type="dxa"/>
            <w:vAlign w:val="center"/>
          </w:tcPr>
          <w:p>
            <w:pPr>
              <w:jc w:val="right"/>
            </w:pPr>
            <w:r>
              <w:rPr>
                <w:rFonts w:ascii="宋体" w:hAnsi="宋体" w:eastAsia="宋体" w:cs="宋体"/>
                <w:b w:val="0"/>
                <w:i w:val="0"/>
                <w:color w:val="000000"/>
                <w:sz w:val="25"/>
              </w:rPr>
              <w:t>118.21</w:t>
            </w:r>
          </w:p>
        </w:tc>
        <w:tc>
          <w:tcPr>
            <w:tcW w:w="2700" w:type="dxa"/>
            <w:vAlign w:val="center"/>
          </w:tcPr>
          <w:p>
            <w:pPr>
              <w:jc w:val="right"/>
            </w:pPr>
            <w:r>
              <w:rPr>
                <w:rFonts w:ascii="宋体" w:hAnsi="宋体" w:eastAsia="宋体" w:cs="宋体"/>
                <w:b w:val="0"/>
                <w:i w:val="0"/>
                <w:color w:val="000000"/>
                <w:sz w:val="25"/>
              </w:rPr>
              <w:t>105.22</w:t>
            </w:r>
          </w:p>
        </w:tc>
        <w:tc>
          <w:tcPr>
            <w:tcW w:w="2658" w:type="dxa"/>
            <w:vAlign w:val="center"/>
          </w:tcPr>
          <w:p>
            <w:pPr>
              <w:jc w:val="right"/>
            </w:pPr>
            <w:r>
              <w:rPr>
                <w:rFonts w:ascii="宋体" w:hAnsi="宋体" w:eastAsia="宋体" w:cs="宋体"/>
                <w:b w:val="0"/>
                <w:i w:val="0"/>
                <w:color w:val="000000"/>
                <w:sz w:val="25"/>
              </w:rPr>
              <w:t>12.99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7.18</w:t>
            </w:r>
          </w:p>
        </w:tc>
        <w:tc>
          <w:tcPr>
            <w:tcW w:w="2700" w:type="dxa"/>
            <w:vAlign w:val="center"/>
          </w:tcPr>
          <w:p>
            <w:pPr>
              <w:jc w:val="right"/>
            </w:pPr>
            <w:r>
              <w:rPr>
                <w:rFonts w:ascii="宋体" w:hAnsi="宋体" w:eastAsia="宋体" w:cs="宋体"/>
                <w:b w:val="0"/>
                <w:i w:val="0"/>
                <w:color w:val="000000"/>
                <w:sz w:val="25"/>
              </w:rPr>
              <w:t>7.18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7.18</w:t>
            </w:r>
          </w:p>
        </w:tc>
        <w:tc>
          <w:tcPr>
            <w:tcW w:w="2700" w:type="dxa"/>
            <w:vAlign w:val="center"/>
          </w:tcPr>
          <w:p>
            <w:pPr>
              <w:jc w:val="right"/>
            </w:pPr>
            <w:r>
              <w:rPr>
                <w:rFonts w:ascii="宋体" w:hAnsi="宋体" w:eastAsia="宋体" w:cs="宋体"/>
                <w:b w:val="0"/>
                <w:i w:val="0"/>
                <w:color w:val="000000"/>
                <w:sz w:val="25"/>
              </w:rPr>
              <w:t>7.18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7.18</w:t>
            </w:r>
          </w:p>
        </w:tc>
        <w:tc>
          <w:tcPr>
            <w:tcW w:w="2700" w:type="dxa"/>
            <w:vAlign w:val="center"/>
          </w:tcPr>
          <w:p>
            <w:pPr>
              <w:jc w:val="right"/>
            </w:pPr>
            <w:r>
              <w:rPr>
                <w:rFonts w:ascii="宋体" w:hAnsi="宋体" w:eastAsia="宋体" w:cs="宋体"/>
                <w:b w:val="0"/>
                <w:i w:val="0"/>
                <w:color w:val="000000"/>
                <w:sz w:val="25"/>
              </w:rPr>
              <w:t>7.18</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118.03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6.52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34.58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2.79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17.40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0.48</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30.42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16.47</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7.94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0.35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3.62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7.18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0.77</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118.03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6.52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单位：许昌市物业管理中心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2023年度收、支总计均为137.54万元。与上年度相比，收、支总计各增加6.92万元，增长5.30%。主要原因是一方面单位按规定程序调整人员经费；另一方面2023年10月单位新考录进人员一名，追加人员经费。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137.54万元，其中：财政拨款收入137.54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2023年度支出合计137.54万元，其中：基本支出124.55万元，占90.56%；项目支出12.99万元，占9.44%；上缴上级支出0.00万元，占0.00%；经营支出0.00万元，占0.00%；对附属单位补助支出0.00万元，占0.00%。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137.54万元。与上年度相比，财政拨款收、支总计各增加6.92万元，增长5.30%。主要原因是一方面单位按规定程序调整人员经费；另一方面2023年10月单位新考录进人员一名，追加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137.54万元，占支出合计的100.00%。与上年度相比，一般公共预算财政拨款支出增加6.92万元，增长5.30%。主要原因是一方面单位按规定程序调整人员经费；另一方面2023年10月单位新考录进人员一名，追加人员经费。</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137.54万元，主要用于以下方面：一般公共服务支出（类）0.63万元，占0.46%；社会保障和就业支出（类）7.71万元，占5.61%；卫生健康支出（类）3.81万元，占2.77%；城乡社区支出（类）118.21万元，占85.95%；住房保障支出（类）7.18万元，占5.22%。</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2023年度一般公共预算财政拨款支出年初预算为136.20万元，支出决算为137.54万元，完成年初预算的100.98%。其中：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年初预算数为0.63万元，决算数0.63万元,完成年初预算的100.00%，决算数与年初预算数不存在差异。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年初预算数为7.54万元，决算数7.71万元,完成年初预算的102.25%，决算数与年初预算数存在差异的主要原因是2023年10月单位新考录进人员一名，追加基本养老保险缴费。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3.卫生健康支出（类）行政事业单位医疗（款）事业单位医疗（项）</w:t>
      </w:r>
      <w:r>
        <w:rPr>
          <w:rFonts w:hint="default" w:ascii="仿宋" w:hAnsi="仿宋" w:eastAsia="仿宋" w:cs="仿宋"/>
          <w:kern w:val="2"/>
          <w:sz w:val="32"/>
          <w:szCs w:val="32"/>
          <w:lang w:val="en-US" w:eastAsia="zh-CN"/>
        </w:rPr>
        <w:t>年初预算数为3.71万元，决算数3.81万元,完成年初预算的102.70%，决算数与年初预算数存在差异的主要原因是2023年10月单位新考录进人员一名，追加医疗保险缴费。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4.城乡社区支出（类）城乡社区管理事务（款）其他城乡社区管理事务支出（项）</w:t>
      </w:r>
      <w:r>
        <w:rPr>
          <w:rFonts w:hint="default" w:ascii="仿宋" w:hAnsi="仿宋" w:eastAsia="仿宋" w:cs="仿宋"/>
          <w:kern w:val="2"/>
          <w:sz w:val="32"/>
          <w:szCs w:val="32"/>
          <w:lang w:val="en-US" w:eastAsia="zh-CN"/>
        </w:rPr>
        <w:t>年初预算数为117.24万元，决算数118.21万元,完成年初预算的100.83%，决算数与年初预算数存在差异的主要原因是单位按照规定程序调整人员经费。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年初预算数为7.07万元，决算数7.18万元,完成年初预算的101.56%，决算数与年初预算数存在差异的主要原因是2023年10月单位新考录进人员一名，追加住房公积金缴费。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124.55万元。其中：人员经费118.03万元，主要包括：基本工资、津贴补贴、奖金、绩效工资、机关事业单位基本养老保险缴费、职工基本医疗保险缴费、其他社会保障缴费、住房公积金。公用经费6.52万元，主要包括：办公费、印刷费、邮电费、差旅费、维修（护）费、培训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137.54万元。自评得分为100分，等级为“优”。从单位整体自评情况来看，年初单位结合工作实际和主要任务，对照绩效指标，在履职效能、管理效率、运行成本、服务满意度、可持续性方面根据具体目标，进行合理、合规分析制定了单位整体预算绩效目标，一年来单位严格按照预算管理要求，按照单位实际工作需要做好预算管理及执行。年末，单位整体支出绩效目标实现较好，实现度达95%以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基于项目预期目标的实现程度，我单位对2023年度单位预算项目支出（含单位参与分配的转移支付项目）开展绩效自评，涉及项目1个，项目金额12.99万元。其中：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房屋专项维修资金管理工作经费，自评得分为99.99分，等级为“优”。我单位年初制定的项目总体工作目标均已完成，项目实施到位，资金使用规范合理，无挪用占用现象发生，绩效目标均已完成。基于单位本年所制定的项目绩效目标表，今后将在此基础上不断完善指标设置，更加科学的贴合项目本身。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从项目绩效自评情况来看，本年单位项目实施情况良好，达到预期目标，今后将结合单位工作实际进一步完善项目预算绩效指标，使评价指标更贴合项目本身，夯实绩效评价工作基础。</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323"/>
        <w:gridCol w:w="323"/>
        <w:gridCol w:w="1076"/>
        <w:gridCol w:w="1481"/>
        <w:gridCol w:w="705"/>
        <w:gridCol w:w="2641"/>
        <w:gridCol w:w="1135"/>
        <w:gridCol w:w="407"/>
        <w:gridCol w:w="884"/>
        <w:gridCol w:w="932"/>
      </w:tblGrid>
      <w:tr>
        <w:tblPrEx>
          <w:tblCellMar>
            <w:top w:w="0" w:type="dxa"/>
            <w:left w:w="20" w:type="dxa"/>
            <w:bottom w:w="0" w:type="dxa"/>
            <w:right w:w="20" w:type="dxa"/>
          </w:tblCellMar>
        </w:tblPrEx>
        <w:trPr>
          <w:trHeight w:val="479" w:hRule="exact"/>
          <w:jc w:val="center"/>
        </w:trPr>
        <w:tc>
          <w:tcPr>
            <w:tcW w:w="9907" w:type="dxa"/>
            <w:gridSpan w:val="10"/>
            <w:shd w:val="clear" w:color="auto" w:fill="auto"/>
            <w:vAlign w:val="center"/>
          </w:tcPr>
          <w:p>
            <w:pPr>
              <w:snapToGrid w:val="0"/>
              <w:spacing w:before="0" w:beforeAutospacing="0" w:after="0" w:afterAutospacing="0" w:line="240" w:lineRule="auto"/>
              <w:jc w:val="center"/>
            </w:pPr>
            <w:r>
              <w:rPr>
                <w:rFonts w:ascii="Calibri" w:hAnsi="Calibri" w:eastAsia="Calibri" w:cs="Calibri"/>
                <w:b/>
                <w:i w:val="0"/>
                <w:color w:val="000000"/>
                <w:sz w:val="19"/>
              </w:rPr>
              <w:t>单位整体自评表</w:t>
            </w:r>
          </w:p>
        </w:tc>
      </w:tr>
      <w:tr>
        <w:tblPrEx>
          <w:tblCellMar>
            <w:top w:w="0" w:type="dxa"/>
            <w:left w:w="20" w:type="dxa"/>
            <w:bottom w:w="0" w:type="dxa"/>
            <w:right w:w="20" w:type="dxa"/>
          </w:tblCellMar>
        </w:tblPrEx>
        <w:trPr>
          <w:trHeight w:val="334" w:hRule="exact"/>
          <w:jc w:val="center"/>
        </w:trPr>
        <w:tc>
          <w:tcPr>
            <w:tcW w:w="9907" w:type="dxa"/>
            <w:gridSpan w:val="10"/>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3"/>
              </w:rPr>
              <w:t>（2023 年度）</w:t>
            </w:r>
          </w:p>
        </w:tc>
      </w:tr>
      <w:tr>
        <w:tblPrEx>
          <w:tblCellMar>
            <w:top w:w="0" w:type="dxa"/>
            <w:left w:w="20" w:type="dxa"/>
            <w:bottom w:w="0" w:type="dxa"/>
            <w:right w:w="20" w:type="dxa"/>
          </w:tblCellMar>
        </w:tblPrEx>
        <w:trPr>
          <w:trHeight w:val="145" w:hRule="exact"/>
          <w:jc w:val="center"/>
        </w:trPr>
        <w:tc>
          <w:tcPr>
            <w:tcW w:w="17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单位名称</w:t>
            </w:r>
          </w:p>
        </w:tc>
        <w:tc>
          <w:tcPr>
            <w:tcW w:w="81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许昌市物业管理中心</w:t>
            </w:r>
          </w:p>
        </w:tc>
      </w:tr>
      <w:tr>
        <w:tblPrEx>
          <w:tblCellMar>
            <w:top w:w="0" w:type="dxa"/>
            <w:left w:w="20" w:type="dxa"/>
            <w:bottom w:w="0" w:type="dxa"/>
            <w:right w:w="20" w:type="dxa"/>
          </w:tblCellMar>
        </w:tblPrEx>
        <w:trPr>
          <w:trHeight w:val="145" w:hRule="exact"/>
          <w:jc w:val="center"/>
        </w:trPr>
        <w:tc>
          <w:tcPr>
            <w:tcW w:w="17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1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82" w:hRule="exact"/>
          <w:jc w:val="center"/>
        </w:trPr>
        <w:tc>
          <w:tcPr>
            <w:tcW w:w="646"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预算</w:t>
            </w:r>
          </w:p>
          <w:p>
            <w:pPr>
              <w:snapToGrid w:val="0"/>
              <w:spacing w:before="0" w:beforeAutospacing="0" w:after="0" w:afterAutospacing="0" w:line="240" w:lineRule="auto"/>
              <w:jc w:val="center"/>
            </w:pPr>
            <w:r>
              <w:rPr>
                <w:rFonts w:ascii="Calibri" w:hAnsi="Calibri" w:eastAsia="Calibri" w:cs="Calibri"/>
                <w:b w:val="0"/>
                <w:i w:val="0"/>
                <w:color w:val="000000"/>
                <w:sz w:val="11"/>
              </w:rPr>
              <w:t>执行</w:t>
            </w:r>
          </w:p>
          <w:p>
            <w:pPr>
              <w:snapToGrid w:val="0"/>
              <w:spacing w:before="0" w:beforeAutospacing="0" w:after="0" w:afterAutospacing="0" w:line="240" w:lineRule="auto"/>
              <w:jc w:val="center"/>
            </w:pPr>
            <w:r>
              <w:rPr>
                <w:rFonts w:ascii="Calibri" w:hAnsi="Calibri" w:eastAsia="Calibri" w:cs="Calibri"/>
                <w:b w:val="0"/>
                <w:i w:val="0"/>
                <w:color w:val="000000"/>
                <w:sz w:val="11"/>
              </w:rPr>
              <w:t>情况</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全年执行数</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分值</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预算执行率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得分</w:t>
            </w:r>
          </w:p>
        </w:tc>
      </w:tr>
      <w:tr>
        <w:tblPrEx>
          <w:tblCellMar>
            <w:top w:w="0" w:type="dxa"/>
            <w:left w:w="20" w:type="dxa"/>
            <w:bottom w:w="0" w:type="dxa"/>
            <w:right w:w="20" w:type="dxa"/>
          </w:tblCellMar>
        </w:tblPrEx>
        <w:trPr>
          <w:trHeight w:val="310"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55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单位预算总额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136.20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137.54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137.54</w:t>
            </w:r>
          </w:p>
        </w:tc>
        <w:tc>
          <w:tcPr>
            <w:tcW w:w="407"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100.98%</w:t>
            </w:r>
          </w:p>
        </w:tc>
        <w:tc>
          <w:tcPr>
            <w:tcW w:w="932"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10</w:t>
            </w:r>
          </w:p>
        </w:tc>
      </w:tr>
      <w:tr>
        <w:tblPrEx>
          <w:tblCellMar>
            <w:top w:w="0" w:type="dxa"/>
            <w:left w:w="20" w:type="dxa"/>
            <w:bottom w:w="0" w:type="dxa"/>
            <w:right w:w="20" w:type="dxa"/>
          </w:tblCellMar>
        </w:tblPrEx>
        <w:trPr>
          <w:trHeight w:val="262"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资金来源</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政府预算资金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136.20</w:t>
            </w:r>
            <w:bookmarkStart w:id="0" w:name="_GoBack"/>
            <w:bookmarkEnd w:id="0"/>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137.54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137.54</w:t>
            </w:r>
          </w:p>
        </w:tc>
        <w:tc>
          <w:tcPr>
            <w:tcW w:w="40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100.98%</w:t>
            </w:r>
          </w:p>
        </w:tc>
        <w:tc>
          <w:tcPr>
            <w:tcW w:w="932"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98"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 xml:space="preserve">  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07"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58" w:hRule="exact"/>
          <w:jc w:val="center"/>
        </w:trPr>
        <w:tc>
          <w:tcPr>
            <w:tcW w:w="646"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07"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63" w:hRule="exact"/>
          <w:jc w:val="center"/>
        </w:trPr>
        <w:tc>
          <w:tcPr>
            <w:tcW w:w="646"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年度</w:t>
            </w:r>
          </w:p>
          <w:p>
            <w:pPr>
              <w:snapToGrid w:val="0"/>
              <w:spacing w:before="0" w:beforeAutospacing="0" w:after="0" w:afterAutospacing="0" w:line="240" w:lineRule="auto"/>
              <w:jc w:val="center"/>
            </w:pPr>
            <w:r>
              <w:rPr>
                <w:rFonts w:ascii="Calibri" w:hAnsi="Calibri" w:eastAsia="Calibri" w:cs="Calibri"/>
                <w:b w:val="0"/>
                <w:i w:val="0"/>
                <w:color w:val="000000"/>
                <w:sz w:val="11"/>
              </w:rPr>
              <w:t>履职</w:t>
            </w:r>
          </w:p>
          <w:p>
            <w:pPr>
              <w:snapToGrid w:val="0"/>
              <w:spacing w:before="0" w:beforeAutospacing="0" w:after="0" w:afterAutospacing="0" w:line="240" w:lineRule="auto"/>
              <w:jc w:val="center"/>
            </w:pPr>
            <w:r>
              <w:rPr>
                <w:rFonts w:ascii="Calibri" w:hAnsi="Calibri" w:eastAsia="Calibri" w:cs="Calibri"/>
                <w:b w:val="0"/>
                <w:i w:val="0"/>
                <w:color w:val="000000"/>
                <w:sz w:val="11"/>
              </w:rPr>
              <w:t>目标</w:t>
            </w:r>
          </w:p>
        </w:tc>
        <w:tc>
          <w:tcPr>
            <w:tcW w:w="5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预期目标</w:t>
            </w:r>
          </w:p>
        </w:tc>
        <w:tc>
          <w:tcPr>
            <w:tcW w:w="33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实际完成情况</w:t>
            </w:r>
          </w:p>
        </w:tc>
      </w:tr>
      <w:tr>
        <w:tblPrEx>
          <w:tblCellMar>
            <w:top w:w="0" w:type="dxa"/>
            <w:left w:w="20" w:type="dxa"/>
            <w:bottom w:w="0" w:type="dxa"/>
            <w:right w:w="20" w:type="dxa"/>
          </w:tblCellMar>
        </w:tblPrEx>
        <w:trPr>
          <w:trHeight w:val="298"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目标名称</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 xml:space="preserve">主要内容 </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目标完成情况</w:t>
            </w:r>
          </w:p>
        </w:tc>
      </w:tr>
      <w:tr>
        <w:tblPrEx>
          <w:tblCellMar>
            <w:top w:w="0" w:type="dxa"/>
            <w:left w:w="20" w:type="dxa"/>
            <w:bottom w:w="0" w:type="dxa"/>
            <w:right w:w="20" w:type="dxa"/>
          </w:tblCellMar>
        </w:tblPrEx>
        <w:trPr>
          <w:trHeight w:val="479"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认真履行单位职责提升群众满意度</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提高群众满意度，提升群众认可度，推动资金交存便捷、透明，使用维修及时规范；</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实现群众满意为第一目标，不断统一工作思想，努力创新工作理念，持续完善工作机制，切实解决群众反映的急、难、愁问题，提升工作效率和质量。</w:t>
            </w:r>
          </w:p>
        </w:tc>
      </w:tr>
      <w:tr>
        <w:tblPrEx>
          <w:tblCellMar>
            <w:top w:w="0" w:type="dxa"/>
            <w:left w:w="20" w:type="dxa"/>
            <w:bottom w:w="0" w:type="dxa"/>
            <w:right w:w="20" w:type="dxa"/>
          </w:tblCellMar>
        </w:tblPrEx>
        <w:trPr>
          <w:trHeight w:val="868"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加强维修资金制度建设及政策法规宣传</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持续加强维修资金制度建设，完善政策体系，强化政策法规宣传及实施；</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both"/>
            </w:pPr>
            <w:r>
              <w:rPr>
                <w:rFonts w:ascii="Calibri" w:hAnsi="Calibri" w:eastAsia="Calibri" w:cs="Calibri"/>
                <w:b w:val="0"/>
                <w:i w:val="0"/>
                <w:color w:val="000000"/>
                <w:sz w:val="11"/>
              </w:rPr>
              <w:t>加强维修资金制度建设，完善政策体系，结合省住建厅即将出台的《河南省维修资金管理办法》有关规定，修订完善我市维修资金配套制度，强化政策法规宣贯及实施。同时，依托省厅组建成立的河南省物业维修资金研究专业委员会，沟通交流分享经验，加强物业维修资金的监管，促进我市维修资金管理的整体提升。</w:t>
            </w:r>
          </w:p>
        </w:tc>
      </w:tr>
      <w:tr>
        <w:tblPrEx>
          <w:tblCellMar>
            <w:top w:w="0" w:type="dxa"/>
            <w:left w:w="20" w:type="dxa"/>
            <w:bottom w:w="0" w:type="dxa"/>
            <w:right w:w="20" w:type="dxa"/>
          </w:tblCellMar>
        </w:tblPrEx>
        <w:trPr>
          <w:trHeight w:val="506" w:hRule="exact"/>
          <w:jc w:val="center"/>
        </w:trPr>
        <w:tc>
          <w:tcPr>
            <w:tcW w:w="646"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加强维修资金使用管理提高办事效率</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按照维修资金相关政策规定，加强维修资金使用审核管理，规范完善我市房屋专项维修资金使用程序，提高行政办事效率。</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both"/>
            </w:pPr>
            <w:r>
              <w:rPr>
                <w:rFonts w:ascii="Calibri" w:hAnsi="Calibri" w:eastAsia="Calibri" w:cs="Calibri"/>
                <w:b w:val="0"/>
                <w:i w:val="0"/>
                <w:color w:val="000000"/>
                <w:sz w:val="11"/>
              </w:rPr>
              <w:t>加强维修资金使用审核管理，2023年，拨付维修资金使用资金516万余元。同时深入小区开展现场勘查、业主回访、政策宣传等工作，确保资金使用规范、安全、公开透明。</w:t>
            </w:r>
          </w:p>
        </w:tc>
      </w:tr>
      <w:tr>
        <w:tblPrEx>
          <w:tblCellMar>
            <w:top w:w="0" w:type="dxa"/>
            <w:left w:w="20" w:type="dxa"/>
            <w:bottom w:w="0" w:type="dxa"/>
            <w:right w:w="20" w:type="dxa"/>
          </w:tblCellMar>
        </w:tblPrEx>
        <w:trPr>
          <w:trHeight w:val="289" w:hRule="exact"/>
          <w:jc w:val="center"/>
        </w:trPr>
        <w:tc>
          <w:tcPr>
            <w:tcW w:w="646"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年度</w:t>
            </w:r>
          </w:p>
          <w:p>
            <w:pPr>
              <w:snapToGrid w:val="0"/>
              <w:spacing w:before="0" w:beforeAutospacing="0" w:after="0" w:afterAutospacing="0" w:line="240" w:lineRule="auto"/>
              <w:jc w:val="center"/>
            </w:pPr>
            <w:r>
              <w:rPr>
                <w:rFonts w:ascii="Calibri" w:hAnsi="Calibri" w:eastAsia="Calibri" w:cs="Calibri"/>
                <w:b w:val="0"/>
                <w:i w:val="0"/>
                <w:color w:val="000000"/>
                <w:sz w:val="11"/>
              </w:rPr>
              <w:t>主要</w:t>
            </w:r>
          </w:p>
          <w:p>
            <w:pPr>
              <w:snapToGrid w:val="0"/>
              <w:spacing w:before="0" w:beforeAutospacing="0" w:after="0" w:afterAutospacing="0" w:line="240" w:lineRule="auto"/>
              <w:jc w:val="center"/>
            </w:pPr>
            <w:r>
              <w:rPr>
                <w:rFonts w:ascii="Calibri" w:hAnsi="Calibri" w:eastAsia="Calibri" w:cs="Calibri"/>
                <w:b w:val="0"/>
                <w:i w:val="0"/>
                <w:color w:val="000000"/>
                <w:sz w:val="11"/>
              </w:rPr>
              <w:t>任务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任务名称</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 xml:space="preserve">主要内容 </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任务完成情况</w:t>
            </w:r>
          </w:p>
        </w:tc>
      </w:tr>
      <w:tr>
        <w:tblPrEx>
          <w:tblCellMar>
            <w:top w:w="0" w:type="dxa"/>
            <w:left w:w="20" w:type="dxa"/>
            <w:bottom w:w="0" w:type="dxa"/>
            <w:right w:w="20" w:type="dxa"/>
          </w:tblCellMar>
        </w:tblPrEx>
        <w:trPr>
          <w:trHeight w:val="1118"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Calibri" w:hAnsi="Calibri" w:eastAsia="Calibri" w:cs="Calibri"/>
                <w:b w:val="0"/>
                <w:i w:val="0"/>
                <w:color w:val="000000"/>
                <w:sz w:val="11"/>
              </w:rPr>
              <w:t>做好维修资金日常管理工作</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both"/>
            </w:pPr>
            <w:r>
              <w:rPr>
                <w:rFonts w:ascii="Calibri" w:hAnsi="Calibri" w:eastAsia="Calibri" w:cs="Calibri"/>
                <w:b w:val="0"/>
                <w:i w:val="0"/>
                <w:color w:val="000000"/>
                <w:sz w:val="11"/>
              </w:rPr>
              <w:t>遵循“专户存储，专款专用，业主决策，政府监督”的基本原则，围绕维修资金归集交存、资金管理、使用监管方面三大重点工作，做好日常业务办理，提升群众满意度。</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both"/>
            </w:pPr>
            <w:r>
              <w:rPr>
                <w:rFonts w:ascii="Calibri" w:hAnsi="Calibri" w:eastAsia="Calibri" w:cs="Calibri"/>
                <w:b w:val="0"/>
                <w:i w:val="0"/>
                <w:color w:val="000000"/>
                <w:sz w:val="11"/>
              </w:rPr>
              <w:t>明确“资金安全是底线、管理规范是基础、群众满意是目标”的工作思路，切实做好维修资金归集、使用、账务管理工作，切实做到资金安全、使用合规、账务规范。通过实行小区、楼、单元、业主四级核算，纳入维修资金管理系统建账分户300个小区，累计归集到账维修资金17.67亿元，使用维修资金2276万元（其中2023年归集维修资金共计1.03亿元，拨付维修资金使用资金516万元）。</w:t>
            </w:r>
          </w:p>
        </w:tc>
      </w:tr>
      <w:tr>
        <w:tblPrEx>
          <w:tblCellMar>
            <w:top w:w="0" w:type="dxa"/>
            <w:left w:w="20" w:type="dxa"/>
            <w:bottom w:w="0" w:type="dxa"/>
            <w:right w:w="20" w:type="dxa"/>
          </w:tblCellMar>
        </w:tblPrEx>
        <w:trPr>
          <w:trHeight w:val="780" w:hRule="exact"/>
          <w:jc w:val="center"/>
        </w:trPr>
        <w:tc>
          <w:tcPr>
            <w:tcW w:w="646" w:type="dxa"/>
            <w:gridSpan w:val="2"/>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健全完善维修资金配套制度</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加强维修资金制度建设，完善政策体系，结合省住建厅即将出台的《河南省维修资金管理办法》有关规定，修订完善我市维修资金配套制度，强化政策法规宣贯及实施。同时，依托省厅组建成立的河南省物业维修资金研究专业委员会，沟通交流分享经验，加强物业维修资金的监管，促进我市维修资金管理的整体提升。</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坚持问题导向、补短板、强服务，草拟制定《许昌市房屋专项维修资金应急使用实施办法》，进一步加强全市房屋专项维修资金使用监管，构建政府引导、业主决策、部门监督的工作机制，确保资金安全、管理高效、服务规范。</w:t>
            </w:r>
          </w:p>
        </w:tc>
      </w:tr>
      <w:tr>
        <w:tblPrEx>
          <w:tblCellMar>
            <w:top w:w="0" w:type="dxa"/>
            <w:left w:w="20" w:type="dxa"/>
            <w:bottom w:w="0" w:type="dxa"/>
            <w:right w:w="20" w:type="dxa"/>
          </w:tblCellMar>
        </w:tblPrEx>
        <w:trPr>
          <w:trHeight w:val="1013" w:hRule="exact"/>
          <w:jc w:val="center"/>
        </w:trPr>
        <w:tc>
          <w:tcPr>
            <w:tcW w:w="646"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通过互联网+形式做好宣传</w:t>
            </w:r>
          </w:p>
        </w:tc>
        <w:tc>
          <w:tcPr>
            <w:tcW w:w="4827"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通过对维修资金信息管理系统升级，开通微信公众号等形式，使维修资金工作更加便捷、公开、透明，切实提高群众满意度，提升群众认可度。</w:t>
            </w:r>
          </w:p>
        </w:tc>
        <w:tc>
          <w:tcPr>
            <w:tcW w:w="3358" w:type="dxa"/>
            <w:gridSpan w:val="4"/>
            <w:tcBorders>
              <w:top w:val="single" w:color="000000" w:sz="4" w:space="0"/>
              <w:left w:val="single" w:color="000000" w:sz="4" w:space="0"/>
              <w:bottom w:val="single" w:color="000000" w:sz="4" w:space="0"/>
              <w:right w:val="single" w:color="auto" w:sz="4" w:space="0"/>
            </w:tcBorders>
            <w:shd w:val="clear" w:color="auto" w:fill="auto"/>
            <w:vAlign w:val="bottom"/>
          </w:tcPr>
          <w:p>
            <w:pPr>
              <w:snapToGrid w:val="0"/>
              <w:spacing w:before="0" w:beforeAutospacing="0" w:after="0" w:afterAutospacing="0" w:line="240" w:lineRule="auto"/>
              <w:jc w:val="left"/>
            </w:pPr>
            <w:r>
              <w:rPr>
                <w:rFonts w:ascii="Calibri" w:hAnsi="Calibri" w:eastAsia="Calibri" w:cs="Calibri"/>
                <w:b w:val="0"/>
                <w:i w:val="0"/>
                <w:color w:val="000000"/>
                <w:sz w:val="11"/>
              </w:rPr>
              <w:t>升级维修资金信息系统，开启房屋维修资金网上交存模式，购房人通过关注维修资金微信公众号，扫码即可在线交存房屋专项维修资金，打破了以往只能在银行窗口办理交存业务的传统模式，实现购房人“全天候、零距离、随时随地”交存维修资金的目标。通过数据交互，实现让企业和群众少跑路，使群众充分享受到维修资金信息化和网络化管理带来的便利和服务。</w:t>
            </w:r>
          </w:p>
        </w:tc>
      </w:tr>
      <w:tr>
        <w:tblPrEx>
          <w:tblCellMar>
            <w:top w:w="0" w:type="dxa"/>
            <w:left w:w="20" w:type="dxa"/>
            <w:bottom w:w="0" w:type="dxa"/>
            <w:right w:w="20" w:type="dxa"/>
          </w:tblCellMar>
        </w:tblPrEx>
        <w:trPr>
          <w:trHeight w:val="145" w:hRule="exact"/>
          <w:jc w:val="center"/>
        </w:trPr>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一级指标</w:t>
            </w:r>
          </w:p>
        </w:tc>
        <w:tc>
          <w:tcPr>
            <w:tcW w:w="323"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分值</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二级指标</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三级指标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年度指标值</w:t>
            </w:r>
          </w:p>
        </w:tc>
        <w:tc>
          <w:tcPr>
            <w:tcW w:w="2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指标值说明</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实际完成值</w:t>
            </w:r>
          </w:p>
        </w:tc>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分值</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得分</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偏差原因分析及改进措施</w:t>
            </w:r>
          </w:p>
        </w:tc>
      </w:tr>
      <w:tr>
        <w:tblPrEx>
          <w:tblCellMar>
            <w:top w:w="0" w:type="dxa"/>
            <w:left w:w="20" w:type="dxa"/>
            <w:bottom w:w="0" w:type="dxa"/>
            <w:right w:w="20" w:type="dxa"/>
          </w:tblCellMar>
        </w:tblPrEx>
        <w:trPr>
          <w:trHeight w:val="330" w:hRule="exact"/>
          <w:jc w:val="center"/>
        </w:trPr>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994" w:hRule="exact"/>
          <w:jc w:val="center"/>
        </w:trPr>
        <w:tc>
          <w:tcPr>
            <w:tcW w:w="323"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投入管理指标</w:t>
            </w:r>
          </w:p>
        </w:tc>
        <w:tc>
          <w:tcPr>
            <w:tcW w:w="323"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30</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工作目标管理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年度履职目标相关性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相关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相关</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958"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工作任务科学性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科学</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科学</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985"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绩效指标合理性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合理</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合理</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551"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预算编制完整性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完整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1.部门所有收入是否全部纳入部门预算；2.部门支出预算是否统筹各类资金来源，全部纳入部门预算管理。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完整</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542"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专项资金细化率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专项资金细化率=（已细化到具体市县和承担单位的资金数/部门参与分配资金总数）×100%。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455"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预算调整率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≤10%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执行率=（预算完成数/预算数）×100%。预算完成数指部门实际执行的预算数；预算数指财政部门批复的本年度部门的（调整）预算数。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0.98%</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51"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预算和财务管理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结转结余率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≤15%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结转结余率=结转结余总额/预算数*100%。结转结余总额是指部门本年度的结转结余资金之和。预算数是指财政部门批复的本年度部门的（调整）预算数。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71"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“三公经费”控制率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“三公经费”控制率=本年度“三公经费”实际支出数/“三公经费”预算数*100%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87"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政府采购执行率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政府采购执行率=（实际政府采购金额/政府采购预算数）×100%。政府采购预算：采购机关根据事业发展计划和行政任务编制的、并经过规定程序批准的年度政府采购计划。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524"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决算真实性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真实</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反映本部门决算工作情况。决算编制数据是否账表一致，即决算报表数据与会计账簿数据是否一致。</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真实</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636"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资金使用合规性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合规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合规</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157"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管理制度健全性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健全</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健全</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949" w:hRule="exact"/>
          <w:jc w:val="center"/>
        </w:trPr>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预决算信息公开性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公开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公开</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627" w:hRule="exact"/>
          <w:jc w:val="center"/>
        </w:trPr>
        <w:tc>
          <w:tcPr>
            <w:tcW w:w="323" w:type="dxa"/>
            <w:vMerge w:val="continue"/>
            <w:tcBorders>
              <w:left w:val="single" w:color="000000" w:sz="4" w:space="0"/>
              <w:bottom w:val="nil"/>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left w:val="single" w:color="000000" w:sz="4" w:space="0"/>
              <w:bottom w:val="nil"/>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资产管理规范性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规范</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规范</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51" w:hRule="exact"/>
          <w:jc w:val="center"/>
        </w:trPr>
        <w:tc>
          <w:tcPr>
            <w:tcW w:w="323"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323"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1076" w:type="dxa"/>
            <w:vMerge w:val="restart"/>
            <w:tcBorders>
              <w:top w:val="single" w:color="000000" w:sz="4" w:space="0"/>
              <w:left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绩效管理</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绩效监控完成率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部门（单位）按要求实施绩效监控的项目数量占应实施绩效监控项目总数的比重。部门绩效监控完成率=已完成绩效监控项目数量/部门项目总数*100%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60" w:hRule="exact"/>
          <w:jc w:val="center"/>
        </w:trPr>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绩效自评完成率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部门（单位）按要求实施绩效自评的项目数量占应实施绩效自评项目总数的比重。部门绩效自评完成率=已完成评价项目数量/部门项目总数*100%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488" w:hRule="exact"/>
          <w:jc w:val="center"/>
        </w:trPr>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部门绩效评价完成率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部门重点绩效评价项目评价完成情况。部门绩效评价完成率=已完成评价项目数量/部门重点绩效评价项目数*100%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651" w:hRule="exact"/>
          <w:jc w:val="center"/>
        </w:trPr>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left w:val="single" w:color="auto"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评价结果应用率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绩效监控、单位自评、部门绩效评价、财政重点绩效评价结果应用情况。评价结果应用率=评价提出的意见建议采纳数/提出的意见建议总数*100%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产出指标</w:t>
            </w:r>
          </w:p>
        </w:tc>
        <w:tc>
          <w:tcPr>
            <w:tcW w:w="32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25</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重点工作任务完成</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做好维修资金日常管理工作计划完成率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完善维修资金相关政策法规计划完成率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加大维修资金政策宣传计划完成率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履职目标实现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认真履行单位职责提升群众满意度实现率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加强维修资金制度建设及政策法规宣传实现率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62" w:hRule="exac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加强维修资金使用管理提高办事效率实现率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83" w:hRule="atLeast"/>
          <w:jc w:val="center"/>
        </w:trPr>
        <w:tc>
          <w:tcPr>
            <w:tcW w:w="32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效益指标</w:t>
            </w:r>
          </w:p>
        </w:tc>
        <w:tc>
          <w:tcPr>
            <w:tcW w:w="32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35</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履职效益</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保障单位工作正常运转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黑体" w:hAnsi="黑体" w:eastAsia="黑体" w:cs="黑体"/>
                <w:b w:val="0"/>
                <w:i w:val="0"/>
                <w:color w:val="000000"/>
                <w:sz w:val="11"/>
              </w:rPr>
              <w:t>保障</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保障</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83" w:hRule="atLeast"/>
          <w:jc w:val="center"/>
        </w:trPr>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满意度</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社会群众满意度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lang w:val="en"/>
              </w:rPr>
            </w:pPr>
            <w:r>
              <w:rPr>
                <w:rFonts w:hint="default" w:ascii="Calibri" w:hAnsi="Calibri" w:eastAsia="Calibri" w:cs="Calibri"/>
                <w:b w:val="0"/>
                <w:i w:val="0"/>
                <w:color w:val="000000"/>
                <w:sz w:val="11"/>
                <w:lang w:val="en"/>
              </w:rPr>
              <w:t>90%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17</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26" w:hRule="exact"/>
          <w:jc w:val="center"/>
        </w:trPr>
        <w:tc>
          <w:tcPr>
            <w:tcW w:w="76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合计</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Calibri" w:hAnsi="Calibri" w:eastAsia="Calibri" w:cs="Calibri"/>
                <w:b w:val="0"/>
                <w:i w:val="0"/>
                <w:color w:val="000000"/>
                <w:sz w:val="11"/>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777" w:hRule="exact"/>
          <w:jc w:val="center"/>
        </w:trPr>
        <w:tc>
          <w:tcPr>
            <w:tcW w:w="9907"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spacing w:before="0" w:beforeAutospacing="0" w:after="0" w:afterAutospacing="0" w:line="240" w:lineRule="auto"/>
              <w:jc w:val="left"/>
            </w:pPr>
            <w:r>
              <w:rPr>
                <w:rFonts w:ascii="Calibri" w:hAnsi="Calibri" w:eastAsia="Calibri" w:cs="Calibri"/>
                <w:b w:val="0"/>
                <w:i w:val="0"/>
                <w:color w:val="000000"/>
                <w:sz w:val="11"/>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r>
        <w:tblPrEx>
          <w:tblCellMar>
            <w:top w:w="0" w:type="dxa"/>
            <w:left w:w="20" w:type="dxa"/>
            <w:bottom w:w="0" w:type="dxa"/>
            <w:right w:w="20" w:type="dxa"/>
          </w:tblCellMar>
        </w:tblPrEx>
        <w:trPr>
          <w:trHeight w:val="181" w:hRule="exact"/>
          <w:jc w:val="center"/>
        </w:trPr>
        <w:tc>
          <w:tcPr>
            <w:tcW w:w="323" w:type="dxa"/>
            <w:tcBorders>
              <w:top w:val="single" w:color="000000" w:sz="4" w:space="0"/>
            </w:tcBorders>
            <w:shd w:val="clear" w:color="auto" w:fill="auto"/>
            <w:vAlign w:val="bottom"/>
          </w:tcPr>
          <w:p>
            <w:pPr>
              <w:snapToGrid w:val="0"/>
              <w:spacing w:before="0" w:beforeAutospacing="0" w:after="0" w:afterAutospacing="0" w:line="240" w:lineRule="auto"/>
            </w:pPr>
          </w:p>
        </w:tc>
        <w:tc>
          <w:tcPr>
            <w:tcW w:w="32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076" w:type="dxa"/>
            <w:tcBorders>
              <w:top w:val="single" w:color="000000" w:sz="4" w:space="0"/>
            </w:tcBorders>
            <w:shd w:val="clear" w:color="auto" w:fill="auto"/>
            <w:vAlign w:val="bottom"/>
          </w:tcPr>
          <w:p>
            <w:pPr>
              <w:snapToGrid w:val="0"/>
              <w:spacing w:before="0" w:beforeAutospacing="0" w:after="0" w:afterAutospacing="0" w:line="240" w:lineRule="auto"/>
            </w:pPr>
          </w:p>
        </w:tc>
        <w:tc>
          <w:tcPr>
            <w:tcW w:w="1481" w:type="dxa"/>
            <w:tcBorders>
              <w:top w:val="single" w:color="000000" w:sz="4" w:space="0"/>
            </w:tcBorders>
            <w:shd w:val="clear" w:color="auto" w:fill="auto"/>
            <w:vAlign w:val="bottom"/>
          </w:tcPr>
          <w:p>
            <w:pPr>
              <w:snapToGrid w:val="0"/>
              <w:spacing w:before="0" w:beforeAutospacing="0" w:after="0" w:afterAutospacing="0" w:line="240" w:lineRule="auto"/>
            </w:pPr>
          </w:p>
        </w:tc>
        <w:tc>
          <w:tcPr>
            <w:tcW w:w="705" w:type="dxa"/>
            <w:tcBorders>
              <w:top w:val="single" w:color="000000" w:sz="4" w:space="0"/>
            </w:tcBorders>
            <w:shd w:val="clear" w:color="auto" w:fill="auto"/>
            <w:vAlign w:val="bottom"/>
          </w:tcPr>
          <w:p>
            <w:pPr>
              <w:snapToGrid w:val="0"/>
              <w:spacing w:before="0" w:beforeAutospacing="0" w:after="0" w:afterAutospacing="0" w:line="240" w:lineRule="auto"/>
            </w:pPr>
          </w:p>
        </w:tc>
        <w:tc>
          <w:tcPr>
            <w:tcW w:w="2641" w:type="dxa"/>
            <w:tcBorders>
              <w:top w:val="single" w:color="000000" w:sz="4" w:space="0"/>
            </w:tcBorders>
            <w:shd w:val="clear" w:color="auto" w:fill="auto"/>
            <w:vAlign w:val="bottom"/>
          </w:tcPr>
          <w:p>
            <w:pPr>
              <w:snapToGrid w:val="0"/>
              <w:spacing w:before="0" w:beforeAutospacing="0" w:after="0" w:afterAutospacing="0" w:line="240" w:lineRule="auto"/>
            </w:pPr>
          </w:p>
        </w:tc>
        <w:tc>
          <w:tcPr>
            <w:tcW w:w="1135" w:type="dxa"/>
            <w:tcBorders>
              <w:top w:val="single" w:color="000000" w:sz="4" w:space="0"/>
            </w:tcBorders>
            <w:shd w:val="clear" w:color="auto" w:fill="auto"/>
            <w:vAlign w:val="bottom"/>
          </w:tcPr>
          <w:p>
            <w:pPr>
              <w:snapToGrid w:val="0"/>
              <w:spacing w:before="0" w:beforeAutospacing="0" w:after="0" w:afterAutospacing="0" w:line="240" w:lineRule="auto"/>
            </w:pPr>
          </w:p>
        </w:tc>
        <w:tc>
          <w:tcPr>
            <w:tcW w:w="407" w:type="dxa"/>
            <w:tcBorders>
              <w:top w:val="single" w:color="000000" w:sz="4" w:space="0"/>
            </w:tcBorders>
            <w:shd w:val="clear" w:color="auto" w:fill="auto"/>
            <w:vAlign w:val="bottom"/>
          </w:tcPr>
          <w:p>
            <w:pPr>
              <w:snapToGrid w:val="0"/>
              <w:spacing w:before="0" w:beforeAutospacing="0" w:after="0" w:afterAutospacing="0" w:line="240" w:lineRule="auto"/>
            </w:pPr>
          </w:p>
        </w:tc>
        <w:tc>
          <w:tcPr>
            <w:tcW w:w="884" w:type="dxa"/>
            <w:tcBorders>
              <w:top w:val="single" w:color="000000" w:sz="4" w:space="0"/>
            </w:tcBorders>
            <w:shd w:val="clear" w:color="auto" w:fill="auto"/>
            <w:vAlign w:val="bottom"/>
          </w:tcPr>
          <w:p>
            <w:pPr>
              <w:snapToGrid w:val="0"/>
              <w:spacing w:before="0" w:beforeAutospacing="0" w:after="0" w:afterAutospacing="0" w:line="240" w:lineRule="auto"/>
            </w:pPr>
          </w:p>
        </w:tc>
        <w:tc>
          <w:tcPr>
            <w:tcW w:w="932"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1" w:hRule="exact"/>
          <w:jc w:val="center"/>
        </w:trPr>
        <w:tc>
          <w:tcPr>
            <w:tcW w:w="323" w:type="dxa"/>
            <w:shd w:val="clear" w:color="auto" w:fill="auto"/>
            <w:vAlign w:val="bottom"/>
          </w:tcPr>
          <w:p>
            <w:pPr>
              <w:snapToGrid w:val="0"/>
              <w:spacing w:before="0" w:beforeAutospacing="0" w:after="0" w:afterAutospacing="0" w:line="240" w:lineRule="auto"/>
            </w:pPr>
          </w:p>
        </w:tc>
        <w:tc>
          <w:tcPr>
            <w:tcW w:w="323" w:type="dxa"/>
            <w:shd w:val="clear" w:color="auto" w:fill="auto"/>
            <w:vAlign w:val="bottom"/>
          </w:tcPr>
          <w:p>
            <w:pPr>
              <w:snapToGrid w:val="0"/>
              <w:spacing w:before="0" w:beforeAutospacing="0" w:after="0" w:afterAutospacing="0" w:line="240" w:lineRule="auto"/>
            </w:pPr>
          </w:p>
        </w:tc>
        <w:tc>
          <w:tcPr>
            <w:tcW w:w="1076" w:type="dxa"/>
            <w:shd w:val="clear" w:color="auto" w:fill="auto"/>
            <w:vAlign w:val="bottom"/>
          </w:tcPr>
          <w:p>
            <w:pPr>
              <w:snapToGrid w:val="0"/>
              <w:spacing w:before="0" w:beforeAutospacing="0" w:after="0" w:afterAutospacing="0" w:line="240" w:lineRule="auto"/>
            </w:pPr>
          </w:p>
        </w:tc>
        <w:tc>
          <w:tcPr>
            <w:tcW w:w="1481" w:type="dxa"/>
            <w:shd w:val="clear" w:color="auto" w:fill="auto"/>
            <w:vAlign w:val="bottom"/>
          </w:tcPr>
          <w:p>
            <w:pPr>
              <w:snapToGrid w:val="0"/>
              <w:spacing w:before="0" w:beforeAutospacing="0" w:after="0" w:afterAutospacing="0" w:line="240" w:lineRule="auto"/>
            </w:pPr>
          </w:p>
        </w:tc>
        <w:tc>
          <w:tcPr>
            <w:tcW w:w="705" w:type="dxa"/>
            <w:shd w:val="clear" w:color="auto" w:fill="auto"/>
            <w:vAlign w:val="bottom"/>
          </w:tcPr>
          <w:p>
            <w:pPr>
              <w:snapToGrid w:val="0"/>
              <w:spacing w:before="0" w:beforeAutospacing="0" w:after="0" w:afterAutospacing="0" w:line="240" w:lineRule="auto"/>
            </w:pPr>
          </w:p>
        </w:tc>
        <w:tc>
          <w:tcPr>
            <w:tcW w:w="2641" w:type="dxa"/>
            <w:shd w:val="clear" w:color="auto" w:fill="auto"/>
            <w:vAlign w:val="bottom"/>
          </w:tcPr>
          <w:p>
            <w:pPr>
              <w:snapToGrid w:val="0"/>
              <w:spacing w:before="0" w:beforeAutospacing="0" w:after="0" w:afterAutospacing="0" w:line="240" w:lineRule="auto"/>
            </w:pPr>
          </w:p>
        </w:tc>
        <w:tc>
          <w:tcPr>
            <w:tcW w:w="1135" w:type="dxa"/>
            <w:shd w:val="clear" w:color="auto" w:fill="auto"/>
            <w:vAlign w:val="bottom"/>
          </w:tcPr>
          <w:p>
            <w:pPr>
              <w:snapToGrid w:val="0"/>
              <w:spacing w:before="0" w:beforeAutospacing="0" w:after="0" w:afterAutospacing="0" w:line="240" w:lineRule="auto"/>
            </w:pPr>
          </w:p>
        </w:tc>
        <w:tc>
          <w:tcPr>
            <w:tcW w:w="407" w:type="dxa"/>
            <w:shd w:val="clear" w:color="auto" w:fill="auto"/>
            <w:vAlign w:val="bottom"/>
          </w:tcPr>
          <w:p>
            <w:pPr>
              <w:snapToGrid w:val="0"/>
              <w:spacing w:before="0" w:beforeAutospacing="0" w:after="0" w:afterAutospacing="0" w:line="240" w:lineRule="auto"/>
            </w:pPr>
          </w:p>
        </w:tc>
        <w:tc>
          <w:tcPr>
            <w:tcW w:w="884" w:type="dxa"/>
            <w:shd w:val="clear" w:color="auto" w:fill="auto"/>
            <w:vAlign w:val="bottom"/>
          </w:tcPr>
          <w:p>
            <w:pPr>
              <w:snapToGrid w:val="0"/>
              <w:spacing w:before="0" w:beforeAutospacing="0" w:after="0" w:afterAutospacing="0" w:line="240" w:lineRule="auto"/>
            </w:pPr>
          </w:p>
        </w:tc>
        <w:tc>
          <w:tcPr>
            <w:tcW w:w="932" w:type="dxa"/>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1" w:hRule="exact"/>
          <w:jc w:val="center"/>
        </w:trPr>
        <w:tc>
          <w:tcPr>
            <w:tcW w:w="323" w:type="dxa"/>
            <w:shd w:val="clear" w:color="auto" w:fill="auto"/>
            <w:vAlign w:val="bottom"/>
          </w:tcPr>
          <w:p>
            <w:pPr>
              <w:snapToGrid w:val="0"/>
              <w:spacing w:before="0" w:beforeAutospacing="0" w:after="0" w:afterAutospacing="0" w:line="240" w:lineRule="auto"/>
            </w:pPr>
          </w:p>
        </w:tc>
        <w:tc>
          <w:tcPr>
            <w:tcW w:w="323" w:type="dxa"/>
            <w:shd w:val="clear" w:color="auto" w:fill="auto"/>
            <w:vAlign w:val="bottom"/>
          </w:tcPr>
          <w:p>
            <w:pPr>
              <w:snapToGrid w:val="0"/>
              <w:spacing w:before="0" w:beforeAutospacing="0" w:after="0" w:afterAutospacing="0" w:line="240" w:lineRule="auto"/>
            </w:pPr>
          </w:p>
        </w:tc>
        <w:tc>
          <w:tcPr>
            <w:tcW w:w="1076" w:type="dxa"/>
            <w:shd w:val="clear" w:color="auto" w:fill="auto"/>
            <w:vAlign w:val="bottom"/>
          </w:tcPr>
          <w:p>
            <w:pPr>
              <w:snapToGrid w:val="0"/>
              <w:spacing w:before="0" w:beforeAutospacing="0" w:after="0" w:afterAutospacing="0" w:line="240" w:lineRule="auto"/>
            </w:pPr>
          </w:p>
        </w:tc>
        <w:tc>
          <w:tcPr>
            <w:tcW w:w="1481" w:type="dxa"/>
            <w:shd w:val="clear" w:color="auto" w:fill="auto"/>
            <w:vAlign w:val="bottom"/>
          </w:tcPr>
          <w:p>
            <w:pPr>
              <w:snapToGrid w:val="0"/>
              <w:spacing w:before="0" w:beforeAutospacing="0" w:after="0" w:afterAutospacing="0" w:line="240" w:lineRule="auto"/>
            </w:pPr>
          </w:p>
        </w:tc>
        <w:tc>
          <w:tcPr>
            <w:tcW w:w="705" w:type="dxa"/>
            <w:shd w:val="clear" w:color="auto" w:fill="auto"/>
            <w:vAlign w:val="bottom"/>
          </w:tcPr>
          <w:p>
            <w:pPr>
              <w:snapToGrid w:val="0"/>
              <w:spacing w:before="0" w:beforeAutospacing="0" w:after="0" w:afterAutospacing="0" w:line="240" w:lineRule="auto"/>
            </w:pPr>
          </w:p>
        </w:tc>
        <w:tc>
          <w:tcPr>
            <w:tcW w:w="2641" w:type="dxa"/>
            <w:shd w:val="clear" w:color="auto" w:fill="auto"/>
            <w:vAlign w:val="bottom"/>
          </w:tcPr>
          <w:p>
            <w:pPr>
              <w:snapToGrid w:val="0"/>
              <w:spacing w:before="0" w:beforeAutospacing="0" w:after="0" w:afterAutospacing="0" w:line="240" w:lineRule="auto"/>
            </w:pPr>
          </w:p>
        </w:tc>
        <w:tc>
          <w:tcPr>
            <w:tcW w:w="1135" w:type="dxa"/>
            <w:shd w:val="clear" w:color="auto" w:fill="auto"/>
            <w:vAlign w:val="bottom"/>
          </w:tcPr>
          <w:p>
            <w:pPr>
              <w:snapToGrid w:val="0"/>
              <w:spacing w:before="0" w:beforeAutospacing="0" w:after="0" w:afterAutospacing="0" w:line="240" w:lineRule="auto"/>
            </w:pPr>
          </w:p>
        </w:tc>
        <w:tc>
          <w:tcPr>
            <w:tcW w:w="407" w:type="dxa"/>
            <w:shd w:val="clear" w:color="auto" w:fill="auto"/>
            <w:vAlign w:val="bottom"/>
          </w:tcPr>
          <w:p>
            <w:pPr>
              <w:snapToGrid w:val="0"/>
              <w:spacing w:before="0" w:beforeAutospacing="0" w:after="0" w:afterAutospacing="0" w:line="240" w:lineRule="auto"/>
            </w:pPr>
          </w:p>
        </w:tc>
        <w:tc>
          <w:tcPr>
            <w:tcW w:w="884" w:type="dxa"/>
            <w:shd w:val="clear" w:color="auto" w:fill="auto"/>
            <w:vAlign w:val="bottom"/>
          </w:tcPr>
          <w:p>
            <w:pPr>
              <w:snapToGrid w:val="0"/>
              <w:spacing w:before="0" w:beforeAutospacing="0" w:after="0" w:afterAutospacing="0" w:line="240" w:lineRule="auto"/>
            </w:pPr>
          </w:p>
        </w:tc>
        <w:tc>
          <w:tcPr>
            <w:tcW w:w="932" w:type="dxa"/>
            <w:shd w:val="clear" w:color="auto" w:fill="auto"/>
            <w:vAlign w:val="bottom"/>
          </w:tcPr>
          <w:p>
            <w:pPr>
              <w:snapToGrid w:val="0"/>
              <w:spacing w:before="0" w:beforeAutospacing="0" w:after="0" w:afterAutospacing="0" w:line="240" w:lineRule="auto"/>
            </w:pPr>
          </w:p>
        </w:tc>
      </w:tr>
    </w:tbl>
    <w:p>
      <w:pPr>
        <w:sectPr>
          <w:pgSz w:w="11907" w:h="16839"/>
          <w:pgMar w:top="400" w:right="1000" w:bottom="400" w:left="1000" w:header="720" w:footer="720" w:gutter="0"/>
          <w:cols w:space="720" w:num="1"/>
        </w:sectPr>
      </w:pPr>
    </w:p>
    <w:p>
      <w:pPr>
        <w:pStyle w:val="10"/>
        <w:widowControl w:val="0"/>
        <w:ind w:left="0" w:right="0"/>
        <w:contextualSpacing w:val="0"/>
        <w:rPr>
          <w:rFonts w:ascii="Arial" w:hAnsi="Arial" w:eastAsia="Arial" w:cs="Arial"/>
          <w:color w:val="000000"/>
          <w:sz w:val="2"/>
          <w:rtl w:val="0"/>
        </w:rPr>
      </w:pPr>
    </w:p>
    <w:tbl>
      <w:tblPr>
        <w:tblStyle w:val="4"/>
        <w:tblpPr w:leftFromText="180" w:rightFromText="180" w:vertAnchor="text" w:horzAnchor="page" w:tblpX="1418" w:tblpY="890"/>
        <w:tblW w:w="17660" w:type="dxa"/>
        <w:tblInd w:w="0" w:type="dxa"/>
        <w:shd w:val="clear" w:color="auto" w:fill="auto"/>
        <w:tblLayout w:type="fixed"/>
        <w:tblCellMar>
          <w:top w:w="0" w:type="dxa"/>
          <w:left w:w="0" w:type="dxa"/>
          <w:bottom w:w="0" w:type="dxa"/>
          <w:right w:w="0" w:type="dxa"/>
        </w:tblCellMar>
      </w:tblPr>
      <w:tblGrid>
        <w:gridCol w:w="1015"/>
        <w:gridCol w:w="1175"/>
        <w:gridCol w:w="1377"/>
        <w:gridCol w:w="1283"/>
        <w:gridCol w:w="1104"/>
        <w:gridCol w:w="1943"/>
        <w:gridCol w:w="1282"/>
        <w:gridCol w:w="1105"/>
        <w:gridCol w:w="1282"/>
        <w:gridCol w:w="1283"/>
        <w:gridCol w:w="1122"/>
        <w:gridCol w:w="1122"/>
        <w:gridCol w:w="2567"/>
      </w:tblGrid>
      <w:tr>
        <w:tblPrEx>
          <w:tblCellMar>
            <w:top w:w="0" w:type="dxa"/>
            <w:left w:w="0" w:type="dxa"/>
            <w:bottom w:w="0" w:type="dxa"/>
            <w:right w:w="0" w:type="dxa"/>
          </w:tblCellMar>
        </w:tblPrEx>
        <w:trPr>
          <w:trHeight w:val="570" w:hRule="exact"/>
        </w:trPr>
        <w:tc>
          <w:tcPr>
            <w:tcW w:w="17660" w:type="dxa"/>
            <w:gridSpan w:val="13"/>
            <w:tcBorders>
              <w:top w:val="nil"/>
              <w:left w:val="nil"/>
              <w:bottom w:val="single" w:color="auto" w:sz="4" w:space="0"/>
              <w:right w:val="nil"/>
            </w:tcBorders>
            <w:shd w:val="clear" w:color="auto" w:fill="auto"/>
            <w:vAlign w:val="center"/>
          </w:tcPr>
          <w:p>
            <w:pPr>
              <w:pStyle w:val="10"/>
              <w:widowControl w:val="0"/>
              <w:spacing w:line="465" w:lineRule="exact"/>
              <w:ind w:left="20" w:right="0"/>
              <w:contextualSpacing w:val="0"/>
              <w:jc w:val="center"/>
              <w:rPr>
                <w:rFonts w:ascii="?体" w:hAnsi="?体" w:eastAsia="?体" w:cs="?体"/>
                <w:color w:val="000000"/>
                <w:sz w:val="40"/>
                <w:rtl w:val="0"/>
              </w:rPr>
            </w:pPr>
            <w:r>
              <w:rPr>
                <w:rFonts w:ascii="?体" w:hAnsi="?体" w:eastAsia="?体" w:cs="?体"/>
                <w:b/>
                <w:color w:val="000000"/>
                <w:sz w:val="40"/>
                <w:rtl w:val="0"/>
              </w:rPr>
              <w:t>项目单位自评表</w:t>
            </w:r>
          </w:p>
        </w:tc>
      </w:tr>
      <w:tr>
        <w:tblPrEx>
          <w:shd w:val="clear" w:color="auto" w:fill="auto"/>
          <w:tblCellMar>
            <w:top w:w="0" w:type="dxa"/>
            <w:left w:w="0" w:type="dxa"/>
            <w:bottom w:w="0" w:type="dxa"/>
            <w:right w:w="0" w:type="dxa"/>
          </w:tblCellMar>
        </w:tblPrEx>
        <w:trPr>
          <w:trHeight w:val="287" w:hRule="exact"/>
        </w:trPr>
        <w:tc>
          <w:tcPr>
            <w:tcW w:w="2190"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项目名称</w:t>
            </w:r>
          </w:p>
        </w:tc>
        <w:tc>
          <w:tcPr>
            <w:tcW w:w="15470" w:type="dxa"/>
            <w:gridSpan w:val="11"/>
            <w:tcBorders>
              <w:top w:val="single" w:color="auto" w:sz="4"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房屋专项维修资金管理工作经费</w:t>
            </w:r>
          </w:p>
        </w:tc>
      </w:tr>
      <w:tr>
        <w:tblPrEx>
          <w:shd w:val="clear" w:color="auto" w:fill="auto"/>
          <w:tblCellMar>
            <w:top w:w="0" w:type="dxa"/>
            <w:left w:w="0" w:type="dxa"/>
            <w:bottom w:w="0" w:type="dxa"/>
            <w:right w:w="0" w:type="dxa"/>
          </w:tblCellMar>
        </w:tblPrEx>
        <w:trPr>
          <w:trHeight w:val="287" w:hRule="exact"/>
        </w:trPr>
        <w:tc>
          <w:tcPr>
            <w:tcW w:w="21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主管部门</w:t>
            </w:r>
          </w:p>
        </w:tc>
        <w:tc>
          <w:tcPr>
            <w:tcW w:w="570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许昌市住房和城乡建设局</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实施单位</w:t>
            </w:r>
          </w:p>
        </w:tc>
        <w:tc>
          <w:tcPr>
            <w:tcW w:w="7376"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许昌市物业管理中心</w:t>
            </w:r>
          </w:p>
        </w:tc>
      </w:tr>
      <w:tr>
        <w:tblPrEx>
          <w:shd w:val="clear" w:color="auto" w:fill="auto"/>
          <w:tblCellMar>
            <w:top w:w="0" w:type="dxa"/>
            <w:left w:w="0" w:type="dxa"/>
            <w:bottom w:w="0" w:type="dxa"/>
            <w:right w:w="0" w:type="dxa"/>
          </w:tblCellMar>
        </w:tblPrEx>
        <w:trPr>
          <w:trHeight w:val="287" w:hRule="exact"/>
        </w:trPr>
        <w:tc>
          <w:tcPr>
            <w:tcW w:w="21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项目资金（万元）</w:t>
            </w: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30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年初预算数</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全年预算数</w:t>
            </w:r>
          </w:p>
        </w:tc>
        <w:tc>
          <w:tcPr>
            <w:tcW w:w="25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全年执行数</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分值</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执行率 %</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得分</w:t>
            </w:r>
          </w:p>
        </w:tc>
      </w:tr>
      <w:tr>
        <w:tblPrEx>
          <w:shd w:val="clear" w:color="auto" w:fill="auto"/>
          <w:tblCellMar>
            <w:top w:w="0" w:type="dxa"/>
            <w:left w:w="0" w:type="dxa"/>
            <w:bottom w:w="0" w:type="dxa"/>
            <w:right w:w="0" w:type="dxa"/>
          </w:tblCellMar>
        </w:tblPrEx>
        <w:trPr>
          <w:trHeight w:val="287"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年度资金总额（万元）：</w:t>
            </w:r>
          </w:p>
        </w:tc>
        <w:tc>
          <w:tcPr>
            <w:tcW w:w="30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13</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13</w:t>
            </w:r>
          </w:p>
        </w:tc>
        <w:tc>
          <w:tcPr>
            <w:tcW w:w="25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12.99</w:t>
            </w:r>
          </w:p>
        </w:tc>
        <w:tc>
          <w:tcPr>
            <w:tcW w:w="1122" w:type="dxa"/>
            <w:tcBorders>
              <w:top w:val="single" w:color="FFFFFF" w:sz="4" w:space="0"/>
              <w:left w:val="single" w:color="FFFFFF" w:sz="4" w:space="0"/>
              <w:bottom w:val="single" w:color="FFFFFF" w:sz="4" w:space="0"/>
              <w:right w:val="single" w:color="FFFFFF" w:sz="4"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99.92</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9.99</w:t>
            </w:r>
          </w:p>
        </w:tc>
      </w:tr>
      <w:tr>
        <w:tblPrEx>
          <w:shd w:val="clear" w:color="auto" w:fill="auto"/>
          <w:tblCellMar>
            <w:top w:w="0" w:type="dxa"/>
            <w:left w:w="0" w:type="dxa"/>
            <w:bottom w:w="0" w:type="dxa"/>
            <w:right w:w="0" w:type="dxa"/>
          </w:tblCellMar>
        </w:tblPrEx>
        <w:trPr>
          <w:trHeight w:val="287"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政府性预算资金</w:t>
            </w:r>
          </w:p>
        </w:tc>
        <w:tc>
          <w:tcPr>
            <w:tcW w:w="30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13</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13</w:t>
            </w:r>
          </w:p>
        </w:tc>
        <w:tc>
          <w:tcPr>
            <w:tcW w:w="25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12.99</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99.92</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r>
      <w:tr>
        <w:tblPrEx>
          <w:shd w:val="clear" w:color="auto" w:fill="auto"/>
          <w:tblCellMar>
            <w:top w:w="0" w:type="dxa"/>
            <w:left w:w="0" w:type="dxa"/>
            <w:bottom w:w="0" w:type="dxa"/>
            <w:right w:w="0" w:type="dxa"/>
          </w:tblCellMar>
        </w:tblPrEx>
        <w:trPr>
          <w:trHeight w:val="287"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财政专户管理资金</w:t>
            </w:r>
          </w:p>
        </w:tc>
        <w:tc>
          <w:tcPr>
            <w:tcW w:w="30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5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r>
      <w:tr>
        <w:tblPrEx>
          <w:shd w:val="clear" w:color="auto" w:fill="auto"/>
          <w:tblCellMar>
            <w:top w:w="0" w:type="dxa"/>
            <w:left w:w="0" w:type="dxa"/>
            <w:bottom w:w="0" w:type="dxa"/>
            <w:right w:w="0" w:type="dxa"/>
          </w:tblCellMar>
        </w:tblPrEx>
        <w:trPr>
          <w:trHeight w:val="287"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单位资金</w:t>
            </w:r>
          </w:p>
        </w:tc>
        <w:tc>
          <w:tcPr>
            <w:tcW w:w="304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5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c>
          <w:tcPr>
            <w:tcW w:w="112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w:t>
            </w:r>
          </w:p>
        </w:tc>
      </w:tr>
      <w:tr>
        <w:tblPrEx>
          <w:shd w:val="clear" w:color="auto" w:fill="auto"/>
          <w:tblCellMar>
            <w:top w:w="0" w:type="dxa"/>
            <w:left w:w="0" w:type="dxa"/>
            <w:bottom w:w="0" w:type="dxa"/>
            <w:right w:w="0" w:type="dxa"/>
          </w:tblCellMar>
        </w:tblPrEx>
        <w:trPr>
          <w:trHeight w:val="287" w:hRule="exact"/>
        </w:trPr>
        <w:tc>
          <w:tcPr>
            <w:tcW w:w="21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资金管理情况</w:t>
            </w: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43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 xml:space="preserve"> 情况说明</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分值</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得分</w:t>
            </w:r>
          </w:p>
        </w:tc>
        <w:tc>
          <w:tcPr>
            <w:tcW w:w="609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存在问题和改进措施</w:t>
            </w:r>
          </w:p>
        </w:tc>
      </w:tr>
      <w:tr>
        <w:tblPrEx>
          <w:shd w:val="clear" w:color="auto" w:fill="auto"/>
          <w:tblCellMar>
            <w:top w:w="0" w:type="dxa"/>
            <w:left w:w="0" w:type="dxa"/>
            <w:bottom w:w="0" w:type="dxa"/>
            <w:right w:w="0" w:type="dxa"/>
          </w:tblCellMar>
        </w:tblPrEx>
        <w:trPr>
          <w:trHeight w:val="453"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安排科学性</w:t>
            </w:r>
          </w:p>
        </w:tc>
        <w:tc>
          <w:tcPr>
            <w:tcW w:w="43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按照单位预算编制和资金管理办法的要求，进行项目论证、评审、立项等必要程序。</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609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680"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拨付合规性</w:t>
            </w:r>
          </w:p>
        </w:tc>
        <w:tc>
          <w:tcPr>
            <w:tcW w:w="43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严格按照国库集中支付制度有关规定支付资金，未出现违规将资金从国库转入财政专户或支付到预算单位实有资金账户等问题。</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609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使用规范性</w:t>
            </w:r>
          </w:p>
        </w:tc>
        <w:tc>
          <w:tcPr>
            <w:tcW w:w="43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严格按照下达预算的科目和项目执行，未出现截留、挤占、挪用和擅自调整等问题。</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609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21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6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预算绩效管理情况</w:t>
            </w:r>
          </w:p>
        </w:tc>
        <w:tc>
          <w:tcPr>
            <w:tcW w:w="43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将资金纳入预算绩效管理，设置绩效目标，开展绩效监控。</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609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年度总体目标</w:t>
            </w:r>
          </w:p>
        </w:tc>
        <w:tc>
          <w:tcPr>
            <w:tcW w:w="688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预期目标</w:t>
            </w:r>
          </w:p>
        </w:tc>
        <w:tc>
          <w:tcPr>
            <w:tcW w:w="976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实际完成情况</w:t>
            </w:r>
          </w:p>
        </w:tc>
      </w:tr>
      <w:tr>
        <w:tblPrEx>
          <w:shd w:val="clear" w:color="auto" w:fill="auto"/>
          <w:tblCellMar>
            <w:top w:w="0" w:type="dxa"/>
            <w:left w:w="0" w:type="dxa"/>
            <w:bottom w:w="0" w:type="dxa"/>
            <w:right w:w="0" w:type="dxa"/>
          </w:tblCellMar>
        </w:tblPrEx>
        <w:trPr>
          <w:trHeight w:val="1871"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6882"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pPr>
              <w:pStyle w:val="10"/>
              <w:widowControl w:val="0"/>
              <w:spacing w:line="225" w:lineRule="exact"/>
              <w:ind w:left="20" w:right="0"/>
              <w:contextualSpacing w:val="0"/>
              <w:jc w:val="both"/>
              <w:rPr>
                <w:rFonts w:ascii="?体" w:hAnsi="?体" w:eastAsia="?体" w:cs="?体"/>
                <w:color w:val="000000"/>
                <w:sz w:val="18"/>
                <w:rtl w:val="0"/>
              </w:rPr>
            </w:pPr>
            <w:r>
              <w:rPr>
                <w:rFonts w:ascii="?体" w:hAnsi="?体" w:eastAsia="?体" w:cs="?体"/>
                <w:color w:val="000000"/>
                <w:sz w:val="18"/>
                <w:rtl w:val="0"/>
              </w:rPr>
              <w:t>目标1:保持维修资金管理工作的连续性、稳定性，进一步做好维修资金归集、管理和使用工作，维护广大业主合法权益，确保我市房屋专项维修资金管理各项工作顺利实施，进一步提升我市市区维修资金信息化管理水平，建立维修资金管理部门、专户管理银行、开发企业、物业企业等多方有机统一的维修资金管理信息系统，实现数据共享，提高工作效率；</w:t>
            </w:r>
          </w:p>
          <w:p>
            <w:pPr>
              <w:pStyle w:val="10"/>
              <w:widowControl w:val="0"/>
              <w:spacing w:line="225" w:lineRule="exact"/>
              <w:ind w:left="20" w:right="0"/>
              <w:contextualSpacing w:val="0"/>
              <w:jc w:val="both"/>
              <w:rPr>
                <w:rFonts w:ascii="?体" w:hAnsi="?体" w:eastAsia="?体" w:cs="?体"/>
                <w:color w:val="000000"/>
                <w:sz w:val="18"/>
                <w:rtl w:val="0"/>
              </w:rPr>
            </w:pPr>
            <w:r>
              <w:rPr>
                <w:rFonts w:ascii="?体" w:hAnsi="?体" w:eastAsia="?体" w:cs="?体"/>
                <w:color w:val="000000"/>
                <w:sz w:val="18"/>
                <w:rtl w:val="0"/>
              </w:rPr>
              <w:t>目标2：确保单位聘请劳务人员工服务费支付及时到位，保障单位日常工作平稳运行；</w:t>
            </w:r>
          </w:p>
          <w:p>
            <w:pPr>
              <w:pStyle w:val="10"/>
              <w:widowControl w:val="0"/>
              <w:spacing w:line="225" w:lineRule="exact"/>
              <w:ind w:left="20" w:right="0"/>
              <w:contextualSpacing w:val="0"/>
              <w:jc w:val="both"/>
              <w:rPr>
                <w:rFonts w:ascii="?体" w:hAnsi="?体" w:eastAsia="?体" w:cs="?体"/>
                <w:color w:val="000000"/>
                <w:sz w:val="18"/>
                <w:rtl w:val="0"/>
              </w:rPr>
            </w:pPr>
            <w:r>
              <w:rPr>
                <w:rFonts w:ascii="?体" w:hAnsi="?体" w:eastAsia="?体" w:cs="?体"/>
                <w:color w:val="000000"/>
                <w:sz w:val="18"/>
                <w:rtl w:val="0"/>
              </w:rPr>
              <w:t>目标3：按照维修资金系统升级合同和系统维护协议及时支付系统运行维护费，确保系统平稳运行。</w:t>
            </w:r>
          </w:p>
        </w:tc>
        <w:tc>
          <w:tcPr>
            <w:tcW w:w="976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保持维修资金管理工作的连续性、稳定性，进一步做好维修资金归集、管理和使用工作，维护广大业主合法权益，确保我市房屋专项维修资金管理各项工作顺利实施，进一步提升我市市区维修资金信息化管理水平，建立维修资金管理部门、专户管理银行、开发企业、物业企业等多方有机统一的维修资金管理信息系统，实现数据共享，提高工作效率；确保单位聘请劳务人员工资发放到位，保障单位日常工作平稳运行；按照维修资金系统维护协议及时支付系统运行维护费，确保系统平稳运行。</w:t>
            </w:r>
          </w:p>
        </w:tc>
      </w:tr>
      <w:tr>
        <w:tblPrEx>
          <w:shd w:val="clear" w:color="auto" w:fill="auto"/>
          <w:tblCellMar>
            <w:top w:w="0" w:type="dxa"/>
            <w:left w:w="0" w:type="dxa"/>
            <w:bottom w:w="0" w:type="dxa"/>
            <w:right w:w="0" w:type="dxa"/>
          </w:tblCellMar>
        </w:tblPrEx>
        <w:trPr>
          <w:trHeight w:val="287" w:hRule="exact"/>
        </w:trPr>
        <w:tc>
          <w:tcPr>
            <w:tcW w:w="10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绩效指标</w:t>
            </w:r>
          </w:p>
        </w:tc>
        <w:tc>
          <w:tcPr>
            <w:tcW w:w="1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一级指标</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二级指标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三级指标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年度指标值</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实际完成值</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分值</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得分</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偏差度 %</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偏差原因分析及改进措施</w:t>
            </w: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体" w:hAnsi="?体" w:eastAsia="?体" w:cs="?体"/>
                <w:color w:val="000000"/>
                <w:sz w:val="18"/>
                <w:rtl w:val="0"/>
              </w:rPr>
            </w:pPr>
          </w:p>
        </w:tc>
        <w:tc>
          <w:tcPr>
            <w:tcW w:w="11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成本指标</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经济成本指标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项目成本</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≤13</w:t>
            </w:r>
            <w:r>
              <w:rPr>
                <w:rFonts w:ascii="?体" w:hAnsi="?体" w:eastAsia="?体" w:cs="?体"/>
                <w:color w:val="000000"/>
                <w:sz w:val="18"/>
                <w:rtl w:val="0"/>
              </w:rPr>
              <w:tab/>
            </w:r>
            <w:r>
              <w:rPr>
                <w:rFonts w:ascii="?体" w:hAnsi="?体" w:eastAsia="?体" w:cs="?体"/>
                <w:color w:val="000000"/>
                <w:sz w:val="18"/>
                <w:rtl w:val="0"/>
              </w:rPr>
              <w:t xml:space="preserve"> 万元/年</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12.99</w:t>
            </w:r>
            <w:r>
              <w:rPr>
                <w:rFonts w:ascii="?体" w:hAnsi="?体" w:eastAsia="?体" w:cs="?体"/>
                <w:color w:val="000000"/>
                <w:sz w:val="18"/>
                <w:rtl w:val="0"/>
              </w:rPr>
              <w:tab/>
            </w:r>
            <w:r>
              <w:rPr>
                <w:rFonts w:ascii="?体" w:hAnsi="?体" w:eastAsia="?体" w:cs="?体"/>
                <w:color w:val="000000"/>
                <w:sz w:val="18"/>
                <w:rtl w:val="0"/>
              </w:rPr>
              <w:t xml:space="preserve"> 万元/年</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rPr>
                <w:rFonts w:ascii="?体" w:hAnsi="?体" w:eastAsia="?体" w:cs="?体"/>
                <w:color w:val="000000"/>
                <w:sz w:val="18"/>
                <w:rtl w:val="0"/>
              </w:rPr>
            </w:pPr>
            <w:r>
              <w:rPr>
                <w:rFonts w:ascii="?体" w:hAnsi="?体" w:eastAsia="?体" w:cs="?体"/>
                <w:color w:val="000000"/>
                <w:sz w:val="18"/>
                <w:rtl w:val="0"/>
              </w:rPr>
              <w:t>社会成本指标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生态环境成本指标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产出指标</w:t>
            </w:r>
          </w:p>
        </w:tc>
        <w:tc>
          <w:tcPr>
            <w:tcW w:w="13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数量指标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覆盖全市已缴存维修资金业主</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聘请劳务人员人数</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≤3个</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2个</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维修资金管理系统</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1个</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1个</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质量指标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维护系统正常运行率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劳务人员服务费发放准确率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专项工作正常开展率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时效指标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劳务服务费支付及时率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≥85%</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房屋维修资金管理工作完成及时率</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≥95%</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4</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系统运行维护费支付及时</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每年6月支付</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3</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效益指标</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经济效益指标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社会效益指标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保障专项工作正常开展</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保障</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25</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25</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生态效益指标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453"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11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满意度指标</w:t>
            </w:r>
          </w:p>
        </w:tc>
        <w:tc>
          <w:tcPr>
            <w:tcW w:w="13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服务对象满意度指标</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社会群众满意度</w:t>
            </w:r>
          </w:p>
        </w:tc>
        <w:tc>
          <w:tcPr>
            <w:tcW w:w="194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≥95%</w:t>
            </w:r>
          </w:p>
        </w:tc>
        <w:tc>
          <w:tcPr>
            <w:tcW w:w="238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95%</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5</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0.00%</w:t>
            </w: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r>
        <w:tblPrEx>
          <w:shd w:val="clear" w:color="auto" w:fill="auto"/>
          <w:tblCellMar>
            <w:top w:w="0" w:type="dxa"/>
            <w:left w:w="0" w:type="dxa"/>
            <w:bottom w:w="0" w:type="dxa"/>
            <w:right w:w="0" w:type="dxa"/>
          </w:tblCellMar>
        </w:tblPrEx>
        <w:trPr>
          <w:trHeight w:val="287" w:hRule="exact"/>
        </w:trPr>
        <w:tc>
          <w:tcPr>
            <w:tcW w:w="10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rPr>
                <w:rFonts w:ascii="Arial" w:hAnsi="Arial" w:eastAsia="Arial" w:cs="Arial"/>
                <w:color w:val="000000"/>
                <w:sz w:val="24"/>
                <w:rtl w:val="0"/>
              </w:rPr>
            </w:pPr>
          </w:p>
        </w:tc>
        <w:tc>
          <w:tcPr>
            <w:tcW w:w="9269"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总分</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100</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spacing w:line="225" w:lineRule="exact"/>
              <w:ind w:left="20" w:right="0"/>
              <w:contextualSpacing w:val="0"/>
              <w:jc w:val="center"/>
              <w:rPr>
                <w:rFonts w:ascii="?体" w:hAnsi="?体" w:eastAsia="?体" w:cs="?体"/>
                <w:color w:val="000000"/>
                <w:sz w:val="18"/>
                <w:rtl w:val="0"/>
              </w:rPr>
            </w:pPr>
            <w:r>
              <w:rPr>
                <w:rFonts w:ascii="?体" w:hAnsi="?体" w:eastAsia="?体" w:cs="?体"/>
                <w:color w:val="000000"/>
                <w:sz w:val="18"/>
                <w:rtl w:val="0"/>
              </w:rPr>
              <w:t>99.99</w:t>
            </w:r>
          </w:p>
        </w:tc>
        <w:tc>
          <w:tcPr>
            <w:tcW w:w="22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c>
          <w:tcPr>
            <w:tcW w:w="256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0"/>
              <w:widowControl w:val="0"/>
              <w:ind w:left="0" w:right="0"/>
              <w:contextualSpacing w:val="0"/>
              <w:jc w:val="center"/>
              <w:rPr>
                <w:rFonts w:ascii="Arial" w:hAnsi="Arial" w:eastAsia="Arial" w:cs="Arial"/>
                <w:color w:val="000000"/>
                <w:sz w:val="24"/>
                <w:rtl w:val="0"/>
              </w:rPr>
            </w:pPr>
          </w:p>
        </w:tc>
      </w:tr>
    </w:tbl>
    <w:p>
      <w:pPr>
        <w:pStyle w:val="10"/>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体">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XCVtg7QEAAMIDAAAOAAAAZHJz&#10;L2Uyb0RvYy54bWytU82O0zAQviPxDpbvNEm1gipqukKsipBWbKVlH8B17MaS/zR2m5QHgDfgxIU7&#10;z9XnYOykXWD3hLg44/H483zffFleD0aTg4CgnG1oNSspEZa7VtldQx8+rV8tKAmR2ZZpZ0VDjyLQ&#10;69XLF8ve12LuOqdbAQRBbKh739AuRl8XReCdMCzMnBcWD6UDwyJuYVe0wHpEN7qYl+XronfQenBc&#10;hIDZm/GQrjK+lILHOymDiEQ3FHuLeYW8btNarJas3gHzneJTG+wfujBMWXz0AnXDIiN7UE+gjOLg&#10;gpNxxp0pnJSKi8wB2VTlX2zuO+ZF5oLiBH+RKfw/WP7xsAGi2oZeXZVvKLHM4JRO376evv88/fhC&#10;qqRQ70ONhfd+A9MuYJjoDhJM+iIRMmRVjxdVxRAJx2S1mC8WJYrP8ey8QZzi8bqHEN8LZ0gKGgo4&#10;tqwmO9yGOJaeS9Jr1q2V1phntbZ/JBAzZYrU8dhjiuKwHabGt649ImFwoxOC52uFb96yEDcMcPTY&#10;J9o53uEitesb6qaIks7B5+fyqR4ngqeU9Gilhlr0OiX6g8VJJdedAzgH23Ng9+adQ29WlEDUOcQL&#10;zHKEa2ikZO9B7TrEl0yHZAaGxN7uI0qQlUn8RlITbTRK1nYydXLi7/tc9fjrr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XW5UtAAAAAFAQAADwAAAAAAAAABACAAAAA4AAAAZHJzL2Rvd25yZXYu&#10;eG1sUEsBAhQAFAAAAAgAh07iQNcJW2DtAQAAwgMAAA4AAAAAAAAAAQAgAAAANQEAAGRycy9lMm9E&#10;b2MueG1sUEsFBgAAAAAGAAYAWQEAAJQ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FB3E4"/>
    <w:multiLevelType w:val="multilevel"/>
    <w:tmpl w:val="FCEFB3E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DEC76C0"/>
    <w:rsid w:val="E7E81FB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6572c17c-182b-4021-baa4-a14670881390"/>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5</TotalTime>
  <ScaleCrop>false</ScaleCrop>
  <LinksUpToDate>false</LinksUpToDate>
  <CharactersWithSpaces>19414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2024-10-08T17:14:38Z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DF94CE1DC53D4C5F990C8EECCB3F5EB2_13</vt:lpwstr>
  </property>
</Properties>
</file>