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许昌市法学会</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许昌市法学会</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许昌市法学会概况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组织推动法学研究，传播法学信息，开展法学交流，接受委托参与地方法规、规章的起草、修改和咨询、论证工作。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许昌市法学会</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许昌市法学会</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1.许昌市法学会。</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单位：许昌市法学会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59.81</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51.26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2.81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2.96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2.78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59.81</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59.81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59.81</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59.81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单位：许昌市法学会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59.81</w:t>
            </w:r>
          </w:p>
        </w:tc>
        <w:tc>
          <w:tcPr>
            <w:tcW w:w="1440" w:type="dxa"/>
            <w:tcBorders/>
            <w:vAlign w:val="center"/>
          </w:tcPr>
          <w:p>
            <w:pPr>
              <w:jc w:val="right"/>
            </w:pPr>
            <w:r>
              <w:rPr>
                <w:rFonts w:ascii="宋体" w:eastAsia="宋体" w:hAnsi="宋体" w:cs="宋体"/>
                <w:b/>
                <w:i w:val="0"/>
                <w:color w:val="000000"/>
                <w:sz w:val="17"/>
              </w:rPr>
              <w:t xml:space="preserve">59.81</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51.26</w:t>
            </w:r>
          </w:p>
        </w:tc>
        <w:tc>
          <w:tcPr>
            <w:tcW w:w="1440" w:type="dxa"/>
            <w:tcBorders/>
            <w:vAlign w:val="center"/>
          </w:tcPr>
          <w:p>
            <w:pPr>
              <w:jc w:val="right"/>
            </w:pPr>
            <w:r>
              <w:rPr>
                <w:rFonts w:ascii="宋体" w:eastAsia="宋体" w:hAnsi="宋体" w:cs="宋体"/>
                <w:b w:val="0"/>
                <w:i w:val="0"/>
                <w:color w:val="000000"/>
                <w:sz w:val="17"/>
              </w:rPr>
              <w:t xml:space="preserve">51.26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0.22</w:t>
            </w:r>
          </w:p>
        </w:tc>
        <w:tc>
          <w:tcPr>
            <w:tcW w:w="1440" w:type="dxa"/>
            <w:tcBorders/>
            <w:vAlign w:val="center"/>
          </w:tcPr>
          <w:p>
            <w:pPr>
              <w:jc w:val="right"/>
            </w:pPr>
            <w:r>
              <w:rPr>
                <w:rFonts w:ascii="宋体" w:eastAsia="宋体" w:hAnsi="宋体" w:cs="宋体"/>
                <w:b w:val="0"/>
                <w:i w:val="0"/>
                <w:color w:val="000000"/>
                <w:sz w:val="17"/>
              </w:rPr>
              <w:t xml:space="preserve">0.22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0.22</w:t>
            </w:r>
          </w:p>
        </w:tc>
        <w:tc>
          <w:tcPr>
            <w:tcW w:w="1440" w:type="dxa"/>
            <w:tcBorders/>
            <w:vAlign w:val="center"/>
          </w:tcPr>
          <w:p>
            <w:pPr>
              <w:jc w:val="right"/>
            </w:pPr>
            <w:r>
              <w:rPr>
                <w:rFonts w:ascii="宋体" w:eastAsia="宋体" w:hAnsi="宋体" w:cs="宋体"/>
                <w:b w:val="0"/>
                <w:i w:val="0"/>
                <w:color w:val="000000"/>
                <w:sz w:val="17"/>
              </w:rPr>
              <w:t xml:space="preserve">0.22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党委办公厅（室）及相关机构事务</w:t>
            </w:r>
          </w:p>
        </w:tc>
        <w:tc>
          <w:tcPr>
            <w:tcW w:w="1440" w:type="dxa"/>
            <w:tcBorders/>
            <w:vAlign w:val="center"/>
          </w:tcPr>
          <w:p>
            <w:pPr>
              <w:jc w:val="right"/>
            </w:pPr>
            <w:r>
              <w:rPr>
                <w:rFonts w:ascii="宋体" w:eastAsia="宋体" w:hAnsi="宋体" w:cs="宋体"/>
                <w:b w:val="0"/>
                <w:i w:val="0"/>
                <w:color w:val="000000"/>
                <w:sz w:val="17"/>
              </w:rPr>
              <w:t xml:space="preserve">48.92</w:t>
            </w:r>
          </w:p>
        </w:tc>
        <w:tc>
          <w:tcPr>
            <w:tcW w:w="1440" w:type="dxa"/>
            <w:tcBorders/>
            <w:vAlign w:val="center"/>
          </w:tcPr>
          <w:p>
            <w:pPr>
              <w:jc w:val="right"/>
            </w:pPr>
            <w:r>
              <w:rPr>
                <w:rFonts w:ascii="宋体" w:eastAsia="宋体" w:hAnsi="宋体" w:cs="宋体"/>
                <w:b w:val="0"/>
                <w:i w:val="0"/>
                <w:color w:val="000000"/>
                <w:sz w:val="17"/>
              </w:rPr>
              <w:t xml:space="preserve">48.92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0.45</w:t>
            </w:r>
          </w:p>
        </w:tc>
        <w:tc>
          <w:tcPr>
            <w:tcW w:w="1440" w:type="dxa"/>
            <w:tcBorders/>
            <w:vAlign w:val="center"/>
          </w:tcPr>
          <w:p>
            <w:pPr>
              <w:jc w:val="right"/>
            </w:pPr>
            <w:r>
              <w:rPr>
                <w:rFonts w:ascii="宋体" w:eastAsia="宋体" w:hAnsi="宋体" w:cs="宋体"/>
                <w:b w:val="0"/>
                <w:i w:val="0"/>
                <w:color w:val="000000"/>
                <w:sz w:val="17"/>
              </w:rPr>
              <w:t xml:space="preserve">0.45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2013150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事业运行</w:t>
            </w:r>
          </w:p>
        </w:tc>
        <w:tc>
          <w:tcPr>
            <w:tcW w:w="1440" w:type="dxa"/>
            <w:tcBorders/>
            <w:vAlign w:val="center"/>
          </w:tcPr>
          <w:p>
            <w:pPr>
              <w:jc w:val="right"/>
            </w:pPr>
            <w:r>
              <w:rPr>
                <w:rFonts w:ascii="宋体" w:eastAsia="宋体" w:hAnsi="宋体" w:cs="宋体"/>
                <w:b w:val="0"/>
                <w:i w:val="0"/>
                <w:color w:val="000000"/>
                <w:sz w:val="17"/>
              </w:rPr>
              <w:t xml:space="preserve">48.46</w:t>
            </w:r>
          </w:p>
        </w:tc>
        <w:tc>
          <w:tcPr>
            <w:tcW w:w="1440" w:type="dxa"/>
            <w:tcBorders/>
            <w:vAlign w:val="center"/>
          </w:tcPr>
          <w:p>
            <w:pPr>
              <w:jc w:val="right"/>
            </w:pPr>
            <w:r>
              <w:rPr>
                <w:rFonts w:ascii="宋体" w:eastAsia="宋体" w:hAnsi="宋体" w:cs="宋体"/>
                <w:b w:val="0"/>
                <w:i w:val="0"/>
                <w:color w:val="000000"/>
                <w:sz w:val="17"/>
              </w:rPr>
              <w:t xml:space="preserve">48.46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2.12</w:t>
            </w:r>
          </w:p>
        </w:tc>
        <w:tc>
          <w:tcPr>
            <w:tcW w:w="1440" w:type="dxa"/>
            <w:tcBorders/>
            <w:vAlign w:val="center"/>
          </w:tcPr>
          <w:p>
            <w:pPr>
              <w:jc w:val="right"/>
            </w:pPr>
            <w:r>
              <w:rPr>
                <w:rFonts w:ascii="宋体" w:eastAsia="宋体" w:hAnsi="宋体" w:cs="宋体"/>
                <w:b w:val="0"/>
                <w:i w:val="0"/>
                <w:color w:val="000000"/>
                <w:sz w:val="17"/>
              </w:rPr>
              <w:t xml:space="preserve">2.12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2.12</w:t>
            </w:r>
          </w:p>
        </w:tc>
        <w:tc>
          <w:tcPr>
            <w:tcW w:w="1440" w:type="dxa"/>
            <w:tcBorders/>
            <w:vAlign w:val="center"/>
          </w:tcPr>
          <w:p>
            <w:pPr>
              <w:jc w:val="right"/>
            </w:pPr>
            <w:r>
              <w:rPr>
                <w:rFonts w:ascii="宋体" w:eastAsia="宋体" w:hAnsi="宋体" w:cs="宋体"/>
                <w:b w:val="0"/>
                <w:i w:val="0"/>
                <w:color w:val="000000"/>
                <w:sz w:val="17"/>
              </w:rPr>
              <w:t xml:space="preserve">2.12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2.81</w:t>
            </w:r>
          </w:p>
        </w:tc>
        <w:tc>
          <w:tcPr>
            <w:tcW w:w="1440" w:type="dxa"/>
            <w:tcBorders/>
            <w:vAlign w:val="center"/>
          </w:tcPr>
          <w:p>
            <w:pPr>
              <w:jc w:val="right"/>
            </w:pPr>
            <w:r>
              <w:rPr>
                <w:rFonts w:ascii="宋体" w:eastAsia="宋体" w:hAnsi="宋体" w:cs="宋体"/>
                <w:b w:val="0"/>
                <w:i w:val="0"/>
                <w:color w:val="000000"/>
                <w:sz w:val="17"/>
              </w:rPr>
              <w:t xml:space="preserve">2.81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2.81</w:t>
            </w:r>
          </w:p>
        </w:tc>
        <w:tc>
          <w:tcPr>
            <w:tcW w:w="1440" w:type="dxa"/>
            <w:tcBorders/>
            <w:vAlign w:val="center"/>
          </w:tcPr>
          <w:p>
            <w:pPr>
              <w:jc w:val="right"/>
            </w:pPr>
            <w:r>
              <w:rPr>
                <w:rFonts w:ascii="宋体" w:eastAsia="宋体" w:hAnsi="宋体" w:cs="宋体"/>
                <w:b w:val="0"/>
                <w:i w:val="0"/>
                <w:color w:val="000000"/>
                <w:sz w:val="17"/>
              </w:rPr>
              <w:t xml:space="preserve">2.81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2.81</w:t>
            </w:r>
          </w:p>
        </w:tc>
        <w:tc>
          <w:tcPr>
            <w:tcW w:w="1440" w:type="dxa"/>
            <w:tcBorders/>
            <w:vAlign w:val="center"/>
          </w:tcPr>
          <w:p>
            <w:pPr>
              <w:jc w:val="right"/>
            </w:pPr>
            <w:r>
              <w:rPr>
                <w:rFonts w:ascii="宋体" w:eastAsia="宋体" w:hAnsi="宋体" w:cs="宋体"/>
                <w:b w:val="0"/>
                <w:i w:val="0"/>
                <w:color w:val="000000"/>
                <w:sz w:val="17"/>
              </w:rPr>
              <w:t xml:space="preserve">2.81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2.96</w:t>
            </w:r>
          </w:p>
        </w:tc>
        <w:tc>
          <w:tcPr>
            <w:tcW w:w="1440" w:type="dxa"/>
            <w:tcBorders/>
            <w:vAlign w:val="center"/>
          </w:tcPr>
          <w:p>
            <w:pPr>
              <w:jc w:val="right"/>
            </w:pPr>
            <w:r>
              <w:rPr>
                <w:rFonts w:ascii="宋体" w:eastAsia="宋体" w:hAnsi="宋体" w:cs="宋体"/>
                <w:b w:val="0"/>
                <w:i w:val="0"/>
                <w:color w:val="000000"/>
                <w:sz w:val="17"/>
              </w:rPr>
              <w:t xml:space="preserve">2.96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2.96</w:t>
            </w:r>
          </w:p>
        </w:tc>
        <w:tc>
          <w:tcPr>
            <w:tcW w:w="1440" w:type="dxa"/>
            <w:tcBorders/>
            <w:vAlign w:val="center"/>
          </w:tcPr>
          <w:p>
            <w:pPr>
              <w:jc w:val="right"/>
            </w:pPr>
            <w:r>
              <w:rPr>
                <w:rFonts w:ascii="宋体" w:eastAsia="宋体" w:hAnsi="宋体" w:cs="宋体"/>
                <w:b w:val="0"/>
                <w:i w:val="0"/>
                <w:color w:val="000000"/>
                <w:sz w:val="17"/>
              </w:rPr>
              <w:t xml:space="preserve">2.96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1.34</w:t>
            </w:r>
          </w:p>
        </w:tc>
        <w:tc>
          <w:tcPr>
            <w:tcW w:w="1440" w:type="dxa"/>
            <w:tcBorders/>
            <w:vAlign w:val="center"/>
          </w:tcPr>
          <w:p>
            <w:pPr>
              <w:jc w:val="right"/>
            </w:pPr>
            <w:r>
              <w:rPr>
                <w:rFonts w:ascii="宋体" w:eastAsia="宋体" w:hAnsi="宋体" w:cs="宋体"/>
                <w:b w:val="0"/>
                <w:i w:val="0"/>
                <w:color w:val="000000"/>
                <w:sz w:val="17"/>
              </w:rPr>
              <w:t xml:space="preserve">1.34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1.62</w:t>
            </w:r>
          </w:p>
        </w:tc>
        <w:tc>
          <w:tcPr>
            <w:tcW w:w="1440" w:type="dxa"/>
            <w:tcBorders/>
            <w:vAlign w:val="center"/>
          </w:tcPr>
          <w:p>
            <w:pPr>
              <w:jc w:val="right"/>
            </w:pPr>
            <w:r>
              <w:rPr>
                <w:rFonts w:ascii="宋体" w:eastAsia="宋体" w:hAnsi="宋体" w:cs="宋体"/>
                <w:b w:val="0"/>
                <w:i w:val="0"/>
                <w:color w:val="000000"/>
                <w:sz w:val="17"/>
              </w:rPr>
              <w:t xml:space="preserve">1.62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2.78</w:t>
            </w:r>
          </w:p>
        </w:tc>
        <w:tc>
          <w:tcPr>
            <w:tcW w:w="1440" w:type="dxa"/>
            <w:tcBorders/>
            <w:vAlign w:val="center"/>
          </w:tcPr>
          <w:p>
            <w:pPr>
              <w:jc w:val="right"/>
            </w:pPr>
            <w:r>
              <w:rPr>
                <w:rFonts w:ascii="宋体" w:eastAsia="宋体" w:hAnsi="宋体" w:cs="宋体"/>
                <w:b w:val="0"/>
                <w:i w:val="0"/>
                <w:color w:val="000000"/>
                <w:sz w:val="17"/>
              </w:rPr>
              <w:t xml:space="preserve">2.78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2.78</w:t>
            </w:r>
          </w:p>
        </w:tc>
        <w:tc>
          <w:tcPr>
            <w:tcW w:w="1440" w:type="dxa"/>
            <w:tcBorders/>
            <w:vAlign w:val="center"/>
          </w:tcPr>
          <w:p>
            <w:pPr>
              <w:jc w:val="right"/>
            </w:pPr>
            <w:r>
              <w:rPr>
                <w:rFonts w:ascii="宋体" w:eastAsia="宋体" w:hAnsi="宋体" w:cs="宋体"/>
                <w:b w:val="0"/>
                <w:i w:val="0"/>
                <w:color w:val="000000"/>
                <w:sz w:val="17"/>
              </w:rPr>
              <w:t xml:space="preserve">2.78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2.78</w:t>
            </w:r>
          </w:p>
        </w:tc>
        <w:tc>
          <w:tcPr>
            <w:tcW w:w="1440" w:type="dxa"/>
            <w:tcBorders/>
            <w:vAlign w:val="center"/>
          </w:tcPr>
          <w:p>
            <w:pPr>
              <w:jc w:val="right"/>
            </w:pPr>
            <w:r>
              <w:rPr>
                <w:rFonts w:ascii="宋体" w:eastAsia="宋体" w:hAnsi="宋体" w:cs="宋体"/>
                <w:b w:val="0"/>
                <w:i w:val="0"/>
                <w:color w:val="000000"/>
                <w:sz w:val="17"/>
              </w:rPr>
              <w:t xml:space="preserve">2.78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单位：许昌市法学会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59.81</w:t>
            </w:r>
          </w:p>
        </w:tc>
        <w:tc>
          <w:tcPr>
            <w:tcW w:w="1600" w:type="dxa"/>
            <w:tcBorders/>
            <w:vAlign w:val="center"/>
          </w:tcPr>
          <w:p>
            <w:pPr>
              <w:jc w:val="right"/>
            </w:pPr>
            <w:r>
              <w:rPr>
                <w:rFonts w:ascii="宋体" w:eastAsia="宋体" w:hAnsi="宋体" w:cs="宋体"/>
                <w:b/>
                <w:i w:val="0"/>
                <w:color w:val="000000"/>
                <w:sz w:val="19"/>
              </w:rPr>
              <w:t xml:space="preserve">59.81</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51.26</w:t>
            </w:r>
          </w:p>
        </w:tc>
        <w:tc>
          <w:tcPr>
            <w:tcW w:w="1600" w:type="dxa"/>
            <w:tcBorders/>
            <w:vAlign w:val="center"/>
          </w:tcPr>
          <w:p>
            <w:pPr>
              <w:jc w:val="right"/>
            </w:pPr>
            <w:r>
              <w:rPr>
                <w:rFonts w:ascii="宋体" w:eastAsia="宋体" w:hAnsi="宋体" w:cs="宋体"/>
                <w:b w:val="0"/>
                <w:i w:val="0"/>
                <w:color w:val="000000"/>
                <w:sz w:val="19"/>
              </w:rPr>
              <w:t xml:space="preserve">51.26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0.22</w:t>
            </w:r>
          </w:p>
        </w:tc>
        <w:tc>
          <w:tcPr>
            <w:tcW w:w="1600" w:type="dxa"/>
            <w:tcBorders/>
            <w:vAlign w:val="center"/>
          </w:tcPr>
          <w:p>
            <w:pPr>
              <w:jc w:val="right"/>
            </w:pPr>
            <w:r>
              <w:rPr>
                <w:rFonts w:ascii="宋体" w:eastAsia="宋体" w:hAnsi="宋体" w:cs="宋体"/>
                <w:b w:val="0"/>
                <w:i w:val="0"/>
                <w:color w:val="000000"/>
                <w:sz w:val="19"/>
              </w:rPr>
              <w:t xml:space="preserve">0.22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0.22</w:t>
            </w:r>
          </w:p>
        </w:tc>
        <w:tc>
          <w:tcPr>
            <w:tcW w:w="1600" w:type="dxa"/>
            <w:tcBorders/>
            <w:vAlign w:val="center"/>
          </w:tcPr>
          <w:p>
            <w:pPr>
              <w:jc w:val="right"/>
            </w:pPr>
            <w:r>
              <w:rPr>
                <w:rFonts w:ascii="宋体" w:eastAsia="宋体" w:hAnsi="宋体" w:cs="宋体"/>
                <w:b w:val="0"/>
                <w:i w:val="0"/>
                <w:color w:val="000000"/>
                <w:sz w:val="19"/>
              </w:rPr>
              <w:t xml:space="preserve">0.22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党委办公厅（室）及相关机构事务</w:t>
            </w:r>
          </w:p>
        </w:tc>
        <w:tc>
          <w:tcPr>
            <w:tcW w:w="1600" w:type="dxa"/>
            <w:tcBorders/>
            <w:vAlign w:val="center"/>
          </w:tcPr>
          <w:p>
            <w:pPr>
              <w:jc w:val="right"/>
            </w:pPr>
            <w:r>
              <w:rPr>
                <w:rFonts w:ascii="宋体" w:eastAsia="宋体" w:hAnsi="宋体" w:cs="宋体"/>
                <w:b w:val="0"/>
                <w:i w:val="0"/>
                <w:color w:val="000000"/>
                <w:sz w:val="19"/>
              </w:rPr>
              <w:t xml:space="preserve">48.92</w:t>
            </w:r>
          </w:p>
        </w:tc>
        <w:tc>
          <w:tcPr>
            <w:tcW w:w="1600" w:type="dxa"/>
            <w:tcBorders/>
            <w:vAlign w:val="center"/>
          </w:tcPr>
          <w:p>
            <w:pPr>
              <w:jc w:val="right"/>
            </w:pPr>
            <w:r>
              <w:rPr>
                <w:rFonts w:ascii="宋体" w:eastAsia="宋体" w:hAnsi="宋体" w:cs="宋体"/>
                <w:b w:val="0"/>
                <w:i w:val="0"/>
                <w:color w:val="000000"/>
                <w:sz w:val="19"/>
              </w:rPr>
              <w:t xml:space="preserve">48.92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0.45</w:t>
            </w:r>
          </w:p>
        </w:tc>
        <w:tc>
          <w:tcPr>
            <w:tcW w:w="1600" w:type="dxa"/>
            <w:tcBorders/>
            <w:vAlign w:val="center"/>
          </w:tcPr>
          <w:p>
            <w:pPr>
              <w:jc w:val="right"/>
            </w:pPr>
            <w:r>
              <w:rPr>
                <w:rFonts w:ascii="宋体" w:eastAsia="宋体" w:hAnsi="宋体" w:cs="宋体"/>
                <w:b w:val="0"/>
                <w:i w:val="0"/>
                <w:color w:val="000000"/>
                <w:sz w:val="19"/>
              </w:rPr>
              <w:t xml:space="preserve">0.45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2013150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事业运行</w:t>
            </w:r>
          </w:p>
        </w:tc>
        <w:tc>
          <w:tcPr>
            <w:tcW w:w="1600" w:type="dxa"/>
            <w:tcBorders/>
            <w:vAlign w:val="center"/>
          </w:tcPr>
          <w:p>
            <w:pPr>
              <w:jc w:val="right"/>
            </w:pPr>
            <w:r>
              <w:rPr>
                <w:rFonts w:ascii="宋体" w:eastAsia="宋体" w:hAnsi="宋体" w:cs="宋体"/>
                <w:b w:val="0"/>
                <w:i w:val="0"/>
                <w:color w:val="000000"/>
                <w:sz w:val="19"/>
              </w:rPr>
              <w:t xml:space="preserve">48.46</w:t>
            </w:r>
          </w:p>
        </w:tc>
        <w:tc>
          <w:tcPr>
            <w:tcW w:w="1600" w:type="dxa"/>
            <w:tcBorders/>
            <w:vAlign w:val="center"/>
          </w:tcPr>
          <w:p>
            <w:pPr>
              <w:jc w:val="right"/>
            </w:pPr>
            <w:r>
              <w:rPr>
                <w:rFonts w:ascii="宋体" w:eastAsia="宋体" w:hAnsi="宋体" w:cs="宋体"/>
                <w:b w:val="0"/>
                <w:i w:val="0"/>
                <w:color w:val="000000"/>
                <w:sz w:val="19"/>
              </w:rPr>
              <w:t xml:space="preserve">48.46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2.12</w:t>
            </w:r>
          </w:p>
        </w:tc>
        <w:tc>
          <w:tcPr>
            <w:tcW w:w="1600" w:type="dxa"/>
            <w:tcBorders/>
            <w:vAlign w:val="center"/>
          </w:tcPr>
          <w:p>
            <w:pPr>
              <w:jc w:val="right"/>
            </w:pPr>
            <w:r>
              <w:rPr>
                <w:rFonts w:ascii="宋体" w:eastAsia="宋体" w:hAnsi="宋体" w:cs="宋体"/>
                <w:b w:val="0"/>
                <w:i w:val="0"/>
                <w:color w:val="000000"/>
                <w:sz w:val="19"/>
              </w:rPr>
              <w:t xml:space="preserve">2.12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2.12</w:t>
            </w:r>
          </w:p>
        </w:tc>
        <w:tc>
          <w:tcPr>
            <w:tcW w:w="1600" w:type="dxa"/>
            <w:tcBorders/>
            <w:vAlign w:val="center"/>
          </w:tcPr>
          <w:p>
            <w:pPr>
              <w:jc w:val="right"/>
            </w:pPr>
            <w:r>
              <w:rPr>
                <w:rFonts w:ascii="宋体" w:eastAsia="宋体" w:hAnsi="宋体" w:cs="宋体"/>
                <w:b w:val="0"/>
                <w:i w:val="0"/>
                <w:color w:val="000000"/>
                <w:sz w:val="19"/>
              </w:rPr>
              <w:t xml:space="preserve">2.12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2.81</w:t>
            </w:r>
          </w:p>
        </w:tc>
        <w:tc>
          <w:tcPr>
            <w:tcW w:w="1600" w:type="dxa"/>
            <w:tcBorders/>
            <w:vAlign w:val="center"/>
          </w:tcPr>
          <w:p>
            <w:pPr>
              <w:jc w:val="right"/>
            </w:pPr>
            <w:r>
              <w:rPr>
                <w:rFonts w:ascii="宋体" w:eastAsia="宋体" w:hAnsi="宋体" w:cs="宋体"/>
                <w:b w:val="0"/>
                <w:i w:val="0"/>
                <w:color w:val="000000"/>
                <w:sz w:val="19"/>
              </w:rPr>
              <w:t xml:space="preserve">2.81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2.81</w:t>
            </w:r>
          </w:p>
        </w:tc>
        <w:tc>
          <w:tcPr>
            <w:tcW w:w="1600" w:type="dxa"/>
            <w:tcBorders/>
            <w:vAlign w:val="center"/>
          </w:tcPr>
          <w:p>
            <w:pPr>
              <w:jc w:val="right"/>
            </w:pPr>
            <w:r>
              <w:rPr>
                <w:rFonts w:ascii="宋体" w:eastAsia="宋体" w:hAnsi="宋体" w:cs="宋体"/>
                <w:b w:val="0"/>
                <w:i w:val="0"/>
                <w:color w:val="000000"/>
                <w:sz w:val="19"/>
              </w:rPr>
              <w:t xml:space="preserve">2.81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2.81</w:t>
            </w:r>
          </w:p>
        </w:tc>
        <w:tc>
          <w:tcPr>
            <w:tcW w:w="1600" w:type="dxa"/>
            <w:tcBorders/>
            <w:vAlign w:val="center"/>
          </w:tcPr>
          <w:p>
            <w:pPr>
              <w:jc w:val="right"/>
            </w:pPr>
            <w:r>
              <w:rPr>
                <w:rFonts w:ascii="宋体" w:eastAsia="宋体" w:hAnsi="宋体" w:cs="宋体"/>
                <w:b w:val="0"/>
                <w:i w:val="0"/>
                <w:color w:val="000000"/>
                <w:sz w:val="19"/>
              </w:rPr>
              <w:t xml:space="preserve">2.81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2.96</w:t>
            </w:r>
          </w:p>
        </w:tc>
        <w:tc>
          <w:tcPr>
            <w:tcW w:w="1600" w:type="dxa"/>
            <w:tcBorders/>
            <w:vAlign w:val="center"/>
          </w:tcPr>
          <w:p>
            <w:pPr>
              <w:jc w:val="right"/>
            </w:pPr>
            <w:r>
              <w:rPr>
                <w:rFonts w:ascii="宋体" w:eastAsia="宋体" w:hAnsi="宋体" w:cs="宋体"/>
                <w:b w:val="0"/>
                <w:i w:val="0"/>
                <w:color w:val="000000"/>
                <w:sz w:val="19"/>
              </w:rPr>
              <w:t xml:space="preserve">2.96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2.96</w:t>
            </w:r>
          </w:p>
        </w:tc>
        <w:tc>
          <w:tcPr>
            <w:tcW w:w="1600" w:type="dxa"/>
            <w:tcBorders/>
            <w:vAlign w:val="center"/>
          </w:tcPr>
          <w:p>
            <w:pPr>
              <w:jc w:val="right"/>
            </w:pPr>
            <w:r>
              <w:rPr>
                <w:rFonts w:ascii="宋体" w:eastAsia="宋体" w:hAnsi="宋体" w:cs="宋体"/>
                <w:b w:val="0"/>
                <w:i w:val="0"/>
                <w:color w:val="000000"/>
                <w:sz w:val="19"/>
              </w:rPr>
              <w:t xml:space="preserve">2.96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1.34</w:t>
            </w:r>
          </w:p>
        </w:tc>
        <w:tc>
          <w:tcPr>
            <w:tcW w:w="1600" w:type="dxa"/>
            <w:tcBorders/>
            <w:vAlign w:val="center"/>
          </w:tcPr>
          <w:p>
            <w:pPr>
              <w:jc w:val="right"/>
            </w:pPr>
            <w:r>
              <w:rPr>
                <w:rFonts w:ascii="宋体" w:eastAsia="宋体" w:hAnsi="宋体" w:cs="宋体"/>
                <w:b w:val="0"/>
                <w:i w:val="0"/>
                <w:color w:val="000000"/>
                <w:sz w:val="19"/>
              </w:rPr>
              <w:t xml:space="preserve">1.34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1.62</w:t>
            </w:r>
          </w:p>
        </w:tc>
        <w:tc>
          <w:tcPr>
            <w:tcW w:w="1600" w:type="dxa"/>
            <w:tcBorders/>
            <w:vAlign w:val="center"/>
          </w:tcPr>
          <w:p>
            <w:pPr>
              <w:jc w:val="right"/>
            </w:pPr>
            <w:r>
              <w:rPr>
                <w:rFonts w:ascii="宋体" w:eastAsia="宋体" w:hAnsi="宋体" w:cs="宋体"/>
                <w:b w:val="0"/>
                <w:i w:val="0"/>
                <w:color w:val="000000"/>
                <w:sz w:val="19"/>
              </w:rPr>
              <w:t xml:space="preserve">1.62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2.78</w:t>
            </w:r>
          </w:p>
        </w:tc>
        <w:tc>
          <w:tcPr>
            <w:tcW w:w="1600" w:type="dxa"/>
            <w:tcBorders/>
            <w:vAlign w:val="center"/>
          </w:tcPr>
          <w:p>
            <w:pPr>
              <w:jc w:val="right"/>
            </w:pPr>
            <w:r>
              <w:rPr>
                <w:rFonts w:ascii="宋体" w:eastAsia="宋体" w:hAnsi="宋体" w:cs="宋体"/>
                <w:b w:val="0"/>
                <w:i w:val="0"/>
                <w:color w:val="000000"/>
                <w:sz w:val="19"/>
              </w:rPr>
              <w:t xml:space="preserve">2.78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2.78</w:t>
            </w:r>
          </w:p>
        </w:tc>
        <w:tc>
          <w:tcPr>
            <w:tcW w:w="1600" w:type="dxa"/>
            <w:tcBorders/>
            <w:vAlign w:val="center"/>
          </w:tcPr>
          <w:p>
            <w:pPr>
              <w:jc w:val="right"/>
            </w:pPr>
            <w:r>
              <w:rPr>
                <w:rFonts w:ascii="宋体" w:eastAsia="宋体" w:hAnsi="宋体" w:cs="宋体"/>
                <w:b w:val="0"/>
                <w:i w:val="0"/>
                <w:color w:val="000000"/>
                <w:sz w:val="19"/>
              </w:rPr>
              <w:t xml:space="preserve">2.78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2.78</w:t>
            </w:r>
          </w:p>
        </w:tc>
        <w:tc>
          <w:tcPr>
            <w:tcW w:w="1600" w:type="dxa"/>
            <w:tcBorders/>
            <w:vAlign w:val="center"/>
          </w:tcPr>
          <w:p>
            <w:pPr>
              <w:jc w:val="right"/>
            </w:pPr>
            <w:r>
              <w:rPr>
                <w:rFonts w:ascii="宋体" w:eastAsia="宋体" w:hAnsi="宋体" w:cs="宋体"/>
                <w:b w:val="0"/>
                <w:i w:val="0"/>
                <w:color w:val="000000"/>
                <w:sz w:val="19"/>
              </w:rPr>
              <w:t xml:space="preserve">2.78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单位：许昌市法学会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59.81</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51.26</w:t>
            </w:r>
          </w:p>
        </w:tc>
        <w:tc>
          <w:tcPr>
            <w:tcW w:w="1420" w:type="dxa"/>
            <w:tcBorders/>
            <w:vAlign w:val="center"/>
          </w:tcPr>
          <w:p>
            <w:pPr>
              <w:jc w:val="right"/>
            </w:pPr>
            <w:r>
              <w:rPr>
                <w:rFonts w:ascii="宋体" w:eastAsia="宋体" w:hAnsi="宋体" w:cs="宋体"/>
                <w:b w:val="0"/>
                <w:i w:val="0"/>
                <w:color w:val="000000"/>
                <w:sz w:val="18"/>
              </w:rPr>
              <w:t xml:space="preserve">51.26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2.81</w:t>
            </w:r>
          </w:p>
        </w:tc>
        <w:tc>
          <w:tcPr>
            <w:tcW w:w="1420" w:type="dxa"/>
            <w:tcBorders/>
            <w:vAlign w:val="center"/>
          </w:tcPr>
          <w:p>
            <w:pPr>
              <w:jc w:val="right"/>
            </w:pPr>
            <w:r>
              <w:rPr>
                <w:rFonts w:ascii="宋体" w:eastAsia="宋体" w:hAnsi="宋体" w:cs="宋体"/>
                <w:b w:val="0"/>
                <w:i w:val="0"/>
                <w:color w:val="000000"/>
                <w:sz w:val="18"/>
              </w:rPr>
              <w:t xml:space="preserve">2.81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2.96</w:t>
            </w:r>
          </w:p>
        </w:tc>
        <w:tc>
          <w:tcPr>
            <w:tcW w:w="1420" w:type="dxa"/>
            <w:tcBorders/>
            <w:vAlign w:val="center"/>
          </w:tcPr>
          <w:p>
            <w:pPr>
              <w:jc w:val="right"/>
            </w:pPr>
            <w:r>
              <w:rPr>
                <w:rFonts w:ascii="宋体" w:eastAsia="宋体" w:hAnsi="宋体" w:cs="宋体"/>
                <w:b w:val="0"/>
                <w:i w:val="0"/>
                <w:color w:val="000000"/>
                <w:sz w:val="18"/>
              </w:rPr>
              <w:t xml:space="preserve">2.96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2.78</w:t>
            </w:r>
          </w:p>
        </w:tc>
        <w:tc>
          <w:tcPr>
            <w:tcW w:w="1420" w:type="dxa"/>
            <w:tcBorders/>
            <w:vAlign w:val="center"/>
          </w:tcPr>
          <w:p>
            <w:pPr>
              <w:jc w:val="right"/>
            </w:pPr>
            <w:r>
              <w:rPr>
                <w:rFonts w:ascii="宋体" w:eastAsia="宋体" w:hAnsi="宋体" w:cs="宋体"/>
                <w:b w:val="0"/>
                <w:i w:val="0"/>
                <w:color w:val="000000"/>
                <w:sz w:val="18"/>
              </w:rPr>
              <w:t xml:space="preserve">2.78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59.81</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59.81</w:t>
            </w:r>
          </w:p>
        </w:tc>
        <w:tc>
          <w:tcPr>
            <w:tcW w:w="1420" w:type="dxa"/>
            <w:tcBorders/>
            <w:vAlign w:val="center"/>
          </w:tcPr>
          <w:p>
            <w:pPr>
              <w:jc w:val="right"/>
            </w:pPr>
            <w:r>
              <w:rPr>
                <w:rFonts w:ascii="宋体" w:eastAsia="宋体" w:hAnsi="宋体" w:cs="宋体"/>
                <w:b w:val="0"/>
                <w:i w:val="0"/>
                <w:color w:val="000000"/>
                <w:sz w:val="18"/>
              </w:rPr>
              <w:t xml:space="preserve">59.81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59.81</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59.81</w:t>
            </w:r>
          </w:p>
        </w:tc>
        <w:tc>
          <w:tcPr>
            <w:tcW w:w="1420" w:type="dxa"/>
            <w:tcBorders/>
            <w:vAlign w:val="center"/>
          </w:tcPr>
          <w:p>
            <w:pPr>
              <w:jc w:val="right"/>
            </w:pPr>
            <w:r>
              <w:rPr>
                <w:rFonts w:ascii="宋体" w:eastAsia="宋体" w:hAnsi="宋体" w:cs="宋体"/>
                <w:b w:val="0"/>
                <w:i w:val="0"/>
                <w:color w:val="000000"/>
                <w:sz w:val="18"/>
              </w:rPr>
              <w:t xml:space="preserve">59.81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单位：许昌市法学会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59.81</w:t>
            </w:r>
          </w:p>
        </w:tc>
        <w:tc>
          <w:tcPr>
            <w:tcW w:w="2700" w:type="dxa"/>
            <w:tcBorders/>
            <w:vAlign w:val="center"/>
          </w:tcPr>
          <w:p>
            <w:pPr>
              <w:jc w:val="right"/>
            </w:pPr>
            <w:r>
              <w:rPr>
                <w:rFonts w:ascii="宋体" w:eastAsia="宋体" w:hAnsi="宋体" w:cs="宋体"/>
                <w:b/>
                <w:i w:val="0"/>
                <w:color w:val="000000"/>
                <w:sz w:val="25"/>
              </w:rPr>
              <w:t xml:space="preserve">59.81</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51.26</w:t>
            </w:r>
          </w:p>
        </w:tc>
        <w:tc>
          <w:tcPr>
            <w:tcW w:w="2700" w:type="dxa"/>
            <w:tcBorders/>
            <w:vAlign w:val="center"/>
          </w:tcPr>
          <w:p>
            <w:pPr>
              <w:jc w:val="right"/>
            </w:pPr>
            <w:r>
              <w:rPr>
                <w:rFonts w:ascii="宋体" w:eastAsia="宋体" w:hAnsi="宋体" w:cs="宋体"/>
                <w:b w:val="0"/>
                <w:i w:val="0"/>
                <w:color w:val="000000"/>
                <w:sz w:val="25"/>
              </w:rPr>
              <w:t xml:space="preserve">51.26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0.22</w:t>
            </w:r>
          </w:p>
        </w:tc>
        <w:tc>
          <w:tcPr>
            <w:tcW w:w="2700" w:type="dxa"/>
            <w:tcBorders/>
            <w:vAlign w:val="center"/>
          </w:tcPr>
          <w:p>
            <w:pPr>
              <w:jc w:val="right"/>
            </w:pPr>
            <w:r>
              <w:rPr>
                <w:rFonts w:ascii="宋体" w:eastAsia="宋体" w:hAnsi="宋体" w:cs="宋体"/>
                <w:b w:val="0"/>
                <w:i w:val="0"/>
                <w:color w:val="000000"/>
                <w:sz w:val="25"/>
              </w:rPr>
              <w:t xml:space="preserve">0.22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0.22</w:t>
            </w:r>
          </w:p>
        </w:tc>
        <w:tc>
          <w:tcPr>
            <w:tcW w:w="2700" w:type="dxa"/>
            <w:tcBorders/>
            <w:vAlign w:val="center"/>
          </w:tcPr>
          <w:p>
            <w:pPr>
              <w:jc w:val="right"/>
            </w:pPr>
            <w:r>
              <w:rPr>
                <w:rFonts w:ascii="宋体" w:eastAsia="宋体" w:hAnsi="宋体" w:cs="宋体"/>
                <w:b w:val="0"/>
                <w:i w:val="0"/>
                <w:color w:val="000000"/>
                <w:sz w:val="25"/>
              </w:rPr>
              <w:t xml:space="preserve">0.22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党委办公厅（室）及相关机构事务</w:t>
            </w:r>
          </w:p>
        </w:tc>
        <w:tc>
          <w:tcPr>
            <w:tcW w:w="2700" w:type="dxa"/>
            <w:tcBorders/>
            <w:vAlign w:val="center"/>
          </w:tcPr>
          <w:p>
            <w:pPr>
              <w:jc w:val="right"/>
            </w:pPr>
            <w:r>
              <w:rPr>
                <w:rFonts w:ascii="宋体" w:eastAsia="宋体" w:hAnsi="宋体" w:cs="宋体"/>
                <w:b w:val="0"/>
                <w:i w:val="0"/>
                <w:color w:val="000000"/>
                <w:sz w:val="25"/>
              </w:rPr>
              <w:t xml:space="preserve">48.92</w:t>
            </w:r>
          </w:p>
        </w:tc>
        <w:tc>
          <w:tcPr>
            <w:tcW w:w="2700" w:type="dxa"/>
            <w:tcBorders/>
            <w:vAlign w:val="center"/>
          </w:tcPr>
          <w:p>
            <w:pPr>
              <w:jc w:val="right"/>
            </w:pPr>
            <w:r>
              <w:rPr>
                <w:rFonts w:ascii="宋体" w:eastAsia="宋体" w:hAnsi="宋体" w:cs="宋体"/>
                <w:b w:val="0"/>
                <w:i w:val="0"/>
                <w:color w:val="000000"/>
                <w:sz w:val="25"/>
              </w:rPr>
              <w:t xml:space="preserve">48.92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0.45</w:t>
            </w:r>
          </w:p>
        </w:tc>
        <w:tc>
          <w:tcPr>
            <w:tcW w:w="2700" w:type="dxa"/>
            <w:tcBorders/>
            <w:vAlign w:val="center"/>
          </w:tcPr>
          <w:p>
            <w:pPr>
              <w:jc w:val="right"/>
            </w:pPr>
            <w:r>
              <w:rPr>
                <w:rFonts w:ascii="宋体" w:eastAsia="宋体" w:hAnsi="宋体" w:cs="宋体"/>
                <w:b w:val="0"/>
                <w:i w:val="0"/>
                <w:color w:val="000000"/>
                <w:sz w:val="25"/>
              </w:rPr>
              <w:t xml:space="preserve">0.45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2013150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事业运行</w:t>
            </w:r>
          </w:p>
        </w:tc>
        <w:tc>
          <w:tcPr>
            <w:tcW w:w="2700" w:type="dxa"/>
            <w:tcBorders/>
            <w:vAlign w:val="center"/>
          </w:tcPr>
          <w:p>
            <w:pPr>
              <w:jc w:val="right"/>
            </w:pPr>
            <w:r>
              <w:rPr>
                <w:rFonts w:ascii="宋体" w:eastAsia="宋体" w:hAnsi="宋体" w:cs="宋体"/>
                <w:b w:val="0"/>
                <w:i w:val="0"/>
                <w:color w:val="000000"/>
                <w:sz w:val="25"/>
              </w:rPr>
              <w:t xml:space="preserve">48.46</w:t>
            </w:r>
          </w:p>
        </w:tc>
        <w:tc>
          <w:tcPr>
            <w:tcW w:w="2700" w:type="dxa"/>
            <w:tcBorders/>
            <w:vAlign w:val="center"/>
          </w:tcPr>
          <w:p>
            <w:pPr>
              <w:jc w:val="right"/>
            </w:pPr>
            <w:r>
              <w:rPr>
                <w:rFonts w:ascii="宋体" w:eastAsia="宋体" w:hAnsi="宋体" w:cs="宋体"/>
                <w:b w:val="0"/>
                <w:i w:val="0"/>
                <w:color w:val="000000"/>
                <w:sz w:val="25"/>
              </w:rPr>
              <w:t xml:space="preserve">48.46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2.12</w:t>
            </w:r>
          </w:p>
        </w:tc>
        <w:tc>
          <w:tcPr>
            <w:tcW w:w="2700" w:type="dxa"/>
            <w:tcBorders/>
            <w:vAlign w:val="center"/>
          </w:tcPr>
          <w:p>
            <w:pPr>
              <w:jc w:val="right"/>
            </w:pPr>
            <w:r>
              <w:rPr>
                <w:rFonts w:ascii="宋体" w:eastAsia="宋体" w:hAnsi="宋体" w:cs="宋体"/>
                <w:b w:val="0"/>
                <w:i w:val="0"/>
                <w:color w:val="000000"/>
                <w:sz w:val="25"/>
              </w:rPr>
              <w:t xml:space="preserve">2.12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2.12</w:t>
            </w:r>
          </w:p>
        </w:tc>
        <w:tc>
          <w:tcPr>
            <w:tcW w:w="2700" w:type="dxa"/>
            <w:tcBorders/>
            <w:vAlign w:val="center"/>
          </w:tcPr>
          <w:p>
            <w:pPr>
              <w:jc w:val="right"/>
            </w:pPr>
            <w:r>
              <w:rPr>
                <w:rFonts w:ascii="宋体" w:eastAsia="宋体" w:hAnsi="宋体" w:cs="宋体"/>
                <w:b w:val="0"/>
                <w:i w:val="0"/>
                <w:color w:val="000000"/>
                <w:sz w:val="25"/>
              </w:rPr>
              <w:t xml:space="preserve">2.12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2.81</w:t>
            </w:r>
          </w:p>
        </w:tc>
        <w:tc>
          <w:tcPr>
            <w:tcW w:w="2700" w:type="dxa"/>
            <w:tcBorders/>
            <w:vAlign w:val="center"/>
          </w:tcPr>
          <w:p>
            <w:pPr>
              <w:jc w:val="right"/>
            </w:pPr>
            <w:r>
              <w:rPr>
                <w:rFonts w:ascii="宋体" w:eastAsia="宋体" w:hAnsi="宋体" w:cs="宋体"/>
                <w:b w:val="0"/>
                <w:i w:val="0"/>
                <w:color w:val="000000"/>
                <w:sz w:val="25"/>
              </w:rPr>
              <w:t xml:space="preserve">2.81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2.81</w:t>
            </w:r>
          </w:p>
        </w:tc>
        <w:tc>
          <w:tcPr>
            <w:tcW w:w="2700" w:type="dxa"/>
            <w:tcBorders/>
            <w:vAlign w:val="center"/>
          </w:tcPr>
          <w:p>
            <w:pPr>
              <w:jc w:val="right"/>
            </w:pPr>
            <w:r>
              <w:rPr>
                <w:rFonts w:ascii="宋体" w:eastAsia="宋体" w:hAnsi="宋体" w:cs="宋体"/>
                <w:b w:val="0"/>
                <w:i w:val="0"/>
                <w:color w:val="000000"/>
                <w:sz w:val="25"/>
              </w:rPr>
              <w:t xml:space="preserve">2.81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2.81</w:t>
            </w:r>
          </w:p>
        </w:tc>
        <w:tc>
          <w:tcPr>
            <w:tcW w:w="2700" w:type="dxa"/>
            <w:tcBorders/>
            <w:vAlign w:val="center"/>
          </w:tcPr>
          <w:p>
            <w:pPr>
              <w:jc w:val="right"/>
            </w:pPr>
            <w:r>
              <w:rPr>
                <w:rFonts w:ascii="宋体" w:eastAsia="宋体" w:hAnsi="宋体" w:cs="宋体"/>
                <w:b w:val="0"/>
                <w:i w:val="0"/>
                <w:color w:val="000000"/>
                <w:sz w:val="25"/>
              </w:rPr>
              <w:t xml:space="preserve">2.81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2.96</w:t>
            </w:r>
          </w:p>
        </w:tc>
        <w:tc>
          <w:tcPr>
            <w:tcW w:w="2700" w:type="dxa"/>
            <w:tcBorders/>
            <w:vAlign w:val="center"/>
          </w:tcPr>
          <w:p>
            <w:pPr>
              <w:jc w:val="right"/>
            </w:pPr>
            <w:r>
              <w:rPr>
                <w:rFonts w:ascii="宋体" w:eastAsia="宋体" w:hAnsi="宋体" w:cs="宋体"/>
                <w:b w:val="0"/>
                <w:i w:val="0"/>
                <w:color w:val="000000"/>
                <w:sz w:val="25"/>
              </w:rPr>
              <w:t xml:space="preserve">2.96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2.96</w:t>
            </w:r>
          </w:p>
        </w:tc>
        <w:tc>
          <w:tcPr>
            <w:tcW w:w="2700" w:type="dxa"/>
            <w:tcBorders/>
            <w:vAlign w:val="center"/>
          </w:tcPr>
          <w:p>
            <w:pPr>
              <w:jc w:val="right"/>
            </w:pPr>
            <w:r>
              <w:rPr>
                <w:rFonts w:ascii="宋体" w:eastAsia="宋体" w:hAnsi="宋体" w:cs="宋体"/>
                <w:b w:val="0"/>
                <w:i w:val="0"/>
                <w:color w:val="000000"/>
                <w:sz w:val="25"/>
              </w:rPr>
              <w:t xml:space="preserve">2.96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1.34</w:t>
            </w:r>
          </w:p>
        </w:tc>
        <w:tc>
          <w:tcPr>
            <w:tcW w:w="2700" w:type="dxa"/>
            <w:tcBorders/>
            <w:vAlign w:val="center"/>
          </w:tcPr>
          <w:p>
            <w:pPr>
              <w:jc w:val="right"/>
            </w:pPr>
            <w:r>
              <w:rPr>
                <w:rFonts w:ascii="宋体" w:eastAsia="宋体" w:hAnsi="宋体" w:cs="宋体"/>
                <w:b w:val="0"/>
                <w:i w:val="0"/>
                <w:color w:val="000000"/>
                <w:sz w:val="25"/>
              </w:rPr>
              <w:t xml:space="preserve">1.34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1.62</w:t>
            </w:r>
          </w:p>
        </w:tc>
        <w:tc>
          <w:tcPr>
            <w:tcW w:w="2700" w:type="dxa"/>
            <w:tcBorders/>
            <w:vAlign w:val="center"/>
          </w:tcPr>
          <w:p>
            <w:pPr>
              <w:jc w:val="right"/>
            </w:pPr>
            <w:r>
              <w:rPr>
                <w:rFonts w:ascii="宋体" w:eastAsia="宋体" w:hAnsi="宋体" w:cs="宋体"/>
                <w:b w:val="0"/>
                <w:i w:val="0"/>
                <w:color w:val="000000"/>
                <w:sz w:val="25"/>
              </w:rPr>
              <w:t xml:space="preserve">1.62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2.78</w:t>
            </w:r>
          </w:p>
        </w:tc>
        <w:tc>
          <w:tcPr>
            <w:tcW w:w="2700" w:type="dxa"/>
            <w:tcBorders/>
            <w:vAlign w:val="center"/>
          </w:tcPr>
          <w:p>
            <w:pPr>
              <w:jc w:val="right"/>
            </w:pPr>
            <w:r>
              <w:rPr>
                <w:rFonts w:ascii="宋体" w:eastAsia="宋体" w:hAnsi="宋体" w:cs="宋体"/>
                <w:b w:val="0"/>
                <w:i w:val="0"/>
                <w:color w:val="000000"/>
                <w:sz w:val="25"/>
              </w:rPr>
              <w:t xml:space="preserve">2.78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2.78</w:t>
            </w:r>
          </w:p>
        </w:tc>
        <w:tc>
          <w:tcPr>
            <w:tcW w:w="2700" w:type="dxa"/>
            <w:tcBorders/>
            <w:vAlign w:val="center"/>
          </w:tcPr>
          <w:p>
            <w:pPr>
              <w:jc w:val="right"/>
            </w:pPr>
            <w:r>
              <w:rPr>
                <w:rFonts w:ascii="宋体" w:eastAsia="宋体" w:hAnsi="宋体" w:cs="宋体"/>
                <w:b w:val="0"/>
                <w:i w:val="0"/>
                <w:color w:val="000000"/>
                <w:sz w:val="25"/>
              </w:rPr>
              <w:t xml:space="preserve">2.78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2.78</w:t>
            </w:r>
          </w:p>
        </w:tc>
        <w:tc>
          <w:tcPr>
            <w:tcW w:w="2700" w:type="dxa"/>
            <w:tcBorders/>
            <w:vAlign w:val="center"/>
          </w:tcPr>
          <w:p>
            <w:pPr>
              <w:jc w:val="right"/>
            </w:pPr>
            <w:r>
              <w:rPr>
                <w:rFonts w:ascii="宋体" w:eastAsia="宋体" w:hAnsi="宋体" w:cs="宋体"/>
                <w:b w:val="0"/>
                <w:i w:val="0"/>
                <w:color w:val="000000"/>
                <w:sz w:val="25"/>
              </w:rPr>
              <w:t xml:space="preserve">2.78</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单位：许昌市法学会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51.15</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8.66</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12.25</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4.52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19.10</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10.40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2.81</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1.24</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1.41</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1.56</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0.45</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0.13</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1.09</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2.78</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0.60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0.72</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0.26</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0.22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0.27</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51.15</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8.66</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单位：许昌市法学会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单位：许昌市法学会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单位：许昌市法学会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59.81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增加22.69万元，增长61.13%</w:t>
      </w:r>
      <w:r>
        <w:rPr>
          <w:rFonts w:ascii="仿宋" w:eastAsia="仿宋" w:hAnsi="仿宋" w:cs="仿宋" w:hint="eastAsia"/>
          <w:kern w:val="0"/>
          <w:sz w:val="32"/>
          <w:szCs w:val="32"/>
          <w:lang w:val="en-US" w:eastAsia="zh-CN"/>
        </w:rPr>
        <w:t xml:space="preserve">。主要原因是2022年9月之前人员工资通过局机关发放，9月后独立核算，无法与2023年整年决算对比。</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59.81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财政拨款收入59.81万元，占100.00%；上级补助收入0.00万元，占0.00%；事业收入0.00万元，占0.00%；经营收入0.00万元，占0.00%；附属单位上缴收入0.00万元，占0.00%；其他收入0.00万元，占0.00%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59.81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基本支出59.81万元，占100.00%；项目支出0.00万元，占0.00%；上缴上级支出0.00万元，占0.00%；经营支出0.00万元，占0.00%；对附属单位补助支出0.00万元，占0.00%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59.81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增加22.69万元，增长61.13%</w:t>
      </w:r>
      <w:r>
        <w:rPr>
          <w:rFonts w:ascii="仿宋" w:eastAsia="仿宋" w:hAnsi="仿宋" w:cs="仿宋" w:hint="eastAsia"/>
          <w:kern w:val="0"/>
          <w:sz w:val="32"/>
          <w:szCs w:val="32"/>
          <w:lang w:val="en-US" w:eastAsia="zh-CN"/>
        </w:rPr>
        <w:t xml:space="preserve">。主要原因是2022年9月之前人员工资通过局机关发放，9月后独立核算，无法与2023年整年决算对比。</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59.81</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增加22.69万元，增长61.13%</w:t>
      </w:r>
      <w:r>
        <w:rPr>
          <w:rFonts w:ascii="仿宋" w:eastAsia="仿宋" w:hAnsi="仿宋" w:cs="仿宋" w:hint="eastAsia"/>
          <w:kern w:val="0"/>
          <w:sz w:val="32"/>
          <w:szCs w:val="32"/>
          <w:lang w:val="en-US" w:eastAsia="zh-CN"/>
        </w:rPr>
        <w:t xml:space="preserve">。主要原因是2022年9月之前人员工资通过局机关发放，9月后独立核算，无法与2023年整年决算对比。</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59.81</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一般公共服务支出（类）51.26万元，占85.70%；社会保障和就业支出（类）2.81万元，占4.70%；卫生健康支出（类）2.96万元，占4.95%；住房保障支出（类）2.78万元，占4.65%</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54.04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59.81</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110.68</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年初预算数为0.22万元，决算数0.22万元,完成年初预算的100.00%，决算数与年初预算数不存在差异。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2.一般公共服务支出（类）党委办公厅（室）及相关机构事务（款）行政运行（项）</w:t>
      </w:r>
      <w:r>
        <w:rPr>
          <w:rFonts w:ascii="仿宋" w:eastAsia="仿宋" w:hAnsi="仿宋" w:cs="仿宋" w:hint="default"/>
          <w:kern w:val="2"/>
          <w:sz w:val="32"/>
          <w:szCs w:val="32"/>
          <w:lang w:val="en-US" w:eastAsia="zh-CN"/>
        </w:rPr>
        <w:t xml:space="preserve">年初预算数为0.45万元，决算数0.45万元,完成年初预算的100.00%，决算数与年初预算数不存在差异。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3.一般公共服务支出（类）党委办公厅（室）及相关机构事务（款）事业运行（项）</w:t>
      </w:r>
      <w:r>
        <w:rPr>
          <w:rFonts w:ascii="仿宋" w:eastAsia="仿宋" w:hAnsi="仿宋" w:cs="仿宋" w:hint="default"/>
          <w:kern w:val="2"/>
          <w:sz w:val="32"/>
          <w:szCs w:val="32"/>
          <w:lang w:val="en-US" w:eastAsia="zh-CN"/>
        </w:rPr>
        <w:t xml:space="preserve">年初预算数为45.15万元，决算数48.46万元,完成年初预算的107.33%，决算数与年初预算数存在差异的主要原因是人员增加，经费增加。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年初预算数为2.12万元，决算数2.12万元,完成年初预算的100.00%，决算数与年初预算数不存在差异。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年初预算数为2.81万元，决算数2.81万元,完成年初预算的100.00%，决算数与年初预算数不存在差异。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6.卫生健康支出（类）行政事业单位医疗（款）事业单位医疗（项）</w:t>
      </w:r>
      <w:r>
        <w:rPr>
          <w:rFonts w:ascii="仿宋" w:eastAsia="仿宋" w:hAnsi="仿宋" w:cs="仿宋" w:hint="default"/>
          <w:kern w:val="2"/>
          <w:sz w:val="32"/>
          <w:szCs w:val="32"/>
          <w:lang w:val="en-US" w:eastAsia="zh-CN"/>
        </w:rPr>
        <w:t xml:space="preserve">年初预算数为1.46万元，决算数1.34万元,完成年初预算的91.78%，决算数与年初预算数存在差异的主要原因是社保基数调整，导致实际缴纳费用减少。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7.卫生健康支出（类）行政事业单位医疗（款）公务员医疗补助（项）</w:t>
      </w:r>
      <w:r>
        <w:rPr>
          <w:rFonts w:ascii="仿宋" w:eastAsia="仿宋" w:hAnsi="仿宋" w:cs="仿宋" w:hint="default"/>
          <w:kern w:val="2"/>
          <w:sz w:val="32"/>
          <w:szCs w:val="32"/>
          <w:lang w:val="en-US" w:eastAsia="zh-CN"/>
        </w:rPr>
        <w:t xml:space="preserve">年初预算数为1.62万元，决算数1.62万元,完成年初预算的100.00%，决算数与年初预算数不存在差异。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年初预算数为2.78万元，决算数2.78万元,完成年初预算的100.00%，决算数与年初预算数不存在差异。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59.81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其中：人员经费51.15万元，主要包括：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公用经费8.66万元，主要包括：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59.81</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设立完善的整体及项目绩效目标，并积极制定相关的制度，组织相关培训，保证绩效管理工作顺利进行。绩效管理中期严格进行绩效监控工作，监督控制绩效管理工作合理合规的开展，年度终了积极开展绩效自评工作，对全年绩效监控工作做出合理中肯的评价，根据自评结果，预算执行情况、目标完成情况、总结存在的问题及原因，进一步完善今后的绩效管理工作</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2e53837f-b265-471f-bb24-bf14f45e573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97"/>
        <w:gridCol w:w="974"/>
        <w:gridCol w:w="711"/>
        <w:gridCol w:w="594"/>
        <w:gridCol w:w="1598"/>
        <w:gridCol w:w="1025"/>
        <w:gridCol w:w="1299"/>
        <w:gridCol w:w="588"/>
        <w:gridCol w:w="545"/>
        <w:gridCol w:w="699"/>
        <w:gridCol w:w="711"/>
        <w:gridCol w:w="1141"/>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tcBorders>
              <w:top w:val="nil"/>
              <w:left w:val="nil"/>
              <w:bottom w:val="nil"/>
              <w:right w:val="nil"/>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单位整体自评表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许昌市法学会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54.04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59.81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59.81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54.04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59.81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59.81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一、始终保持政治定力，确保政法工作沿着正确方向前进。坚持党对政法工作的绝对领导，坚持中国特色社会主义法治道路，坚持以人民为中心的发展思想。</w:t>
            </w:r>
            <w:r>
              <w:rPr/>
              <w:br/>
            </w:r>
            <w:r>
              <w:rPr>
                <w:rFonts w:ascii="宋体" w:eastAsia="宋体" w:hAnsi="宋体" w:cs="宋体"/>
                <w:i w:val="0"/>
                <w:iCs w:val="0"/>
                <w:color w:val="000000"/>
                <w:kern w:val="0"/>
                <w:sz w:val="18"/>
                <w:szCs w:val="18"/>
                <w:u w:val="none"/>
                <w:bdr w:val="none" w:sz="0" w:space="0" w:color="auto"/>
                <w:lang w:val="en-US" w:eastAsia="zh-CN"/>
              </w:rPr>
              <w:t xml:space="preserve">二、始终忠诚履职尽责，扎实做好维护国家安全和社会稳定工作。</w:t>
            </w:r>
            <w:r>
              <w:rPr/>
              <w:br/>
            </w:r>
            <w:r>
              <w:rPr>
                <w:rFonts w:ascii="宋体" w:eastAsia="宋体" w:hAnsi="宋体" w:cs="宋体"/>
                <w:i w:val="0"/>
                <w:iCs w:val="0"/>
                <w:color w:val="000000"/>
                <w:kern w:val="0"/>
                <w:sz w:val="18"/>
                <w:szCs w:val="18"/>
                <w:u w:val="none"/>
                <w:bdr w:val="none" w:sz="0" w:space="0" w:color="auto"/>
                <w:lang w:val="en-US" w:eastAsia="zh-CN"/>
              </w:rPr>
              <w:t xml:space="preserve">三、始终坚定深化改革，努力提高护航振兴发展的能力水平。</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一、始终保持政治定力，确保政法工作沿着正确方向前进。坚持党对政法工作的绝对领导，坚持中国特色社会主义法治道路，坚持以人民为中心的发展思想。</w:t>
            </w:r>
            <w:r>
              <w:rPr/>
              <w:br/>
            </w:r>
            <w:r>
              <w:rPr>
                <w:rFonts w:ascii="宋体" w:eastAsia="宋体" w:hAnsi="宋体" w:cs="宋体"/>
                <w:i w:val="0"/>
                <w:iCs w:val="0"/>
                <w:color w:val="000000"/>
                <w:kern w:val="0"/>
                <w:sz w:val="18"/>
                <w:szCs w:val="18"/>
                <w:u w:val="none"/>
                <w:bdr w:val="none" w:sz="0" w:space="0" w:color="auto"/>
                <w:lang w:val="en-US" w:eastAsia="zh-CN"/>
              </w:rPr>
              <w:t xml:space="preserve">二、始终忠诚履职尽责，扎实做好维护国家安全和社会稳定工作。</w:t>
            </w:r>
            <w:r>
              <w:rPr/>
              <w:br/>
            </w:r>
            <w:r>
              <w:rPr>
                <w:rFonts w:ascii="宋体" w:eastAsia="宋体" w:hAnsi="宋体" w:cs="宋体"/>
                <w:i w:val="0"/>
                <w:iCs w:val="0"/>
                <w:color w:val="000000"/>
                <w:kern w:val="0"/>
                <w:sz w:val="18"/>
                <w:szCs w:val="18"/>
                <w:u w:val="none"/>
                <w:bdr w:val="none" w:sz="0" w:space="0" w:color="auto"/>
                <w:lang w:val="en-US" w:eastAsia="zh-CN"/>
              </w:rPr>
              <w:t xml:space="preserve">三、始终坚定深化改革，努力提高护航振兴发展的能力水平。</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平安建设专项活动</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保证社会治安综合治理和平安建设基础建设，营造稳定的社会环境。大力推进社会治安防控体系建设，不断提高人民群众的安全感和满意度。</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保证社会治安综合治理和平安建设基础建设，营造稳定的社会环境。大力推进社会治安防控体系建设,确保社会治安大局持续稳定。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平安建设专项工作完成度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维护社会大局稳定</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平安建设社会效益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29a8a8b-9043-47c0-93d0-0a8c5431eccc"/>
              <w:rPr>
                <w:rFonts w:ascii="宋体" w:eastAsia="宋体" w:hAnsi="宋体" w:cs="宋体" w:hint="eastAsia"/>
                <w:i w:val="0"/>
                <w:iCs w:val="0"/>
                <w:color w:val="000000"/>
                <w:sz w:val="18"/>
                <w:szCs w:val="18"/>
                <w:u w:val="none"/>
              </w:rPr>
            </w:pPr>
          </w:p>
        </w:tc>
      </w:tr>
    </w:tbl>
    <w:p>
      <w:pPr>
        <w:pStyle w:val="Normal_929a8a8b-9043-47c0-93d0-0a8c5431eccc"/>
        <w:sectPr>
          <w:pgSz w:w="11906" w:h="16838" w:orient="portrait"/>
          <w:pgMar w:top="720" w:right="720" w:bottom="720" w:left="720" w:header="851" w:footer="992" w:gutter="0"/>
          <w:cols w:num="1" w:space="425">
            <w:col w:w="1046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124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929a8a8b-9043-47c0-93d0-0a8c5431eccc">
    <w:name w:val="Normal_929a8a8b-9043-47c0-93d0-0a8c5431eccc"/>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2e53837f-b265-471f-bb24-bf14f45e5730">
    <w:name w:val="Normal Table_2e53837f-b265-471f-bb24-bf14f45e5730"/>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