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许昌市民政局（本级）单位决算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许昌市民政局（本级）概况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许昌市民政局（本级）概况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根据中共许昌市委、许昌市人民政府《关于印发〈许昌市人民政府职能转变和机构改革实施意见〉的通知》(许发〔2014〕26号),许昌市民政局主要职责是：担负社会救助、社会福利、社区建设、民间组织管理、双拥优抚安置和专项社会事务管理等社会管理和公共服务职能。</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许昌市民政局（本级）内设机构12个,包括：办公室、规划财务科、社会组织管理和慈善事业促进科、社会救助科、基层政权建设和社区治理科、区划地</w:t>
      </w:r>
      <w:bookmarkStart w:id="0" w:name="_GoBack"/>
      <w:bookmarkEnd w:id="0"/>
      <w:r>
        <w:rPr>
          <w:rFonts w:hint="eastAsia" w:ascii="仿宋" w:hAnsi="仿宋" w:eastAsia="仿宋" w:cs="仿宋"/>
          <w:kern w:val="0"/>
          <w:sz w:val="32"/>
          <w:szCs w:val="32"/>
          <w:lang w:val="en-US" w:eastAsia="zh-CN"/>
        </w:rPr>
        <w:t>名科、社会事务科、养老服务科、儿童福利科、人事科、机关党委、离退休干部工作科。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从决算单位构成看，许昌市民政局（本级）单位决算包括：本级决算（1个）。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许昌市民政局（本级）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单位：许昌市民政局（本级）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1,336.75</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42.75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100.98</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1,264.20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48.85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3.40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40.21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100.98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1,437.73</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1,500.40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62.67</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1,500.40</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1,500.40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单位：许昌市民政局（本级）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1,437.73</w:t>
            </w:r>
          </w:p>
        </w:tc>
        <w:tc>
          <w:tcPr>
            <w:tcW w:w="1440" w:type="dxa"/>
            <w:vAlign w:val="center"/>
          </w:tcPr>
          <w:p>
            <w:pPr>
              <w:jc w:val="right"/>
            </w:pPr>
            <w:r>
              <w:rPr>
                <w:rFonts w:ascii="宋体" w:hAnsi="宋体" w:eastAsia="宋体" w:cs="宋体"/>
                <w:b/>
                <w:i w:val="0"/>
                <w:color w:val="000000"/>
                <w:sz w:val="17"/>
              </w:rPr>
              <w:t>1,437.73</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42.75</w:t>
            </w:r>
          </w:p>
        </w:tc>
        <w:tc>
          <w:tcPr>
            <w:tcW w:w="1440" w:type="dxa"/>
            <w:vAlign w:val="center"/>
          </w:tcPr>
          <w:p>
            <w:pPr>
              <w:jc w:val="right"/>
            </w:pPr>
            <w:r>
              <w:rPr>
                <w:rFonts w:ascii="宋体" w:hAnsi="宋体" w:eastAsia="宋体" w:cs="宋体"/>
                <w:b w:val="0"/>
                <w:i w:val="0"/>
                <w:color w:val="000000"/>
                <w:sz w:val="17"/>
              </w:rPr>
              <w:t>42.75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3.60</w:t>
            </w:r>
          </w:p>
        </w:tc>
        <w:tc>
          <w:tcPr>
            <w:tcW w:w="1440" w:type="dxa"/>
            <w:vAlign w:val="center"/>
          </w:tcPr>
          <w:p>
            <w:pPr>
              <w:jc w:val="right"/>
            </w:pPr>
            <w:r>
              <w:rPr>
                <w:rFonts w:ascii="宋体" w:hAnsi="宋体" w:eastAsia="宋体" w:cs="宋体"/>
                <w:b w:val="0"/>
                <w:i w:val="0"/>
                <w:color w:val="000000"/>
                <w:sz w:val="17"/>
              </w:rPr>
              <w:t>3.60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3.60</w:t>
            </w:r>
          </w:p>
        </w:tc>
        <w:tc>
          <w:tcPr>
            <w:tcW w:w="1440" w:type="dxa"/>
            <w:vAlign w:val="center"/>
          </w:tcPr>
          <w:p>
            <w:pPr>
              <w:jc w:val="right"/>
            </w:pPr>
            <w:r>
              <w:rPr>
                <w:rFonts w:ascii="宋体" w:hAnsi="宋体" w:eastAsia="宋体" w:cs="宋体"/>
                <w:b w:val="0"/>
                <w:i w:val="0"/>
                <w:color w:val="000000"/>
                <w:sz w:val="17"/>
              </w:rPr>
              <w:t>3.60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39.15</w:t>
            </w:r>
          </w:p>
        </w:tc>
        <w:tc>
          <w:tcPr>
            <w:tcW w:w="1440" w:type="dxa"/>
            <w:vAlign w:val="center"/>
          </w:tcPr>
          <w:p>
            <w:pPr>
              <w:jc w:val="right"/>
            </w:pPr>
            <w:r>
              <w:rPr>
                <w:rFonts w:ascii="宋体" w:hAnsi="宋体" w:eastAsia="宋体" w:cs="宋体"/>
                <w:b w:val="0"/>
                <w:i w:val="0"/>
                <w:color w:val="000000"/>
                <w:sz w:val="17"/>
              </w:rPr>
              <w:t>39.15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39.15</w:t>
            </w:r>
          </w:p>
        </w:tc>
        <w:tc>
          <w:tcPr>
            <w:tcW w:w="1440" w:type="dxa"/>
            <w:vAlign w:val="center"/>
          </w:tcPr>
          <w:p>
            <w:pPr>
              <w:jc w:val="right"/>
            </w:pPr>
            <w:r>
              <w:rPr>
                <w:rFonts w:ascii="宋体" w:hAnsi="宋体" w:eastAsia="宋体" w:cs="宋体"/>
                <w:b w:val="0"/>
                <w:i w:val="0"/>
                <w:color w:val="000000"/>
                <w:sz w:val="17"/>
              </w:rPr>
              <w:t>39.15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1,201.54</w:t>
            </w:r>
          </w:p>
        </w:tc>
        <w:tc>
          <w:tcPr>
            <w:tcW w:w="1440" w:type="dxa"/>
            <w:vAlign w:val="center"/>
          </w:tcPr>
          <w:p>
            <w:pPr>
              <w:jc w:val="right"/>
            </w:pPr>
            <w:r>
              <w:rPr>
                <w:rFonts w:ascii="宋体" w:hAnsi="宋体" w:eastAsia="宋体" w:cs="宋体"/>
                <w:b w:val="0"/>
                <w:i w:val="0"/>
                <w:color w:val="000000"/>
                <w:sz w:val="17"/>
              </w:rPr>
              <w:t>1,201.54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20802</w:t>
            </w:r>
          </w:p>
        </w:tc>
        <w:tc>
          <w:tcPr>
            <w:tcW w:w="3140" w:type="dxa"/>
            <w:vAlign w:val="center"/>
          </w:tcPr>
          <w:p>
            <w:pPr>
              <w:jc w:val="left"/>
            </w:pPr>
            <w:r>
              <w:rPr>
                <w:rFonts w:ascii="宋体" w:hAnsi="宋体" w:eastAsia="宋体" w:cs="宋体"/>
                <w:b w:val="0"/>
                <w:i w:val="0"/>
                <w:color w:val="000000"/>
                <w:sz w:val="17"/>
              </w:rPr>
              <w:t>民政管理事务</w:t>
            </w:r>
          </w:p>
        </w:tc>
        <w:tc>
          <w:tcPr>
            <w:tcW w:w="1440" w:type="dxa"/>
            <w:vAlign w:val="center"/>
          </w:tcPr>
          <w:p>
            <w:pPr>
              <w:jc w:val="right"/>
            </w:pPr>
            <w:r>
              <w:rPr>
                <w:rFonts w:ascii="宋体" w:hAnsi="宋体" w:eastAsia="宋体" w:cs="宋体"/>
                <w:b w:val="0"/>
                <w:i w:val="0"/>
                <w:color w:val="000000"/>
                <w:sz w:val="17"/>
              </w:rPr>
              <w:t>926.88</w:t>
            </w:r>
          </w:p>
        </w:tc>
        <w:tc>
          <w:tcPr>
            <w:tcW w:w="1440" w:type="dxa"/>
            <w:vAlign w:val="center"/>
          </w:tcPr>
          <w:p>
            <w:pPr>
              <w:jc w:val="right"/>
            </w:pPr>
            <w:r>
              <w:rPr>
                <w:rFonts w:ascii="宋体" w:hAnsi="宋体" w:eastAsia="宋体" w:cs="宋体"/>
                <w:b w:val="0"/>
                <w:i w:val="0"/>
                <w:color w:val="000000"/>
                <w:sz w:val="17"/>
              </w:rPr>
              <w:t>926.88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2080201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717.75</w:t>
            </w:r>
          </w:p>
        </w:tc>
        <w:tc>
          <w:tcPr>
            <w:tcW w:w="1440" w:type="dxa"/>
            <w:vAlign w:val="center"/>
          </w:tcPr>
          <w:p>
            <w:pPr>
              <w:jc w:val="right"/>
            </w:pPr>
            <w:r>
              <w:rPr>
                <w:rFonts w:ascii="宋体" w:hAnsi="宋体" w:eastAsia="宋体" w:cs="宋体"/>
                <w:b w:val="0"/>
                <w:i w:val="0"/>
                <w:color w:val="000000"/>
                <w:sz w:val="17"/>
              </w:rPr>
              <w:t>717.75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2080202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209.13</w:t>
            </w:r>
          </w:p>
        </w:tc>
        <w:tc>
          <w:tcPr>
            <w:tcW w:w="1440" w:type="dxa"/>
            <w:vAlign w:val="center"/>
          </w:tcPr>
          <w:p>
            <w:pPr>
              <w:jc w:val="right"/>
            </w:pPr>
            <w:r>
              <w:rPr>
                <w:rFonts w:ascii="宋体" w:hAnsi="宋体" w:eastAsia="宋体" w:cs="宋体"/>
                <w:b w:val="0"/>
                <w:i w:val="0"/>
                <w:color w:val="000000"/>
                <w:sz w:val="17"/>
              </w:rPr>
              <w:t>209.13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274.66</w:t>
            </w:r>
          </w:p>
        </w:tc>
        <w:tc>
          <w:tcPr>
            <w:tcW w:w="1440" w:type="dxa"/>
            <w:vAlign w:val="center"/>
          </w:tcPr>
          <w:p>
            <w:pPr>
              <w:jc w:val="right"/>
            </w:pPr>
            <w:r>
              <w:rPr>
                <w:rFonts w:ascii="宋体" w:hAnsi="宋体" w:eastAsia="宋体" w:cs="宋体"/>
                <w:b w:val="0"/>
                <w:i w:val="0"/>
                <w:color w:val="000000"/>
                <w:sz w:val="17"/>
              </w:rPr>
              <w:t>274.66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233.03</w:t>
            </w:r>
          </w:p>
        </w:tc>
        <w:tc>
          <w:tcPr>
            <w:tcW w:w="1440" w:type="dxa"/>
            <w:vAlign w:val="center"/>
          </w:tcPr>
          <w:p>
            <w:pPr>
              <w:jc w:val="right"/>
            </w:pPr>
            <w:r>
              <w:rPr>
                <w:rFonts w:ascii="宋体" w:hAnsi="宋体" w:eastAsia="宋体" w:cs="宋体"/>
                <w:b w:val="0"/>
                <w:i w:val="0"/>
                <w:color w:val="000000"/>
                <w:sz w:val="17"/>
              </w:rPr>
              <w:t>233.03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41.63</w:t>
            </w:r>
          </w:p>
        </w:tc>
        <w:tc>
          <w:tcPr>
            <w:tcW w:w="1440" w:type="dxa"/>
            <w:vAlign w:val="center"/>
          </w:tcPr>
          <w:p>
            <w:pPr>
              <w:jc w:val="right"/>
            </w:pPr>
            <w:r>
              <w:rPr>
                <w:rFonts w:ascii="宋体" w:hAnsi="宋体" w:eastAsia="宋体" w:cs="宋体"/>
                <w:b w:val="0"/>
                <w:i w:val="0"/>
                <w:color w:val="000000"/>
                <w:sz w:val="17"/>
              </w:rPr>
              <w:t>41.63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48.86</w:t>
            </w:r>
          </w:p>
        </w:tc>
        <w:tc>
          <w:tcPr>
            <w:tcW w:w="1440" w:type="dxa"/>
            <w:vAlign w:val="center"/>
          </w:tcPr>
          <w:p>
            <w:pPr>
              <w:jc w:val="right"/>
            </w:pPr>
            <w:r>
              <w:rPr>
                <w:rFonts w:ascii="宋体" w:hAnsi="宋体" w:eastAsia="宋体" w:cs="宋体"/>
                <w:b w:val="0"/>
                <w:i w:val="0"/>
                <w:color w:val="000000"/>
                <w:sz w:val="17"/>
              </w:rPr>
              <w:t>48.86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48.86</w:t>
            </w:r>
          </w:p>
        </w:tc>
        <w:tc>
          <w:tcPr>
            <w:tcW w:w="1440" w:type="dxa"/>
            <w:vAlign w:val="center"/>
          </w:tcPr>
          <w:p>
            <w:pPr>
              <w:jc w:val="right"/>
            </w:pPr>
            <w:r>
              <w:rPr>
                <w:rFonts w:ascii="宋体" w:hAnsi="宋体" w:eastAsia="宋体" w:cs="宋体"/>
                <w:b w:val="0"/>
                <w:i w:val="0"/>
                <w:color w:val="000000"/>
                <w:sz w:val="17"/>
              </w:rPr>
              <w:t>48.86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25.40</w:t>
            </w:r>
          </w:p>
        </w:tc>
        <w:tc>
          <w:tcPr>
            <w:tcW w:w="1440" w:type="dxa"/>
            <w:vAlign w:val="center"/>
          </w:tcPr>
          <w:p>
            <w:pPr>
              <w:jc w:val="right"/>
            </w:pPr>
            <w:r>
              <w:rPr>
                <w:rFonts w:ascii="宋体" w:hAnsi="宋体" w:eastAsia="宋体" w:cs="宋体"/>
                <w:b w:val="0"/>
                <w:i w:val="0"/>
                <w:color w:val="000000"/>
                <w:sz w:val="17"/>
              </w:rPr>
              <w:t>25.40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23.46</w:t>
            </w:r>
          </w:p>
        </w:tc>
        <w:tc>
          <w:tcPr>
            <w:tcW w:w="1440" w:type="dxa"/>
            <w:vAlign w:val="center"/>
          </w:tcPr>
          <w:p>
            <w:pPr>
              <w:jc w:val="right"/>
            </w:pPr>
            <w:r>
              <w:rPr>
                <w:rFonts w:ascii="宋体" w:hAnsi="宋体" w:eastAsia="宋体" w:cs="宋体"/>
                <w:b w:val="0"/>
                <w:i w:val="0"/>
                <w:color w:val="000000"/>
                <w:sz w:val="17"/>
              </w:rPr>
              <w:t>23.46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3.40</w:t>
            </w:r>
          </w:p>
        </w:tc>
        <w:tc>
          <w:tcPr>
            <w:tcW w:w="1440" w:type="dxa"/>
            <w:vAlign w:val="center"/>
          </w:tcPr>
          <w:p>
            <w:pPr>
              <w:jc w:val="right"/>
            </w:pPr>
            <w:r>
              <w:rPr>
                <w:rFonts w:ascii="宋体" w:hAnsi="宋体" w:eastAsia="宋体" w:cs="宋体"/>
                <w:b w:val="0"/>
                <w:i w:val="0"/>
                <w:color w:val="000000"/>
                <w:sz w:val="17"/>
              </w:rPr>
              <w:t>3.40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3.40</w:t>
            </w:r>
          </w:p>
        </w:tc>
        <w:tc>
          <w:tcPr>
            <w:tcW w:w="1440" w:type="dxa"/>
            <w:vAlign w:val="center"/>
          </w:tcPr>
          <w:p>
            <w:pPr>
              <w:jc w:val="right"/>
            </w:pPr>
            <w:r>
              <w:rPr>
                <w:rFonts w:ascii="宋体" w:hAnsi="宋体" w:eastAsia="宋体" w:cs="宋体"/>
                <w:b w:val="0"/>
                <w:i w:val="0"/>
                <w:color w:val="000000"/>
                <w:sz w:val="17"/>
              </w:rPr>
              <w:t>3.40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0.90</w:t>
            </w:r>
          </w:p>
        </w:tc>
        <w:tc>
          <w:tcPr>
            <w:tcW w:w="1440" w:type="dxa"/>
            <w:vAlign w:val="center"/>
          </w:tcPr>
          <w:p>
            <w:pPr>
              <w:jc w:val="right"/>
            </w:pPr>
            <w:r>
              <w:rPr>
                <w:rFonts w:ascii="宋体" w:hAnsi="宋体" w:eastAsia="宋体" w:cs="宋体"/>
                <w:b w:val="0"/>
                <w:i w:val="0"/>
                <w:color w:val="000000"/>
                <w:sz w:val="17"/>
              </w:rPr>
              <w:t>0.90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40.21</w:t>
            </w:r>
          </w:p>
        </w:tc>
        <w:tc>
          <w:tcPr>
            <w:tcW w:w="1440" w:type="dxa"/>
            <w:vAlign w:val="center"/>
          </w:tcPr>
          <w:p>
            <w:pPr>
              <w:jc w:val="right"/>
            </w:pPr>
            <w:r>
              <w:rPr>
                <w:rFonts w:ascii="宋体" w:hAnsi="宋体" w:eastAsia="宋体" w:cs="宋体"/>
                <w:b w:val="0"/>
                <w:i w:val="0"/>
                <w:color w:val="000000"/>
                <w:sz w:val="17"/>
              </w:rPr>
              <w:t>40.21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40.21</w:t>
            </w:r>
          </w:p>
        </w:tc>
        <w:tc>
          <w:tcPr>
            <w:tcW w:w="1440" w:type="dxa"/>
            <w:vAlign w:val="center"/>
          </w:tcPr>
          <w:p>
            <w:pPr>
              <w:jc w:val="right"/>
            </w:pPr>
            <w:r>
              <w:rPr>
                <w:rFonts w:ascii="宋体" w:hAnsi="宋体" w:eastAsia="宋体" w:cs="宋体"/>
                <w:b w:val="0"/>
                <w:i w:val="0"/>
                <w:color w:val="000000"/>
                <w:sz w:val="17"/>
              </w:rPr>
              <w:t>40.21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40.21</w:t>
            </w:r>
          </w:p>
        </w:tc>
        <w:tc>
          <w:tcPr>
            <w:tcW w:w="1440" w:type="dxa"/>
            <w:vAlign w:val="center"/>
          </w:tcPr>
          <w:p>
            <w:pPr>
              <w:jc w:val="right"/>
            </w:pPr>
            <w:r>
              <w:rPr>
                <w:rFonts w:ascii="宋体" w:hAnsi="宋体" w:eastAsia="宋体" w:cs="宋体"/>
                <w:b w:val="0"/>
                <w:i w:val="0"/>
                <w:color w:val="000000"/>
                <w:sz w:val="17"/>
              </w:rPr>
              <w:t>40.21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100.98</w:t>
            </w:r>
          </w:p>
        </w:tc>
        <w:tc>
          <w:tcPr>
            <w:tcW w:w="1440" w:type="dxa"/>
            <w:vAlign w:val="center"/>
          </w:tcPr>
          <w:p>
            <w:pPr>
              <w:jc w:val="right"/>
            </w:pPr>
            <w:r>
              <w:rPr>
                <w:rFonts w:ascii="宋体" w:hAnsi="宋体" w:eastAsia="宋体" w:cs="宋体"/>
                <w:b w:val="0"/>
                <w:i w:val="0"/>
                <w:color w:val="000000"/>
                <w:sz w:val="17"/>
              </w:rPr>
              <w:t>100.98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22960</w:t>
            </w:r>
          </w:p>
        </w:tc>
        <w:tc>
          <w:tcPr>
            <w:tcW w:w="3140" w:type="dxa"/>
            <w:vAlign w:val="center"/>
          </w:tcPr>
          <w:p>
            <w:pPr>
              <w:jc w:val="left"/>
            </w:pPr>
            <w:r>
              <w:rPr>
                <w:rFonts w:ascii="宋体" w:hAnsi="宋体" w:eastAsia="宋体" w:cs="宋体"/>
                <w:b w:val="0"/>
                <w:i w:val="0"/>
                <w:color w:val="000000"/>
                <w:sz w:val="17"/>
              </w:rPr>
              <w:t>彩票公益金安排的支出</w:t>
            </w:r>
          </w:p>
        </w:tc>
        <w:tc>
          <w:tcPr>
            <w:tcW w:w="1440" w:type="dxa"/>
            <w:vAlign w:val="center"/>
          </w:tcPr>
          <w:p>
            <w:pPr>
              <w:jc w:val="right"/>
            </w:pPr>
            <w:r>
              <w:rPr>
                <w:rFonts w:ascii="宋体" w:hAnsi="宋体" w:eastAsia="宋体" w:cs="宋体"/>
                <w:b w:val="0"/>
                <w:i w:val="0"/>
                <w:color w:val="000000"/>
                <w:sz w:val="17"/>
              </w:rPr>
              <w:t>100.98</w:t>
            </w:r>
          </w:p>
        </w:tc>
        <w:tc>
          <w:tcPr>
            <w:tcW w:w="1440" w:type="dxa"/>
            <w:vAlign w:val="center"/>
          </w:tcPr>
          <w:p>
            <w:pPr>
              <w:jc w:val="right"/>
            </w:pPr>
            <w:r>
              <w:rPr>
                <w:rFonts w:ascii="宋体" w:hAnsi="宋体" w:eastAsia="宋体" w:cs="宋体"/>
                <w:b w:val="0"/>
                <w:i w:val="0"/>
                <w:color w:val="000000"/>
                <w:sz w:val="17"/>
              </w:rPr>
              <w:t>100.98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2296002</w:t>
            </w:r>
          </w:p>
        </w:tc>
        <w:tc>
          <w:tcPr>
            <w:tcW w:w="3140" w:type="dxa"/>
            <w:vAlign w:val="center"/>
          </w:tcPr>
          <w:p>
            <w:pPr>
              <w:jc w:val="left"/>
            </w:pPr>
            <w:r>
              <w:rPr>
                <w:rFonts w:ascii="宋体" w:hAnsi="宋体" w:eastAsia="宋体" w:cs="宋体"/>
                <w:b w:val="0"/>
                <w:i w:val="0"/>
                <w:color w:val="000000"/>
                <w:sz w:val="17"/>
              </w:rPr>
              <w:t>用于社会福利的彩票公益金支出</w:t>
            </w:r>
          </w:p>
        </w:tc>
        <w:tc>
          <w:tcPr>
            <w:tcW w:w="1440" w:type="dxa"/>
            <w:vAlign w:val="center"/>
          </w:tcPr>
          <w:p>
            <w:pPr>
              <w:jc w:val="right"/>
            </w:pPr>
            <w:r>
              <w:rPr>
                <w:rFonts w:ascii="宋体" w:hAnsi="宋体" w:eastAsia="宋体" w:cs="宋体"/>
                <w:b w:val="0"/>
                <w:i w:val="0"/>
                <w:color w:val="000000"/>
                <w:sz w:val="17"/>
              </w:rPr>
              <w:t>100.98</w:t>
            </w:r>
          </w:p>
        </w:tc>
        <w:tc>
          <w:tcPr>
            <w:tcW w:w="1440" w:type="dxa"/>
            <w:vAlign w:val="center"/>
          </w:tcPr>
          <w:p>
            <w:pPr>
              <w:jc w:val="right"/>
            </w:pPr>
            <w:r>
              <w:rPr>
                <w:rFonts w:ascii="宋体" w:hAnsi="宋体" w:eastAsia="宋体" w:cs="宋体"/>
                <w:b w:val="0"/>
                <w:i w:val="0"/>
                <w:color w:val="000000"/>
                <w:sz w:val="17"/>
              </w:rPr>
              <w:t>100.98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单位：许昌市民政局（本级）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1,500.40</w:t>
            </w:r>
          </w:p>
        </w:tc>
        <w:tc>
          <w:tcPr>
            <w:tcW w:w="1600" w:type="dxa"/>
            <w:vAlign w:val="center"/>
          </w:tcPr>
          <w:p>
            <w:pPr>
              <w:jc w:val="right"/>
            </w:pPr>
            <w:r>
              <w:rPr>
                <w:rFonts w:ascii="宋体" w:hAnsi="宋体" w:eastAsia="宋体" w:cs="宋体"/>
                <w:b/>
                <w:i w:val="0"/>
                <w:color w:val="000000"/>
                <w:sz w:val="19"/>
              </w:rPr>
              <w:t>1,130.44</w:t>
            </w:r>
          </w:p>
        </w:tc>
        <w:tc>
          <w:tcPr>
            <w:tcW w:w="1600" w:type="dxa"/>
            <w:vAlign w:val="center"/>
          </w:tcPr>
          <w:p>
            <w:pPr>
              <w:jc w:val="right"/>
            </w:pPr>
            <w:r>
              <w:rPr>
                <w:rFonts w:ascii="宋体" w:hAnsi="宋体" w:eastAsia="宋体" w:cs="宋体"/>
                <w:b/>
                <w:i w:val="0"/>
                <w:color w:val="000000"/>
                <w:sz w:val="19"/>
              </w:rPr>
              <w:t>369.96</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42.75</w:t>
            </w:r>
          </w:p>
        </w:tc>
        <w:tc>
          <w:tcPr>
            <w:tcW w:w="1600" w:type="dxa"/>
            <w:vAlign w:val="center"/>
          </w:tcPr>
          <w:p>
            <w:pPr>
              <w:jc w:val="right"/>
            </w:pPr>
            <w:r>
              <w:rPr>
                <w:rFonts w:ascii="宋体" w:hAnsi="宋体" w:eastAsia="宋体" w:cs="宋体"/>
                <w:b w:val="0"/>
                <w:i w:val="0"/>
                <w:color w:val="000000"/>
                <w:sz w:val="19"/>
              </w:rPr>
              <w:t>42.75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3.60</w:t>
            </w:r>
          </w:p>
        </w:tc>
        <w:tc>
          <w:tcPr>
            <w:tcW w:w="1600" w:type="dxa"/>
            <w:vAlign w:val="center"/>
          </w:tcPr>
          <w:p>
            <w:pPr>
              <w:jc w:val="right"/>
            </w:pPr>
            <w:r>
              <w:rPr>
                <w:rFonts w:ascii="宋体" w:hAnsi="宋体" w:eastAsia="宋体" w:cs="宋体"/>
                <w:b w:val="0"/>
                <w:i w:val="0"/>
                <w:color w:val="000000"/>
                <w:sz w:val="19"/>
              </w:rPr>
              <w:t>3.60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3.60</w:t>
            </w:r>
          </w:p>
        </w:tc>
        <w:tc>
          <w:tcPr>
            <w:tcW w:w="1600" w:type="dxa"/>
            <w:vAlign w:val="center"/>
          </w:tcPr>
          <w:p>
            <w:pPr>
              <w:jc w:val="right"/>
            </w:pPr>
            <w:r>
              <w:rPr>
                <w:rFonts w:ascii="宋体" w:hAnsi="宋体" w:eastAsia="宋体" w:cs="宋体"/>
                <w:b w:val="0"/>
                <w:i w:val="0"/>
                <w:color w:val="000000"/>
                <w:sz w:val="19"/>
              </w:rPr>
              <w:t>3.60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39.15</w:t>
            </w:r>
          </w:p>
        </w:tc>
        <w:tc>
          <w:tcPr>
            <w:tcW w:w="1600" w:type="dxa"/>
            <w:vAlign w:val="center"/>
          </w:tcPr>
          <w:p>
            <w:pPr>
              <w:jc w:val="right"/>
            </w:pPr>
            <w:r>
              <w:rPr>
                <w:rFonts w:ascii="宋体" w:hAnsi="宋体" w:eastAsia="宋体" w:cs="宋体"/>
                <w:b w:val="0"/>
                <w:i w:val="0"/>
                <w:color w:val="000000"/>
                <w:sz w:val="19"/>
              </w:rPr>
              <w:t>39.15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39.15</w:t>
            </w:r>
          </w:p>
        </w:tc>
        <w:tc>
          <w:tcPr>
            <w:tcW w:w="1600" w:type="dxa"/>
            <w:vAlign w:val="center"/>
          </w:tcPr>
          <w:p>
            <w:pPr>
              <w:jc w:val="right"/>
            </w:pPr>
            <w:r>
              <w:rPr>
                <w:rFonts w:ascii="宋体" w:hAnsi="宋体" w:eastAsia="宋体" w:cs="宋体"/>
                <w:b w:val="0"/>
                <w:i w:val="0"/>
                <w:color w:val="000000"/>
                <w:sz w:val="19"/>
              </w:rPr>
              <w:t>39.15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1,264.21</w:t>
            </w:r>
          </w:p>
        </w:tc>
        <w:tc>
          <w:tcPr>
            <w:tcW w:w="1600" w:type="dxa"/>
            <w:vAlign w:val="center"/>
          </w:tcPr>
          <w:p>
            <w:pPr>
              <w:jc w:val="right"/>
            </w:pPr>
            <w:r>
              <w:rPr>
                <w:rFonts w:ascii="宋体" w:hAnsi="宋体" w:eastAsia="宋体" w:cs="宋体"/>
                <w:b w:val="0"/>
                <w:i w:val="0"/>
                <w:color w:val="000000"/>
                <w:sz w:val="19"/>
              </w:rPr>
              <w:t>1,002.91</w:t>
            </w:r>
          </w:p>
        </w:tc>
        <w:tc>
          <w:tcPr>
            <w:tcW w:w="1600" w:type="dxa"/>
            <w:vAlign w:val="center"/>
          </w:tcPr>
          <w:p>
            <w:pPr>
              <w:jc w:val="right"/>
            </w:pPr>
            <w:r>
              <w:rPr>
                <w:rFonts w:ascii="宋体" w:hAnsi="宋体" w:eastAsia="宋体" w:cs="宋体"/>
                <w:b w:val="0"/>
                <w:i w:val="0"/>
                <w:color w:val="000000"/>
                <w:sz w:val="19"/>
              </w:rPr>
              <w:t>261.30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20802</w:t>
            </w:r>
          </w:p>
        </w:tc>
        <w:tc>
          <w:tcPr>
            <w:tcW w:w="3480" w:type="dxa"/>
            <w:vAlign w:val="center"/>
          </w:tcPr>
          <w:p>
            <w:pPr>
              <w:jc w:val="left"/>
            </w:pPr>
            <w:r>
              <w:rPr>
                <w:rFonts w:ascii="宋体" w:hAnsi="宋体" w:eastAsia="宋体" w:cs="宋体"/>
                <w:b w:val="0"/>
                <w:i w:val="0"/>
                <w:color w:val="000000"/>
                <w:sz w:val="19"/>
              </w:rPr>
              <w:t>民政管理事务</w:t>
            </w:r>
          </w:p>
        </w:tc>
        <w:tc>
          <w:tcPr>
            <w:tcW w:w="1600" w:type="dxa"/>
            <w:vAlign w:val="center"/>
          </w:tcPr>
          <w:p>
            <w:pPr>
              <w:jc w:val="right"/>
            </w:pPr>
            <w:r>
              <w:rPr>
                <w:rFonts w:ascii="宋体" w:hAnsi="宋体" w:eastAsia="宋体" w:cs="宋体"/>
                <w:b w:val="0"/>
                <w:i w:val="0"/>
                <w:color w:val="000000"/>
                <w:sz w:val="19"/>
              </w:rPr>
              <w:t>989.55</w:t>
            </w:r>
          </w:p>
        </w:tc>
        <w:tc>
          <w:tcPr>
            <w:tcW w:w="1600" w:type="dxa"/>
            <w:vAlign w:val="center"/>
          </w:tcPr>
          <w:p>
            <w:pPr>
              <w:jc w:val="right"/>
            </w:pPr>
            <w:r>
              <w:rPr>
                <w:rFonts w:ascii="宋体" w:hAnsi="宋体" w:eastAsia="宋体" w:cs="宋体"/>
                <w:b w:val="0"/>
                <w:i w:val="0"/>
                <w:color w:val="000000"/>
                <w:sz w:val="19"/>
              </w:rPr>
              <w:t>728.25</w:t>
            </w:r>
          </w:p>
        </w:tc>
        <w:tc>
          <w:tcPr>
            <w:tcW w:w="1600" w:type="dxa"/>
            <w:vAlign w:val="center"/>
          </w:tcPr>
          <w:p>
            <w:pPr>
              <w:jc w:val="right"/>
            </w:pPr>
            <w:r>
              <w:rPr>
                <w:rFonts w:ascii="宋体" w:hAnsi="宋体" w:eastAsia="宋体" w:cs="宋体"/>
                <w:b w:val="0"/>
                <w:i w:val="0"/>
                <w:color w:val="000000"/>
                <w:sz w:val="19"/>
              </w:rPr>
              <w:t>261.30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2080201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728.25</w:t>
            </w:r>
          </w:p>
        </w:tc>
        <w:tc>
          <w:tcPr>
            <w:tcW w:w="1600" w:type="dxa"/>
            <w:vAlign w:val="center"/>
          </w:tcPr>
          <w:p>
            <w:pPr>
              <w:jc w:val="right"/>
            </w:pPr>
            <w:r>
              <w:rPr>
                <w:rFonts w:ascii="宋体" w:hAnsi="宋体" w:eastAsia="宋体" w:cs="宋体"/>
                <w:b w:val="0"/>
                <w:i w:val="0"/>
                <w:color w:val="000000"/>
                <w:sz w:val="19"/>
              </w:rPr>
              <w:t>728.25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2080202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261.30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261.30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274.66</w:t>
            </w:r>
          </w:p>
        </w:tc>
        <w:tc>
          <w:tcPr>
            <w:tcW w:w="1600" w:type="dxa"/>
            <w:vAlign w:val="center"/>
          </w:tcPr>
          <w:p>
            <w:pPr>
              <w:jc w:val="right"/>
            </w:pPr>
            <w:r>
              <w:rPr>
                <w:rFonts w:ascii="宋体" w:hAnsi="宋体" w:eastAsia="宋体" w:cs="宋体"/>
                <w:b w:val="0"/>
                <w:i w:val="0"/>
                <w:color w:val="000000"/>
                <w:sz w:val="19"/>
              </w:rPr>
              <w:t>274.66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233.03</w:t>
            </w:r>
          </w:p>
        </w:tc>
        <w:tc>
          <w:tcPr>
            <w:tcW w:w="1600" w:type="dxa"/>
            <w:vAlign w:val="center"/>
          </w:tcPr>
          <w:p>
            <w:pPr>
              <w:jc w:val="right"/>
            </w:pPr>
            <w:r>
              <w:rPr>
                <w:rFonts w:ascii="宋体" w:hAnsi="宋体" w:eastAsia="宋体" w:cs="宋体"/>
                <w:b w:val="0"/>
                <w:i w:val="0"/>
                <w:color w:val="000000"/>
                <w:sz w:val="19"/>
              </w:rPr>
              <w:t>233.03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41.63</w:t>
            </w:r>
          </w:p>
        </w:tc>
        <w:tc>
          <w:tcPr>
            <w:tcW w:w="1600" w:type="dxa"/>
            <w:vAlign w:val="center"/>
          </w:tcPr>
          <w:p>
            <w:pPr>
              <w:jc w:val="right"/>
            </w:pPr>
            <w:r>
              <w:rPr>
                <w:rFonts w:ascii="宋体" w:hAnsi="宋体" w:eastAsia="宋体" w:cs="宋体"/>
                <w:b w:val="0"/>
                <w:i w:val="0"/>
                <w:color w:val="000000"/>
                <w:sz w:val="19"/>
              </w:rPr>
              <w:t>41.63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48.86</w:t>
            </w:r>
          </w:p>
        </w:tc>
        <w:tc>
          <w:tcPr>
            <w:tcW w:w="1600" w:type="dxa"/>
            <w:vAlign w:val="center"/>
          </w:tcPr>
          <w:p>
            <w:pPr>
              <w:jc w:val="right"/>
            </w:pPr>
            <w:r>
              <w:rPr>
                <w:rFonts w:ascii="宋体" w:hAnsi="宋体" w:eastAsia="宋体" w:cs="宋体"/>
                <w:b w:val="0"/>
                <w:i w:val="0"/>
                <w:color w:val="000000"/>
                <w:sz w:val="19"/>
              </w:rPr>
              <w:t>44.57</w:t>
            </w:r>
          </w:p>
        </w:tc>
        <w:tc>
          <w:tcPr>
            <w:tcW w:w="1600" w:type="dxa"/>
            <w:vAlign w:val="center"/>
          </w:tcPr>
          <w:p>
            <w:pPr>
              <w:jc w:val="right"/>
            </w:pPr>
            <w:r>
              <w:rPr>
                <w:rFonts w:ascii="宋体" w:hAnsi="宋体" w:eastAsia="宋体" w:cs="宋体"/>
                <w:b w:val="0"/>
                <w:i w:val="0"/>
                <w:color w:val="000000"/>
                <w:sz w:val="19"/>
              </w:rPr>
              <w:t>4.28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48.86</w:t>
            </w:r>
          </w:p>
        </w:tc>
        <w:tc>
          <w:tcPr>
            <w:tcW w:w="1600" w:type="dxa"/>
            <w:vAlign w:val="center"/>
          </w:tcPr>
          <w:p>
            <w:pPr>
              <w:jc w:val="right"/>
            </w:pPr>
            <w:r>
              <w:rPr>
                <w:rFonts w:ascii="宋体" w:hAnsi="宋体" w:eastAsia="宋体" w:cs="宋体"/>
                <w:b w:val="0"/>
                <w:i w:val="0"/>
                <w:color w:val="000000"/>
                <w:sz w:val="19"/>
              </w:rPr>
              <w:t>44.57</w:t>
            </w:r>
          </w:p>
        </w:tc>
        <w:tc>
          <w:tcPr>
            <w:tcW w:w="1600" w:type="dxa"/>
            <w:vAlign w:val="center"/>
          </w:tcPr>
          <w:p>
            <w:pPr>
              <w:jc w:val="right"/>
            </w:pPr>
            <w:r>
              <w:rPr>
                <w:rFonts w:ascii="宋体" w:hAnsi="宋体" w:eastAsia="宋体" w:cs="宋体"/>
                <w:b w:val="0"/>
                <w:i w:val="0"/>
                <w:color w:val="000000"/>
                <w:sz w:val="19"/>
              </w:rPr>
              <w:t>4.28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25.40</w:t>
            </w:r>
          </w:p>
        </w:tc>
        <w:tc>
          <w:tcPr>
            <w:tcW w:w="1600" w:type="dxa"/>
            <w:vAlign w:val="center"/>
          </w:tcPr>
          <w:p>
            <w:pPr>
              <w:jc w:val="right"/>
            </w:pPr>
            <w:r>
              <w:rPr>
                <w:rFonts w:ascii="宋体" w:hAnsi="宋体" w:eastAsia="宋体" w:cs="宋体"/>
                <w:b w:val="0"/>
                <w:i w:val="0"/>
                <w:color w:val="000000"/>
                <w:sz w:val="19"/>
              </w:rPr>
              <w:t>21.11</w:t>
            </w:r>
          </w:p>
        </w:tc>
        <w:tc>
          <w:tcPr>
            <w:tcW w:w="1600" w:type="dxa"/>
            <w:vAlign w:val="center"/>
          </w:tcPr>
          <w:p>
            <w:pPr>
              <w:jc w:val="right"/>
            </w:pPr>
            <w:r>
              <w:rPr>
                <w:rFonts w:ascii="宋体" w:hAnsi="宋体" w:eastAsia="宋体" w:cs="宋体"/>
                <w:b w:val="0"/>
                <w:i w:val="0"/>
                <w:color w:val="000000"/>
                <w:sz w:val="19"/>
              </w:rPr>
              <w:t>4.28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23.46</w:t>
            </w:r>
          </w:p>
        </w:tc>
        <w:tc>
          <w:tcPr>
            <w:tcW w:w="1600" w:type="dxa"/>
            <w:vAlign w:val="center"/>
          </w:tcPr>
          <w:p>
            <w:pPr>
              <w:jc w:val="right"/>
            </w:pPr>
            <w:r>
              <w:rPr>
                <w:rFonts w:ascii="宋体" w:hAnsi="宋体" w:eastAsia="宋体" w:cs="宋体"/>
                <w:b w:val="0"/>
                <w:i w:val="0"/>
                <w:color w:val="000000"/>
                <w:sz w:val="19"/>
              </w:rPr>
              <w:t>23.46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3.40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3.40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3.40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3.40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2130501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40.21</w:t>
            </w:r>
          </w:p>
        </w:tc>
        <w:tc>
          <w:tcPr>
            <w:tcW w:w="1600" w:type="dxa"/>
            <w:vAlign w:val="center"/>
          </w:tcPr>
          <w:p>
            <w:pPr>
              <w:jc w:val="right"/>
            </w:pPr>
            <w:r>
              <w:rPr>
                <w:rFonts w:ascii="宋体" w:hAnsi="宋体" w:eastAsia="宋体" w:cs="宋体"/>
                <w:b w:val="0"/>
                <w:i w:val="0"/>
                <w:color w:val="000000"/>
                <w:sz w:val="19"/>
              </w:rPr>
              <w:t>40.21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40.21</w:t>
            </w:r>
          </w:p>
        </w:tc>
        <w:tc>
          <w:tcPr>
            <w:tcW w:w="1600" w:type="dxa"/>
            <w:vAlign w:val="center"/>
          </w:tcPr>
          <w:p>
            <w:pPr>
              <w:jc w:val="right"/>
            </w:pPr>
            <w:r>
              <w:rPr>
                <w:rFonts w:ascii="宋体" w:hAnsi="宋体" w:eastAsia="宋体" w:cs="宋体"/>
                <w:b w:val="0"/>
                <w:i w:val="0"/>
                <w:color w:val="000000"/>
                <w:sz w:val="19"/>
              </w:rPr>
              <w:t>40.21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40.21</w:t>
            </w:r>
          </w:p>
        </w:tc>
        <w:tc>
          <w:tcPr>
            <w:tcW w:w="1600" w:type="dxa"/>
            <w:vAlign w:val="center"/>
          </w:tcPr>
          <w:p>
            <w:pPr>
              <w:jc w:val="right"/>
            </w:pPr>
            <w:r>
              <w:rPr>
                <w:rFonts w:ascii="宋体" w:hAnsi="宋体" w:eastAsia="宋体" w:cs="宋体"/>
                <w:b w:val="0"/>
                <w:i w:val="0"/>
                <w:color w:val="000000"/>
                <w:sz w:val="19"/>
              </w:rPr>
              <w:t>40.21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100.98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100.98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22960</w:t>
            </w:r>
          </w:p>
        </w:tc>
        <w:tc>
          <w:tcPr>
            <w:tcW w:w="3480" w:type="dxa"/>
            <w:vAlign w:val="center"/>
          </w:tcPr>
          <w:p>
            <w:pPr>
              <w:jc w:val="left"/>
            </w:pPr>
            <w:r>
              <w:rPr>
                <w:rFonts w:ascii="宋体" w:hAnsi="宋体" w:eastAsia="宋体" w:cs="宋体"/>
                <w:b w:val="0"/>
                <w:i w:val="0"/>
                <w:color w:val="000000"/>
                <w:sz w:val="19"/>
              </w:rPr>
              <w:t>彩票公益金安排的支出</w:t>
            </w:r>
          </w:p>
        </w:tc>
        <w:tc>
          <w:tcPr>
            <w:tcW w:w="1600" w:type="dxa"/>
            <w:vAlign w:val="center"/>
          </w:tcPr>
          <w:p>
            <w:pPr>
              <w:jc w:val="right"/>
            </w:pPr>
            <w:r>
              <w:rPr>
                <w:rFonts w:ascii="宋体" w:hAnsi="宋体" w:eastAsia="宋体" w:cs="宋体"/>
                <w:b w:val="0"/>
                <w:i w:val="0"/>
                <w:color w:val="000000"/>
                <w:sz w:val="19"/>
              </w:rPr>
              <w:t>100.98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100.98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2296002</w:t>
            </w:r>
          </w:p>
        </w:tc>
        <w:tc>
          <w:tcPr>
            <w:tcW w:w="3480" w:type="dxa"/>
            <w:vAlign w:val="center"/>
          </w:tcPr>
          <w:p>
            <w:pPr>
              <w:jc w:val="left"/>
            </w:pPr>
            <w:r>
              <w:rPr>
                <w:rFonts w:ascii="宋体" w:hAnsi="宋体" w:eastAsia="宋体" w:cs="宋体"/>
                <w:b w:val="0"/>
                <w:i w:val="0"/>
                <w:color w:val="000000"/>
                <w:sz w:val="19"/>
              </w:rPr>
              <w:t>用于社会福利的彩票公益金支出</w:t>
            </w:r>
          </w:p>
        </w:tc>
        <w:tc>
          <w:tcPr>
            <w:tcW w:w="1600" w:type="dxa"/>
            <w:vAlign w:val="center"/>
          </w:tcPr>
          <w:p>
            <w:pPr>
              <w:jc w:val="right"/>
            </w:pPr>
            <w:r>
              <w:rPr>
                <w:rFonts w:ascii="宋体" w:hAnsi="宋体" w:eastAsia="宋体" w:cs="宋体"/>
                <w:b w:val="0"/>
                <w:i w:val="0"/>
                <w:color w:val="000000"/>
                <w:sz w:val="19"/>
              </w:rPr>
              <w:t>100.98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100.98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单位：许昌市民政局（本级）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1,336.75</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42.75</w:t>
            </w:r>
          </w:p>
        </w:tc>
        <w:tc>
          <w:tcPr>
            <w:tcW w:w="1420" w:type="dxa"/>
            <w:vAlign w:val="center"/>
          </w:tcPr>
          <w:p>
            <w:pPr>
              <w:jc w:val="right"/>
            </w:pPr>
            <w:r>
              <w:rPr>
                <w:rFonts w:ascii="宋体" w:hAnsi="宋体" w:eastAsia="宋体" w:cs="宋体"/>
                <w:b w:val="0"/>
                <w:i w:val="0"/>
                <w:color w:val="000000"/>
                <w:sz w:val="18"/>
              </w:rPr>
              <w:t>42.75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100.98</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1,264.20</w:t>
            </w:r>
          </w:p>
        </w:tc>
        <w:tc>
          <w:tcPr>
            <w:tcW w:w="1420" w:type="dxa"/>
            <w:vAlign w:val="center"/>
          </w:tcPr>
          <w:p>
            <w:pPr>
              <w:jc w:val="right"/>
            </w:pPr>
            <w:r>
              <w:rPr>
                <w:rFonts w:ascii="宋体" w:hAnsi="宋体" w:eastAsia="宋体" w:cs="宋体"/>
                <w:b w:val="0"/>
                <w:i w:val="0"/>
                <w:color w:val="000000"/>
                <w:sz w:val="18"/>
              </w:rPr>
              <w:t>1,264.20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48.85</w:t>
            </w:r>
          </w:p>
        </w:tc>
        <w:tc>
          <w:tcPr>
            <w:tcW w:w="1420" w:type="dxa"/>
            <w:vAlign w:val="center"/>
          </w:tcPr>
          <w:p>
            <w:pPr>
              <w:jc w:val="right"/>
            </w:pPr>
            <w:r>
              <w:rPr>
                <w:rFonts w:ascii="宋体" w:hAnsi="宋体" w:eastAsia="宋体" w:cs="宋体"/>
                <w:b w:val="0"/>
                <w:i w:val="0"/>
                <w:color w:val="000000"/>
                <w:sz w:val="18"/>
              </w:rPr>
              <w:t>48.85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3.40</w:t>
            </w:r>
          </w:p>
        </w:tc>
        <w:tc>
          <w:tcPr>
            <w:tcW w:w="1420" w:type="dxa"/>
            <w:vAlign w:val="center"/>
          </w:tcPr>
          <w:p>
            <w:pPr>
              <w:jc w:val="right"/>
            </w:pPr>
            <w:r>
              <w:rPr>
                <w:rFonts w:ascii="宋体" w:hAnsi="宋体" w:eastAsia="宋体" w:cs="宋体"/>
                <w:b w:val="0"/>
                <w:i w:val="0"/>
                <w:color w:val="000000"/>
                <w:sz w:val="18"/>
              </w:rPr>
              <w:t>3.40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40.21</w:t>
            </w:r>
          </w:p>
        </w:tc>
        <w:tc>
          <w:tcPr>
            <w:tcW w:w="1420" w:type="dxa"/>
            <w:vAlign w:val="center"/>
          </w:tcPr>
          <w:p>
            <w:pPr>
              <w:jc w:val="right"/>
            </w:pPr>
            <w:r>
              <w:rPr>
                <w:rFonts w:ascii="宋体" w:hAnsi="宋体" w:eastAsia="宋体" w:cs="宋体"/>
                <w:b w:val="0"/>
                <w:i w:val="0"/>
                <w:color w:val="000000"/>
                <w:sz w:val="18"/>
              </w:rPr>
              <w:t>40.21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100.98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100.98</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1,437.73</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1,500.40</w:t>
            </w:r>
          </w:p>
        </w:tc>
        <w:tc>
          <w:tcPr>
            <w:tcW w:w="1420" w:type="dxa"/>
            <w:vAlign w:val="center"/>
          </w:tcPr>
          <w:p>
            <w:pPr>
              <w:jc w:val="right"/>
            </w:pPr>
            <w:r>
              <w:rPr>
                <w:rFonts w:ascii="宋体" w:hAnsi="宋体" w:eastAsia="宋体" w:cs="宋体"/>
                <w:b w:val="0"/>
                <w:i w:val="0"/>
                <w:color w:val="000000"/>
                <w:sz w:val="18"/>
              </w:rPr>
              <w:t>1,399.42</w:t>
            </w:r>
          </w:p>
        </w:tc>
        <w:tc>
          <w:tcPr>
            <w:tcW w:w="1420" w:type="dxa"/>
            <w:vAlign w:val="center"/>
          </w:tcPr>
          <w:p>
            <w:pPr>
              <w:jc w:val="right"/>
            </w:pPr>
            <w:r>
              <w:rPr>
                <w:rFonts w:ascii="宋体" w:hAnsi="宋体" w:eastAsia="宋体" w:cs="宋体"/>
                <w:b w:val="0"/>
                <w:i w:val="0"/>
                <w:color w:val="000000"/>
                <w:sz w:val="18"/>
              </w:rPr>
              <w:t>100.98</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62.67</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62.67</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1,500.40</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1,500.40</w:t>
            </w:r>
          </w:p>
        </w:tc>
        <w:tc>
          <w:tcPr>
            <w:tcW w:w="1420" w:type="dxa"/>
            <w:vAlign w:val="center"/>
          </w:tcPr>
          <w:p>
            <w:pPr>
              <w:jc w:val="right"/>
            </w:pPr>
            <w:r>
              <w:rPr>
                <w:rFonts w:ascii="宋体" w:hAnsi="宋体" w:eastAsia="宋体" w:cs="宋体"/>
                <w:b w:val="0"/>
                <w:i w:val="0"/>
                <w:color w:val="000000"/>
                <w:sz w:val="18"/>
              </w:rPr>
              <w:t>1,399.42</w:t>
            </w:r>
          </w:p>
        </w:tc>
        <w:tc>
          <w:tcPr>
            <w:tcW w:w="1420" w:type="dxa"/>
            <w:vAlign w:val="center"/>
          </w:tcPr>
          <w:p>
            <w:pPr>
              <w:jc w:val="right"/>
            </w:pPr>
            <w:r>
              <w:rPr>
                <w:rFonts w:ascii="宋体" w:hAnsi="宋体" w:eastAsia="宋体" w:cs="宋体"/>
                <w:b w:val="0"/>
                <w:i w:val="0"/>
                <w:color w:val="000000"/>
                <w:sz w:val="18"/>
              </w:rPr>
              <w:t>100.98</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单位：许昌市民政局（本级）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1,399.42</w:t>
            </w:r>
          </w:p>
        </w:tc>
        <w:tc>
          <w:tcPr>
            <w:tcW w:w="2700" w:type="dxa"/>
            <w:vAlign w:val="center"/>
          </w:tcPr>
          <w:p>
            <w:pPr>
              <w:jc w:val="right"/>
            </w:pPr>
            <w:r>
              <w:rPr>
                <w:rFonts w:ascii="宋体" w:hAnsi="宋体" w:eastAsia="宋体" w:cs="宋体"/>
                <w:b/>
                <w:i w:val="0"/>
                <w:color w:val="000000"/>
                <w:sz w:val="25"/>
              </w:rPr>
              <w:t>1,130.44</w:t>
            </w:r>
          </w:p>
        </w:tc>
        <w:tc>
          <w:tcPr>
            <w:tcW w:w="2658" w:type="dxa"/>
            <w:vAlign w:val="center"/>
          </w:tcPr>
          <w:p>
            <w:pPr>
              <w:jc w:val="right"/>
            </w:pPr>
            <w:r>
              <w:rPr>
                <w:rFonts w:ascii="宋体" w:hAnsi="宋体" w:eastAsia="宋体" w:cs="宋体"/>
                <w:b/>
                <w:i w:val="0"/>
                <w:color w:val="000000"/>
                <w:sz w:val="25"/>
              </w:rPr>
              <w:t>268.98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42.75</w:t>
            </w:r>
          </w:p>
        </w:tc>
        <w:tc>
          <w:tcPr>
            <w:tcW w:w="2700" w:type="dxa"/>
            <w:vAlign w:val="center"/>
          </w:tcPr>
          <w:p>
            <w:pPr>
              <w:jc w:val="right"/>
            </w:pPr>
            <w:r>
              <w:rPr>
                <w:rFonts w:ascii="宋体" w:hAnsi="宋体" w:eastAsia="宋体" w:cs="宋体"/>
                <w:b w:val="0"/>
                <w:i w:val="0"/>
                <w:color w:val="000000"/>
                <w:sz w:val="25"/>
              </w:rPr>
              <w:t>42.75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3.60</w:t>
            </w:r>
          </w:p>
        </w:tc>
        <w:tc>
          <w:tcPr>
            <w:tcW w:w="2700" w:type="dxa"/>
            <w:vAlign w:val="center"/>
          </w:tcPr>
          <w:p>
            <w:pPr>
              <w:jc w:val="right"/>
            </w:pPr>
            <w:r>
              <w:rPr>
                <w:rFonts w:ascii="宋体" w:hAnsi="宋体" w:eastAsia="宋体" w:cs="宋体"/>
                <w:b w:val="0"/>
                <w:i w:val="0"/>
                <w:color w:val="000000"/>
                <w:sz w:val="25"/>
              </w:rPr>
              <w:t>3.60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3.60</w:t>
            </w:r>
          </w:p>
        </w:tc>
        <w:tc>
          <w:tcPr>
            <w:tcW w:w="2700" w:type="dxa"/>
            <w:vAlign w:val="center"/>
          </w:tcPr>
          <w:p>
            <w:pPr>
              <w:jc w:val="right"/>
            </w:pPr>
            <w:r>
              <w:rPr>
                <w:rFonts w:ascii="宋体" w:hAnsi="宋体" w:eastAsia="宋体" w:cs="宋体"/>
                <w:b w:val="0"/>
                <w:i w:val="0"/>
                <w:color w:val="000000"/>
                <w:sz w:val="25"/>
              </w:rPr>
              <w:t>3.60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39.15</w:t>
            </w:r>
          </w:p>
        </w:tc>
        <w:tc>
          <w:tcPr>
            <w:tcW w:w="2700" w:type="dxa"/>
            <w:vAlign w:val="center"/>
          </w:tcPr>
          <w:p>
            <w:pPr>
              <w:jc w:val="right"/>
            </w:pPr>
            <w:r>
              <w:rPr>
                <w:rFonts w:ascii="宋体" w:hAnsi="宋体" w:eastAsia="宋体" w:cs="宋体"/>
                <w:b w:val="0"/>
                <w:i w:val="0"/>
                <w:color w:val="000000"/>
                <w:sz w:val="25"/>
              </w:rPr>
              <w:t>39.15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39.15</w:t>
            </w:r>
          </w:p>
        </w:tc>
        <w:tc>
          <w:tcPr>
            <w:tcW w:w="2700" w:type="dxa"/>
            <w:vAlign w:val="center"/>
          </w:tcPr>
          <w:p>
            <w:pPr>
              <w:jc w:val="right"/>
            </w:pPr>
            <w:r>
              <w:rPr>
                <w:rFonts w:ascii="宋体" w:hAnsi="宋体" w:eastAsia="宋体" w:cs="宋体"/>
                <w:b w:val="0"/>
                <w:i w:val="0"/>
                <w:color w:val="000000"/>
                <w:sz w:val="25"/>
              </w:rPr>
              <w:t>39.15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1,264.21</w:t>
            </w:r>
          </w:p>
        </w:tc>
        <w:tc>
          <w:tcPr>
            <w:tcW w:w="2700" w:type="dxa"/>
            <w:vAlign w:val="center"/>
          </w:tcPr>
          <w:p>
            <w:pPr>
              <w:jc w:val="right"/>
            </w:pPr>
            <w:r>
              <w:rPr>
                <w:rFonts w:ascii="宋体" w:hAnsi="宋体" w:eastAsia="宋体" w:cs="宋体"/>
                <w:b w:val="0"/>
                <w:i w:val="0"/>
                <w:color w:val="000000"/>
                <w:sz w:val="25"/>
              </w:rPr>
              <w:t>1,002.91</w:t>
            </w:r>
          </w:p>
        </w:tc>
        <w:tc>
          <w:tcPr>
            <w:tcW w:w="2658" w:type="dxa"/>
            <w:vAlign w:val="center"/>
          </w:tcPr>
          <w:p>
            <w:pPr>
              <w:jc w:val="right"/>
            </w:pPr>
            <w:r>
              <w:rPr>
                <w:rFonts w:ascii="宋体" w:hAnsi="宋体" w:eastAsia="宋体" w:cs="宋体"/>
                <w:b w:val="0"/>
                <w:i w:val="0"/>
                <w:color w:val="000000"/>
                <w:sz w:val="25"/>
              </w:rPr>
              <w:t>261.30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20802</w:t>
            </w:r>
          </w:p>
        </w:tc>
        <w:tc>
          <w:tcPr>
            <w:tcW w:w="4700" w:type="dxa"/>
            <w:vAlign w:val="center"/>
          </w:tcPr>
          <w:p>
            <w:pPr>
              <w:jc w:val="left"/>
            </w:pPr>
            <w:r>
              <w:rPr>
                <w:rFonts w:ascii="宋体" w:hAnsi="宋体" w:eastAsia="宋体" w:cs="宋体"/>
                <w:b w:val="0"/>
                <w:i w:val="0"/>
                <w:color w:val="000000"/>
                <w:sz w:val="25"/>
              </w:rPr>
              <w:t>民政管理事务</w:t>
            </w:r>
          </w:p>
        </w:tc>
        <w:tc>
          <w:tcPr>
            <w:tcW w:w="2700" w:type="dxa"/>
            <w:vAlign w:val="center"/>
          </w:tcPr>
          <w:p>
            <w:pPr>
              <w:jc w:val="right"/>
            </w:pPr>
            <w:r>
              <w:rPr>
                <w:rFonts w:ascii="宋体" w:hAnsi="宋体" w:eastAsia="宋体" w:cs="宋体"/>
                <w:b w:val="0"/>
                <w:i w:val="0"/>
                <w:color w:val="000000"/>
                <w:sz w:val="25"/>
              </w:rPr>
              <w:t>989.55</w:t>
            </w:r>
          </w:p>
        </w:tc>
        <w:tc>
          <w:tcPr>
            <w:tcW w:w="2700" w:type="dxa"/>
            <w:vAlign w:val="center"/>
          </w:tcPr>
          <w:p>
            <w:pPr>
              <w:jc w:val="right"/>
            </w:pPr>
            <w:r>
              <w:rPr>
                <w:rFonts w:ascii="宋体" w:hAnsi="宋体" w:eastAsia="宋体" w:cs="宋体"/>
                <w:b w:val="0"/>
                <w:i w:val="0"/>
                <w:color w:val="000000"/>
                <w:sz w:val="25"/>
              </w:rPr>
              <w:t>728.25</w:t>
            </w:r>
          </w:p>
        </w:tc>
        <w:tc>
          <w:tcPr>
            <w:tcW w:w="2658" w:type="dxa"/>
            <w:vAlign w:val="center"/>
          </w:tcPr>
          <w:p>
            <w:pPr>
              <w:jc w:val="right"/>
            </w:pPr>
            <w:r>
              <w:rPr>
                <w:rFonts w:ascii="宋体" w:hAnsi="宋体" w:eastAsia="宋体" w:cs="宋体"/>
                <w:b w:val="0"/>
                <w:i w:val="0"/>
                <w:color w:val="000000"/>
                <w:sz w:val="25"/>
              </w:rPr>
              <w:t>261.30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2080201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728.25</w:t>
            </w:r>
          </w:p>
        </w:tc>
        <w:tc>
          <w:tcPr>
            <w:tcW w:w="2700" w:type="dxa"/>
            <w:vAlign w:val="center"/>
          </w:tcPr>
          <w:p>
            <w:pPr>
              <w:jc w:val="right"/>
            </w:pPr>
            <w:r>
              <w:rPr>
                <w:rFonts w:ascii="宋体" w:hAnsi="宋体" w:eastAsia="宋体" w:cs="宋体"/>
                <w:b w:val="0"/>
                <w:i w:val="0"/>
                <w:color w:val="000000"/>
                <w:sz w:val="25"/>
              </w:rPr>
              <w:t>728.25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2080202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261.30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261.30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274.66</w:t>
            </w:r>
          </w:p>
        </w:tc>
        <w:tc>
          <w:tcPr>
            <w:tcW w:w="2700" w:type="dxa"/>
            <w:vAlign w:val="center"/>
          </w:tcPr>
          <w:p>
            <w:pPr>
              <w:jc w:val="right"/>
            </w:pPr>
            <w:r>
              <w:rPr>
                <w:rFonts w:ascii="宋体" w:hAnsi="宋体" w:eastAsia="宋体" w:cs="宋体"/>
                <w:b w:val="0"/>
                <w:i w:val="0"/>
                <w:color w:val="000000"/>
                <w:sz w:val="25"/>
              </w:rPr>
              <w:t>274.66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233.03</w:t>
            </w:r>
          </w:p>
        </w:tc>
        <w:tc>
          <w:tcPr>
            <w:tcW w:w="2700" w:type="dxa"/>
            <w:vAlign w:val="center"/>
          </w:tcPr>
          <w:p>
            <w:pPr>
              <w:jc w:val="right"/>
            </w:pPr>
            <w:r>
              <w:rPr>
                <w:rFonts w:ascii="宋体" w:hAnsi="宋体" w:eastAsia="宋体" w:cs="宋体"/>
                <w:b w:val="0"/>
                <w:i w:val="0"/>
                <w:color w:val="000000"/>
                <w:sz w:val="25"/>
              </w:rPr>
              <w:t>233.03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41.63</w:t>
            </w:r>
          </w:p>
        </w:tc>
        <w:tc>
          <w:tcPr>
            <w:tcW w:w="2700" w:type="dxa"/>
            <w:vAlign w:val="center"/>
          </w:tcPr>
          <w:p>
            <w:pPr>
              <w:jc w:val="right"/>
            </w:pPr>
            <w:r>
              <w:rPr>
                <w:rFonts w:ascii="宋体" w:hAnsi="宋体" w:eastAsia="宋体" w:cs="宋体"/>
                <w:b w:val="0"/>
                <w:i w:val="0"/>
                <w:color w:val="000000"/>
                <w:sz w:val="25"/>
              </w:rPr>
              <w:t>41.63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48.86</w:t>
            </w:r>
          </w:p>
        </w:tc>
        <w:tc>
          <w:tcPr>
            <w:tcW w:w="2700" w:type="dxa"/>
            <w:vAlign w:val="center"/>
          </w:tcPr>
          <w:p>
            <w:pPr>
              <w:jc w:val="right"/>
            </w:pPr>
            <w:r>
              <w:rPr>
                <w:rFonts w:ascii="宋体" w:hAnsi="宋体" w:eastAsia="宋体" w:cs="宋体"/>
                <w:b w:val="0"/>
                <w:i w:val="0"/>
                <w:color w:val="000000"/>
                <w:sz w:val="25"/>
              </w:rPr>
              <w:t>44.57</w:t>
            </w:r>
          </w:p>
        </w:tc>
        <w:tc>
          <w:tcPr>
            <w:tcW w:w="2658" w:type="dxa"/>
            <w:vAlign w:val="center"/>
          </w:tcPr>
          <w:p>
            <w:pPr>
              <w:jc w:val="right"/>
            </w:pPr>
            <w:r>
              <w:rPr>
                <w:rFonts w:ascii="宋体" w:hAnsi="宋体" w:eastAsia="宋体" w:cs="宋体"/>
                <w:b w:val="0"/>
                <w:i w:val="0"/>
                <w:color w:val="000000"/>
                <w:sz w:val="25"/>
              </w:rPr>
              <w:t>4.28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48.86</w:t>
            </w:r>
          </w:p>
        </w:tc>
        <w:tc>
          <w:tcPr>
            <w:tcW w:w="2700" w:type="dxa"/>
            <w:vAlign w:val="center"/>
          </w:tcPr>
          <w:p>
            <w:pPr>
              <w:jc w:val="right"/>
            </w:pPr>
            <w:r>
              <w:rPr>
                <w:rFonts w:ascii="宋体" w:hAnsi="宋体" w:eastAsia="宋体" w:cs="宋体"/>
                <w:b w:val="0"/>
                <w:i w:val="0"/>
                <w:color w:val="000000"/>
                <w:sz w:val="25"/>
              </w:rPr>
              <w:t>44.57</w:t>
            </w:r>
          </w:p>
        </w:tc>
        <w:tc>
          <w:tcPr>
            <w:tcW w:w="2658" w:type="dxa"/>
            <w:vAlign w:val="center"/>
          </w:tcPr>
          <w:p>
            <w:pPr>
              <w:jc w:val="right"/>
            </w:pPr>
            <w:r>
              <w:rPr>
                <w:rFonts w:ascii="宋体" w:hAnsi="宋体" w:eastAsia="宋体" w:cs="宋体"/>
                <w:b w:val="0"/>
                <w:i w:val="0"/>
                <w:color w:val="000000"/>
                <w:sz w:val="25"/>
              </w:rPr>
              <w:t>4.28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25.40</w:t>
            </w:r>
          </w:p>
        </w:tc>
        <w:tc>
          <w:tcPr>
            <w:tcW w:w="2700" w:type="dxa"/>
            <w:vAlign w:val="center"/>
          </w:tcPr>
          <w:p>
            <w:pPr>
              <w:jc w:val="right"/>
            </w:pPr>
            <w:r>
              <w:rPr>
                <w:rFonts w:ascii="宋体" w:hAnsi="宋体" w:eastAsia="宋体" w:cs="宋体"/>
                <w:b w:val="0"/>
                <w:i w:val="0"/>
                <w:color w:val="000000"/>
                <w:sz w:val="25"/>
              </w:rPr>
              <w:t>21.11</w:t>
            </w:r>
          </w:p>
        </w:tc>
        <w:tc>
          <w:tcPr>
            <w:tcW w:w="2658" w:type="dxa"/>
            <w:vAlign w:val="center"/>
          </w:tcPr>
          <w:p>
            <w:pPr>
              <w:jc w:val="right"/>
            </w:pPr>
            <w:r>
              <w:rPr>
                <w:rFonts w:ascii="宋体" w:hAnsi="宋体" w:eastAsia="宋体" w:cs="宋体"/>
                <w:b w:val="0"/>
                <w:i w:val="0"/>
                <w:color w:val="000000"/>
                <w:sz w:val="25"/>
              </w:rPr>
              <w:t>4.28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23.46</w:t>
            </w:r>
          </w:p>
        </w:tc>
        <w:tc>
          <w:tcPr>
            <w:tcW w:w="2700" w:type="dxa"/>
            <w:vAlign w:val="center"/>
          </w:tcPr>
          <w:p>
            <w:pPr>
              <w:jc w:val="right"/>
            </w:pPr>
            <w:r>
              <w:rPr>
                <w:rFonts w:ascii="宋体" w:hAnsi="宋体" w:eastAsia="宋体" w:cs="宋体"/>
                <w:b w:val="0"/>
                <w:i w:val="0"/>
                <w:color w:val="000000"/>
                <w:sz w:val="25"/>
              </w:rPr>
              <w:t>23.46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3.40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3.40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2130501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0.90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0.90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40.21</w:t>
            </w:r>
          </w:p>
        </w:tc>
        <w:tc>
          <w:tcPr>
            <w:tcW w:w="2700" w:type="dxa"/>
            <w:vAlign w:val="center"/>
          </w:tcPr>
          <w:p>
            <w:pPr>
              <w:jc w:val="right"/>
            </w:pPr>
            <w:r>
              <w:rPr>
                <w:rFonts w:ascii="宋体" w:hAnsi="宋体" w:eastAsia="宋体" w:cs="宋体"/>
                <w:b w:val="0"/>
                <w:i w:val="0"/>
                <w:color w:val="000000"/>
                <w:sz w:val="25"/>
              </w:rPr>
              <w:t>40.21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40.21</w:t>
            </w:r>
          </w:p>
        </w:tc>
        <w:tc>
          <w:tcPr>
            <w:tcW w:w="2700" w:type="dxa"/>
            <w:vAlign w:val="center"/>
          </w:tcPr>
          <w:p>
            <w:pPr>
              <w:jc w:val="right"/>
            </w:pPr>
            <w:r>
              <w:rPr>
                <w:rFonts w:ascii="宋体" w:hAnsi="宋体" w:eastAsia="宋体" w:cs="宋体"/>
                <w:b w:val="0"/>
                <w:i w:val="0"/>
                <w:color w:val="000000"/>
                <w:sz w:val="25"/>
              </w:rPr>
              <w:t>40.21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40.21</w:t>
            </w:r>
          </w:p>
        </w:tc>
        <w:tc>
          <w:tcPr>
            <w:tcW w:w="2700" w:type="dxa"/>
            <w:vAlign w:val="center"/>
          </w:tcPr>
          <w:p>
            <w:pPr>
              <w:jc w:val="right"/>
            </w:pPr>
            <w:r>
              <w:rPr>
                <w:rFonts w:ascii="宋体" w:hAnsi="宋体" w:eastAsia="宋体" w:cs="宋体"/>
                <w:b w:val="0"/>
                <w:i w:val="0"/>
                <w:color w:val="000000"/>
                <w:sz w:val="25"/>
              </w:rPr>
              <w:t>40.21</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单位：许昌市民政局（本级）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743.88</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104.50</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171.17</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23.74</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253.76</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4.45</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192.28</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1.27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1.27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41.63</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5.84</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21.11</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23.46</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0.26</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12.87</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40.21</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0.70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280.78</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23.83</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0.09</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209.53</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0.94</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3.36</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0.10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7.90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3.60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0.17</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3.36</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1.22</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34.50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43.89</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5.18</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1,024.66</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105.78</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单位：许昌市民政局（本级）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pPr>
              <w:jc w:val="right"/>
            </w:pPr>
            <w:r>
              <w:rPr>
                <w:rFonts w:ascii="宋体" w:hAnsi="宋体" w:eastAsia="宋体" w:cs="宋体"/>
                <w:b/>
                <w:i w:val="0"/>
                <w:color w:val="000000"/>
                <w:sz w:val="20"/>
              </w:rPr>
              <w:t>0.00</w:t>
            </w:r>
          </w:p>
        </w:tc>
        <w:tc>
          <w:tcPr>
            <w:tcW w:w="1560" w:type="dxa"/>
            <w:vAlign w:val="center"/>
          </w:tcPr>
          <w:p>
            <w:pPr>
              <w:jc w:val="right"/>
            </w:pPr>
            <w:r>
              <w:rPr>
                <w:rFonts w:ascii="宋体" w:hAnsi="宋体" w:eastAsia="宋体" w:cs="宋体"/>
                <w:b/>
                <w:i w:val="0"/>
                <w:color w:val="000000"/>
                <w:sz w:val="20"/>
              </w:rPr>
              <w:t>100.98</w:t>
            </w:r>
          </w:p>
        </w:tc>
        <w:tc>
          <w:tcPr>
            <w:tcW w:w="1560" w:type="dxa"/>
            <w:vAlign w:val="center"/>
          </w:tcPr>
          <w:p>
            <w:pPr>
              <w:jc w:val="right"/>
            </w:pPr>
            <w:r>
              <w:rPr>
                <w:rFonts w:ascii="宋体" w:hAnsi="宋体" w:eastAsia="宋体" w:cs="宋体"/>
                <w:b/>
                <w:i w:val="0"/>
                <w:color w:val="000000"/>
                <w:sz w:val="20"/>
              </w:rPr>
              <w:t>100.98</w:t>
            </w:r>
          </w:p>
        </w:tc>
        <w:tc>
          <w:tcPr>
            <w:tcW w:w="1560" w:type="dxa"/>
            <w:vAlign w:val="center"/>
          </w:tcPr>
          <w:p>
            <w:pPr>
              <w:jc w:val="right"/>
            </w:pPr>
            <w:r>
              <w:rPr>
                <w:rFonts w:ascii="宋体" w:hAnsi="宋体" w:eastAsia="宋体" w:cs="宋体"/>
                <w:b/>
                <w:i w:val="0"/>
                <w:color w:val="000000"/>
                <w:sz w:val="20"/>
              </w:rPr>
              <w:t>0.00</w:t>
            </w:r>
          </w:p>
        </w:tc>
        <w:tc>
          <w:tcPr>
            <w:tcW w:w="1560" w:type="dxa"/>
            <w:vAlign w:val="center"/>
          </w:tcPr>
          <w:p>
            <w:pPr>
              <w:jc w:val="right"/>
            </w:pPr>
            <w:r>
              <w:rPr>
                <w:rFonts w:ascii="宋体" w:hAnsi="宋体" w:eastAsia="宋体" w:cs="宋体"/>
                <w:b/>
                <w:i w:val="0"/>
                <w:color w:val="000000"/>
                <w:sz w:val="20"/>
              </w:rPr>
              <w:t>100.98</w:t>
            </w:r>
          </w:p>
        </w:tc>
        <w:tc>
          <w:tcPr>
            <w:tcW w:w="1598" w:type="dxa"/>
            <w:vAlign w:val="center"/>
          </w:tcPr>
          <w:p>
            <w:pPr>
              <w:jc w:val="right"/>
            </w:pPr>
            <w:r>
              <w:rPr>
                <w:rFonts w:ascii="宋体" w:hAnsi="宋体" w:eastAsia="宋体" w:cs="宋体"/>
                <w:b/>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pPr>
            <w:r>
              <w:rPr>
                <w:rFonts w:ascii="宋体" w:hAnsi="宋体" w:eastAsia="宋体" w:cs="宋体"/>
                <w:b w:val="0"/>
                <w:i w:val="0"/>
                <w:color w:val="000000"/>
                <w:sz w:val="20"/>
              </w:rPr>
              <w:t>229</w:t>
            </w:r>
          </w:p>
        </w:tc>
        <w:tc>
          <w:tcPr>
            <w:tcW w:w="3660" w:type="dxa"/>
            <w:vAlign w:val="center"/>
          </w:tcPr>
          <w:p>
            <w:pPr>
              <w:jc w:val="left"/>
            </w:pPr>
            <w:r>
              <w:rPr>
                <w:rFonts w:ascii="宋体" w:hAnsi="宋体" w:eastAsia="宋体" w:cs="宋体"/>
                <w:b w:val="0"/>
                <w:i w:val="0"/>
                <w:color w:val="000000"/>
                <w:sz w:val="20"/>
              </w:rPr>
              <w:t>其他支出</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100.98</w:t>
            </w:r>
          </w:p>
        </w:tc>
        <w:tc>
          <w:tcPr>
            <w:tcW w:w="1560" w:type="dxa"/>
            <w:vAlign w:val="center"/>
          </w:tcPr>
          <w:p>
            <w:pPr>
              <w:jc w:val="right"/>
            </w:pPr>
            <w:r>
              <w:rPr>
                <w:rFonts w:ascii="宋体" w:hAnsi="宋体" w:eastAsia="宋体" w:cs="宋体"/>
                <w:b w:val="0"/>
                <w:i w:val="0"/>
                <w:color w:val="000000"/>
                <w:sz w:val="20"/>
              </w:rPr>
              <w:t>100.98</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100.98</w:t>
            </w:r>
          </w:p>
        </w:tc>
        <w:tc>
          <w:tcPr>
            <w:tcW w:w="1598"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pPr>
            <w:r>
              <w:rPr>
                <w:rFonts w:ascii="宋体" w:hAnsi="宋体" w:eastAsia="宋体" w:cs="宋体"/>
                <w:b w:val="0"/>
                <w:i w:val="0"/>
                <w:color w:val="000000"/>
                <w:sz w:val="20"/>
              </w:rPr>
              <w:t>22960</w:t>
            </w:r>
          </w:p>
        </w:tc>
        <w:tc>
          <w:tcPr>
            <w:tcW w:w="3660" w:type="dxa"/>
            <w:vAlign w:val="center"/>
          </w:tcPr>
          <w:p>
            <w:pPr>
              <w:jc w:val="left"/>
            </w:pPr>
            <w:r>
              <w:rPr>
                <w:rFonts w:ascii="宋体" w:hAnsi="宋体" w:eastAsia="宋体" w:cs="宋体"/>
                <w:b w:val="0"/>
                <w:i w:val="0"/>
                <w:color w:val="000000"/>
                <w:sz w:val="20"/>
              </w:rPr>
              <w:t>彩票公益金安排的支出</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100.98</w:t>
            </w:r>
          </w:p>
        </w:tc>
        <w:tc>
          <w:tcPr>
            <w:tcW w:w="1560" w:type="dxa"/>
            <w:vAlign w:val="center"/>
          </w:tcPr>
          <w:p>
            <w:pPr>
              <w:jc w:val="right"/>
            </w:pPr>
            <w:r>
              <w:rPr>
                <w:rFonts w:ascii="宋体" w:hAnsi="宋体" w:eastAsia="宋体" w:cs="宋体"/>
                <w:b w:val="0"/>
                <w:i w:val="0"/>
                <w:color w:val="000000"/>
                <w:sz w:val="20"/>
              </w:rPr>
              <w:t>100.98</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100.98</w:t>
            </w:r>
          </w:p>
        </w:tc>
        <w:tc>
          <w:tcPr>
            <w:tcW w:w="1598"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pPr>
            <w:r>
              <w:rPr>
                <w:rFonts w:ascii="宋体" w:hAnsi="宋体" w:eastAsia="宋体" w:cs="宋体"/>
                <w:b w:val="0"/>
                <w:i w:val="0"/>
                <w:color w:val="000000"/>
                <w:sz w:val="20"/>
              </w:rPr>
              <w:t>2296002</w:t>
            </w:r>
          </w:p>
        </w:tc>
        <w:tc>
          <w:tcPr>
            <w:tcW w:w="3660" w:type="dxa"/>
            <w:vAlign w:val="center"/>
          </w:tcPr>
          <w:p>
            <w:pPr>
              <w:jc w:val="left"/>
            </w:pPr>
            <w:r>
              <w:rPr>
                <w:rFonts w:ascii="宋体" w:hAnsi="宋体" w:eastAsia="宋体" w:cs="宋体"/>
                <w:b w:val="0"/>
                <w:i w:val="0"/>
                <w:color w:val="000000"/>
                <w:sz w:val="20"/>
              </w:rPr>
              <w:t>用于社会福利的彩票公益金支出</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100.98</w:t>
            </w:r>
          </w:p>
        </w:tc>
        <w:tc>
          <w:tcPr>
            <w:tcW w:w="1560" w:type="dxa"/>
            <w:vAlign w:val="center"/>
          </w:tcPr>
          <w:p>
            <w:pPr>
              <w:jc w:val="right"/>
            </w:pPr>
            <w:r>
              <w:rPr>
                <w:rFonts w:ascii="宋体" w:hAnsi="宋体" w:eastAsia="宋体" w:cs="宋体"/>
                <w:b w:val="0"/>
                <w:i w:val="0"/>
                <w:color w:val="000000"/>
                <w:sz w:val="20"/>
              </w:rPr>
              <w:t>100.98</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100.98</w:t>
            </w:r>
          </w:p>
        </w:tc>
        <w:tc>
          <w:tcPr>
            <w:tcW w:w="1598" w:type="dxa"/>
            <w:vAlign w:val="center"/>
          </w:tcPr>
          <w:p>
            <w:pPr>
              <w:jc w:val="right"/>
            </w:pPr>
            <w:r>
              <w:rPr>
                <w:rFonts w:ascii="宋体" w:hAnsi="宋体" w:eastAsia="宋体" w:cs="宋体"/>
                <w:b w:val="0"/>
                <w:i w:val="0"/>
                <w:color w:val="000000"/>
                <w:sz w:val="20"/>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单位：许昌市民政局（本级）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单位：许昌市民政局（本级）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5.00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4.00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2.17</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1.22</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1.22</w:t>
            </w:r>
          </w:p>
        </w:tc>
        <w:tc>
          <w:tcPr>
            <w:tcW w:w="1198" w:type="dxa"/>
            <w:vAlign w:val="center"/>
          </w:tcPr>
          <w:p>
            <w:pPr>
              <w:jc w:val="right"/>
            </w:pPr>
            <w:r>
              <w:rPr>
                <w:rFonts w:ascii="宋体" w:hAnsi="宋体" w:eastAsia="宋体" w:cs="宋体"/>
                <w:b w:val="0"/>
                <w:i w:val="0"/>
                <w:color w:val="000000"/>
                <w:sz w:val="17"/>
              </w:rPr>
              <w:t>0.94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2023年度收、支总计均为1500.40万元。与上年度相比，收、支总计各减少1315.65万元，下降46.72%。主要原因是项目经费减少。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1437.73万元，其中：财政拨款收入1437.73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2023年度支出合计1500.40万元，其中：基本支出1130.44万元，占75.34%；项目支出369.96万元，占24.66%；上缴上级支出0.00万元，占0.00%；经营支出0.00万元，占0.00%；对附属单位补助支出0.00万元，占0.00%。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2023年度财政拨款收、支总计均为1500.40万元。与上年度相比，财政拨款收、支总计各减少1315.65万元，下降46.72%。主要原因是项目经费减少。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2023年度一般公共预算财政拨款支出1399.42万元，占支出合计的93.27%。与上年度相比，一般公共预算财政拨款支出减少1168.35万元，下降45.50%。主要原因是项目经费减少。</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1399.42万元，主要用于以下方面：一般公共服务支出（类）42.75万元，占3.05%；社会保障和就业支出（类）1264.20万元，占90.34%；卫生健康支出（类）48.85万元，占3.49%；农林水支出（类）3.40万元，占0.24%；住房保障支出（类）40.21万元，占2.88%。</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2023年度一般公共预算财政拨款支出年初预算为1399.42万元，支出决算为1399.42万元，完成年初预算的100.00%。其中：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年初预算数为3.60万元，决算数3.60万元,完成年初预算的100.00%，决算数与年初预算数不存在差异。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年初预算数为7.80万元，决算数39.15万元,完成年初预算的501.92%，决算数与年初预算数存在差异的主要原因是年中追加预算。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3.社会保障和就业支出（类）民政管理事务（款）行政运行（项）</w:t>
      </w:r>
      <w:r>
        <w:rPr>
          <w:rFonts w:hint="default" w:ascii="仿宋" w:hAnsi="仿宋" w:eastAsia="仿宋" w:cs="仿宋"/>
          <w:kern w:val="2"/>
          <w:sz w:val="32"/>
          <w:szCs w:val="32"/>
          <w:lang w:val="en-US" w:eastAsia="zh-CN"/>
        </w:rPr>
        <w:t>年初预算数为645.71万元，决算数728.25万元,完成年初预算的112.78%，决算数与年初预算数存在差异的主要原因是年中追加预算。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4.社会保障和就业支出（类）民政管理事务（款）一般行政管理事务（项）</w:t>
      </w:r>
      <w:r>
        <w:rPr>
          <w:rFonts w:hint="default" w:ascii="仿宋" w:hAnsi="仿宋" w:eastAsia="仿宋" w:cs="仿宋"/>
          <w:kern w:val="2"/>
          <w:sz w:val="32"/>
          <w:szCs w:val="32"/>
          <w:lang w:val="en-US" w:eastAsia="zh-CN"/>
        </w:rPr>
        <w:t>年初预算数为0.00万元，决算数261.30万元,决算数与年初预算数存在差异的主要原因是年中追加预算。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5.社会保障和就业支出（类）行政事业单位养老支出（款）行政单位离退休（项）</w:t>
      </w:r>
      <w:r>
        <w:rPr>
          <w:rFonts w:hint="default" w:ascii="仿宋" w:hAnsi="仿宋" w:eastAsia="仿宋" w:cs="仿宋"/>
          <w:kern w:val="2"/>
          <w:sz w:val="32"/>
          <w:szCs w:val="32"/>
          <w:lang w:val="en-US" w:eastAsia="zh-CN"/>
        </w:rPr>
        <w:t>年初预算数为191.47万元，决算数233.03万元,完成年初预算的121.71%，决算数与年初预算数存在差异的主要原因是退休人员增加，年中追加预算。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年初预算数为42.54万元，决算数41.63万元,完成年初预算的97.86%，决算数与年初预算数存在差异的主要原因是退休人员增加。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7.卫生健康支出（类）行政事业单位医疗（款）行政单位医疗（项）</w:t>
      </w:r>
      <w:r>
        <w:rPr>
          <w:rFonts w:hint="default" w:ascii="仿宋" w:hAnsi="仿宋" w:eastAsia="仿宋" w:cs="仿宋"/>
          <w:kern w:val="2"/>
          <w:sz w:val="32"/>
          <w:szCs w:val="32"/>
          <w:lang w:val="en-US" w:eastAsia="zh-CN"/>
        </w:rPr>
        <w:t>年初预算数为21.96万元，决算数25.40万元,完成年初预算的115.66%，决算数与年初预算数存在差异的主要原因是社保基数调整。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8.卫生健康支出（类）行政事业单位医疗（款）公务员医疗补助（项）</w:t>
      </w:r>
      <w:r>
        <w:rPr>
          <w:rFonts w:hint="default" w:ascii="仿宋" w:hAnsi="仿宋" w:eastAsia="仿宋" w:cs="仿宋"/>
          <w:kern w:val="2"/>
          <w:sz w:val="32"/>
          <w:szCs w:val="32"/>
          <w:lang w:val="en-US" w:eastAsia="zh-CN"/>
        </w:rPr>
        <w:t>年初预算数为24.40万元，决算数23.46万元,完成年初预算的96.15%，决算数与年初预算数存在差异的主要原因是退休人员增加。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9.农林水支出（类）巩固脱贫攻坚成果衔接乡村振兴（款）行政运行（项）</w:t>
      </w:r>
      <w:r>
        <w:rPr>
          <w:rFonts w:hint="default" w:ascii="仿宋" w:hAnsi="仿宋" w:eastAsia="仿宋" w:cs="仿宋"/>
          <w:kern w:val="2"/>
          <w:sz w:val="32"/>
          <w:szCs w:val="32"/>
          <w:lang w:val="en-US" w:eastAsia="zh-CN"/>
        </w:rPr>
        <w:t>年初预算数为0.00万元，决算数0.90万元,决算数与年初预算数存在差异的主要原因是年中追加预算。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年初预算数为0.00万元，决算数2.50万元,决算数与年初预算数存在差异的主要原因是年中追加预算。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11.住房保障支出（类）住房改革支出（款）住房公积金（项）</w:t>
      </w:r>
      <w:r>
        <w:rPr>
          <w:rFonts w:hint="default" w:ascii="仿宋" w:hAnsi="仿宋" w:eastAsia="仿宋" w:cs="仿宋"/>
          <w:kern w:val="2"/>
          <w:sz w:val="32"/>
          <w:szCs w:val="32"/>
          <w:lang w:val="en-US" w:eastAsia="zh-CN"/>
        </w:rPr>
        <w:t>年初预算数为41.82万元，决算数40.21万元,完成年初预算的96.15%，决算数与年初预算数存在差异的主要原因是退休人员增加。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1130.44万元。其中：人员经费1024.66万元，主要包括：基本工资、津贴补贴、奖金、机关事业单位基本养老保险缴费、职工基本医疗保险缴费、公务员医疗补助缴费、其他社会保障缴费、住房公积金、离休费、退休费、生活补助、奖励金、其他对个人和家庭的补助支出。公用经费105.78万元，主要包括：办公费、印刷费、邮电费、差旅费、维修（护）费、培训费、公务接待费、劳务费、委托业务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2023年度政府性基金预算财政拨款支出年初预算数为100.98万元，支出决算为100.98万元，完成年初预算的100.00%。主要用于福彩公益金专项支出 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2023年度“三公”经费财政拨款支出预算为5.00万元，支出决算为2.17万元，完成预算的43.40%。2023年度“三公”经费支出决算数与预算数存在差异的主要原因是公车出行任务和本年度接待任务较少。</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1.22万元,完成预算的30.50%，占56.22%；公务接待费支出决算0.94万元，完成预算的94.00%，占43.32%。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预算为4.00万元，支出决算为1.22万元，完成预算的30.50%。决算数与预算数存在差异的主要原因是我单位本年度公车出行任务减少。其中：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1.22万元。主要用于支付公务用车加油、保养、保险等费用。2023年期末，单位开支财政拨款的公务用车保有量为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预算为1.00万元，支出决算为0.94万元</w:t>
      </w:r>
      <w:r>
        <w:rPr>
          <w:rFonts w:hint="eastAsia" w:ascii="仿宋" w:hAnsi="仿宋" w:eastAsia="仿宋" w:cs="仿宋"/>
          <w:kern w:val="0"/>
          <w:sz w:val="32"/>
          <w:szCs w:val="32"/>
          <w:lang w:val="en-US" w:eastAsia="zh-CN"/>
        </w:rPr>
        <w:t>，完成预算的94.00%</w:t>
      </w:r>
      <w:r>
        <w:rPr>
          <w:rFonts w:hint="eastAsia" w:ascii="仿宋" w:hAnsi="仿宋" w:eastAsia="仿宋" w:cs="仿宋"/>
          <w:b w:val="0"/>
          <w:bCs w:val="0"/>
          <w:kern w:val="0"/>
          <w:sz w:val="32"/>
          <w:szCs w:val="32"/>
          <w:lang w:val="en-US" w:eastAsia="zh-CN"/>
        </w:rPr>
        <w:t>。决算数与预算数存在差异的主要原因是我单位本年度接待任务少。其中：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0.94</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主要用于接待人员用餐。</w:t>
      </w:r>
      <w:r>
        <w:rPr>
          <w:rFonts w:hint="eastAsia" w:ascii="仿宋" w:hAnsi="仿宋" w:eastAsia="仿宋" w:cs="仿宋"/>
          <w:kern w:val="0"/>
          <w:sz w:val="32"/>
          <w:szCs w:val="32"/>
          <w:lang w:val="en-US" w:eastAsia="zh-CN"/>
        </w:rPr>
        <w:t>2023年共接待国内来访团组9个、来宾71人次（不包括陪同人员）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2023年度机关运行经费支出105.78万元，较2022年度增长20.52万元，增长24.07%，主要原因是根据实际业务需求增加。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1500.40万元。自评得分为96.08分，等级为“优”。从单位整体自评情况来看，已完成预期目标：保障困难群众、残疾人、高龄老人、受艾滋病影响人员基本生活水平；提高困难群众、残疾人、高龄老人、受艾滋病影响人员生活幸福感和满足感；增强社会稳定性，完成既定目标和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基于项目预期目标的实现程度，我单位对2023年度单位预算项目支出（含单位参与分配的转移支付项目）开展绩效自评，涉及项目28个，项目金额3730.95万元。其中：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许昌市智慧养老机构和智慧养老社区建设项目尾款，自评得分100，等级为“优”，该项目在市区范围内分别选择群众认可度强、活跃度高的10家养老机构和10个社区配置智慧养老设备，提升老年人的参与感和幸福感，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残疾人“两项补贴”市级补助资金剩余部分-重度残疾人护理补贴（上级配套支出）,自评得分97.62，等级为“优”，该项目督促各地不断完善机制，按时发放残疾人两项补贴资金，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2023年省级困难群众救助补助资金-新1，自评得分97.22，等级为“优”，该项目规范城乡低保政策实施，合理确定保障标准，使低保对象基本生活得到有效保障，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（4）下达2023年残疾人“两项补贴”补助资金，自评得分99.71，等级为“优”，该项目督促各地不断完善机制，按时发放残疾人两项补贴资金，项目资金已按照规定用途使用，已达到预期目标。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（5）高龄津贴市级配套资金（上级配套支出），自评得分97.81，等级为“优”该项目引导各区稳步提升高龄老人生活水平，项目资金已按照规定用途使用，已达到预期目标。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提前下达2023年中央集中彩票公益金支持社会福利事业发展专项资金（上级提前下达），自评得分94.64，等级为“优”，该项目开展“孤儿助学工程”资助考上普通全日制本科、专科学校的孤儿完成学业，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（7）下达2023年受艾滋病影响人员生活定量补助资金，自评得分97.19，等级为“优”，该项目按时足额发放受艾滋病影响人员基本生活定量补助，项目资金已按照规定用途使用，已达到预期目标。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提前下达2023年残疾人“两项补贴”市级补助资金-困难残疾人生活补贴（上级配套支出），自评得分99，等级为“优”，该项目督促各地不断完善机制，按时发放残疾人两项补贴资金，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提前下达2023年受艾滋病影响人员生活定量补助市级资金（上级配套支出），自评得分99.88，等级为“优”，该项目按时足额发放受艾滋病影响人员基本生活定量补助，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慈善总会财政补助资金（基本运转支出），自评得分99.74，等级为“优”，该项目保障总会工作人员的待遇，根据工作年限、学历、技术职称制定实施工作人员待遇增长机制，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2023年省级困难群众救助补助资金-新，自评得分100，等级为“优”，该项目提高孤儿基本生活保障水平，孤儿生活保障政策规范高效实施，使孤儿和艾滋病病毒感染儿童生活基本得到保障，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残疾人“两项补贴”市级补助资金剩余部分-困难残疾人生活补贴（上级配套支出），自评得分98.13，等级为“优”，该项目督促各地不断完善机制，按时发放残疾人两项补贴资金，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支持社会组织参与社会公益服务项目补助（结转上级资金），自评得分98.75，等级为“优”，该项目通过政府购买服务方式，支持社会组织参与农村留守儿童关爱服务，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（14）民政值班应急智慧系统（结转本级资金），自评得分100，等级为“优”，该项目民政值班应急指挥视频会议系统1套，项目资金已按照规定用途使用，已达到预期目标。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（15）春节期间慰问困难群众资金（基本运转支出），自评得分98.75，等级为“优”，该项目冬春慰问困难群众，项目资金已按照规定用途使用，已达到预期目标。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16）拨付2023年1-3月份免除的市区城乡居民基本殡葬服务费（区级专项上解资金），自评得分96.24，等级为“优”，该项目免除基本殡葬服务费，提高全市火化率，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17）追加慈善总会工作经费（结转本级资金），自评得分98.49，等级为“优”，该项目保障总会工作人员的待遇，根据工作年限、学历、技术职称制定实施工作人员待遇增长机制，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（18）下达2023年80岁以上老人高龄津贴补助资金，自评得分99.74，等级为“优”，该项目引导各区稳步提升高龄老人生活水平，项目资金已按照规定用途使用，已达到预期目标。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19）提前下达2023年残疾人“两项补贴”市级补助资金-重度残疾人护理补贴（上级配套支出），自评得分98.97，等级为“优”，该项目督促各地不断完善机制，按时发放残疾人两项补贴资金，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（20）2022年10-12月份基本殡葬免除费（区级上解），自评得分96.25，等级为“优”，该项目免除基本殡葬服务费，提高全市火化率，项目资金已按照规定用途使用，已达到预期目标。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（21）2023年市城区城市低保家庭冬季供暖补贴（市级奖补支出），自评得分98.33，等级为“优”，该项目为城区城市低保对象发放取暖补贴，项目资金已按照规定用途使用，已达到预期目标。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（22）惠民殡葬服务费（市级奖补支出），自评得分90.14，等级为“优”，该项目免除基本殡葬服务费，提高全市火化率，项目资金已按照规定用途使用，已达到预期目标。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（23）拨付2023年1-3月份免除的市区城乡居民基本殡葬服务费（上级配套支出），自评得分99，等级为“优”，该项目免除基本殡葬服务费，提高全市火化率，项目资金已按照规定用途使用，已达到预期目标。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24）2023年受艾滋病影响人员生活定量补助市级资金剩余部分（上级配套支出），自评得分98.75，等级为“优”，该项目按时足额发放受艾滋病影响人员基本生活定量补助，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25）提前下达2023年困难群众救助补助资金（上级提前下达），自评得分97.28，等级为“优”，该项目规范城乡低保政策实施，合理确定保障标准，使低保对象基本生活得到有效保障，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26）2022年中央集中彩票公益金支持社会福利事业专项资金-防疫物资采购项目（结转上级资金），自评得分96.25，等级为“优”，该项目养老服务设施改造、设备购置，配备疫情防控、消防安全物资设施设备，提升养老服务设施服务能力，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27）关于调整提前下达2023年中央集中彩票公益金支持社会福利事业专项资金-老年人福利类项目资金，自评得分98.91，等级为“优”，该项目通过政府购买服务、委托运营等方式选择专业机构运营社区养老服务设施，提供助餐、助洁、健康管理、文化娱乐等服务，推进运营服务提质，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（28）高龄津贴市级配套资金（上级配套支出），自评得分98.46，等级为“优”该项目引导各区稳步提升高龄老人生活水平，项目资金已按照规定用途使用，已达到预期目标。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从项目绩效自评情况来看，项目资金自评情况为优秀，预期绩效目标已按照要求和规定完成，下一步我单位将继续保持对项目资金的合理安排，进一步完善项目绩效成果。</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
        <w:gridCol w:w="845"/>
        <w:gridCol w:w="228"/>
        <w:gridCol w:w="228"/>
        <w:gridCol w:w="1291"/>
        <w:gridCol w:w="867"/>
        <w:gridCol w:w="841"/>
        <w:gridCol w:w="548"/>
        <w:gridCol w:w="683"/>
        <w:gridCol w:w="858"/>
        <w:gridCol w:w="1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eastAsia="宋体" w:cs="宋体"/>
                <w:b/>
                <w:bCs/>
                <w:i w:val="0"/>
                <w:iCs w:val="0"/>
                <w:color w:val="000000"/>
                <w:kern w:val="0"/>
                <w:sz w:val="38"/>
                <w:szCs w:val="38"/>
                <w:u w:val="none"/>
                <w:lang w:val="en-US" w:eastAsia="zh-CN"/>
              </w:rPr>
              <w:t>单位</w:t>
            </w:r>
            <w:r>
              <w:rPr>
                <w:rFonts w:ascii="宋体" w:hAnsi="宋体" w:eastAsia="宋体" w:cs="宋体"/>
                <w:b/>
                <w:bCs/>
                <w:i w:val="0"/>
                <w:iCs w:val="0"/>
                <w:color w:val="000000"/>
                <w:kern w:val="0"/>
                <w:sz w:val="38"/>
                <w:szCs w:val="38"/>
                <w:u w:val="none"/>
                <w:lang w:val="en-US" w:eastAsia="zh-CN"/>
              </w:rPr>
              <w:t>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both"/>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r>
              <w:rPr>
                <w:rFonts w:ascii="宋体" w:hAnsi="宋体" w:eastAsia="宋体" w:cs="宋体"/>
                <w:i w:val="0"/>
                <w:iCs w:val="0"/>
                <w:color w:val="000000"/>
                <w:kern w:val="0"/>
                <w:sz w:val="18"/>
                <w:szCs w:val="18"/>
                <w:u w:val="none"/>
                <w:lang w:val="en-US" w:eastAsia="zh-CN"/>
              </w:rPr>
              <w:t>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r>
              <w:rPr>
                <w:rFonts w:ascii="宋体" w:hAnsi="宋体" w:eastAsia="宋体" w:cs="宋体"/>
                <w:i w:val="0"/>
                <w:iCs w:val="0"/>
                <w:color w:val="000000"/>
                <w:kern w:val="0"/>
                <w:sz w:val="18"/>
                <w:szCs w:val="18"/>
                <w:u w:val="none"/>
                <w:lang w:val="en-US" w:eastAsia="zh-CN"/>
              </w:rPr>
              <w:t>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1405.29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目标1：完善社会救助，进一步提高社会救助水平以及效率，统筹社会城乡居民最低生活保障、提高农村低保水平和标准，持续开展党风廉政建设。</w:t>
            </w:r>
            <w:r>
              <w:br w:type="textWrapping"/>
            </w:r>
            <w:r>
              <w:rPr>
                <w:rFonts w:ascii="宋体" w:hAnsi="宋体" w:eastAsia="宋体" w:cs="宋体"/>
                <w:i w:val="0"/>
                <w:iCs w:val="0"/>
                <w:color w:val="000000"/>
                <w:kern w:val="0"/>
                <w:sz w:val="18"/>
                <w:szCs w:val="18"/>
                <w:u w:val="none"/>
                <w:lang w:val="en-US" w:eastAsia="zh-CN"/>
              </w:rPr>
              <w:t>目标2：加强社会福利和促进慈善业发展，高龄人员和孤儿生活、医疗健康、入学等补贴按相应标准落实，统筹推进残疾人福利制度建设和康复辅助器具产业发展，严格落实安全生产工作责任及疫情防控相关制度和措施。</w:t>
            </w:r>
            <w:r>
              <w:br w:type="textWrapping"/>
            </w:r>
            <w:r>
              <w:rPr>
                <w:rFonts w:ascii="宋体" w:hAnsi="宋体" w:eastAsia="宋体" w:cs="宋体"/>
                <w:i w:val="0"/>
                <w:iCs w:val="0"/>
                <w:color w:val="000000"/>
                <w:kern w:val="0"/>
                <w:sz w:val="18"/>
                <w:szCs w:val="18"/>
                <w:u w:val="none"/>
                <w:lang w:val="en-US" w:eastAsia="zh-CN"/>
              </w:rPr>
              <w:t>目标3：推进社会事务专项管理。深化社会组织管理制度改革，推进殡葬改革及相关宣传活动；加强区域地名和界线管理；加强流浪乞讨人员救助管理；进一步规范婚姻、收养登记工作。</w:t>
            </w:r>
            <w:r>
              <w:br w:type="textWrapping"/>
            </w:r>
            <w:r>
              <w:rPr>
                <w:rFonts w:ascii="宋体" w:hAnsi="宋体" w:eastAsia="宋体" w:cs="宋体"/>
                <w:i w:val="0"/>
                <w:iCs w:val="0"/>
                <w:color w:val="000000"/>
                <w:kern w:val="0"/>
                <w:sz w:val="18"/>
                <w:szCs w:val="18"/>
                <w:u w:val="none"/>
                <w:lang w:val="en-US" w:eastAsia="zh-CN"/>
              </w:rPr>
              <w:t>目标4：监督管理养老服务工作，拟订全市养老服务体系建设规划、标准并组织实施，承担老年人福利和特殊困难老年人救助工作。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相关规定完善社会救助，进一步提高社会救助水平以及效率，统筹社会城乡居民最低生活保障、提高农村低保水平和标准，持续开展党风廉政建设；加强社会福利和促进慈善业发展，高龄人员和孤儿生活、医疗健康、入学等补贴按相应标准落实，统筹推进残疾人福利制度建设和康复辅助器具产业发展，严格落实安全生产工作责任及疫情防控相关制度和措施；推进社会事务专项管理。深化社会组织管理制度改革，推进殡葬改革及相关宣传活动；加强区域地名和界线管理；加强流浪乞讨人员救助管理；进一步规范婚姻、收养登记工作；监督管理养老服务工作，拟订全市养老服务体系建设规划、标准并组织实施，承担老年人福利和特殊困难老年人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养老服务工作全面推进</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加强养老服务体系建设，深化敬老院公建民营，抓好机构疫情防控和安全生产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养老服务体系建设已逐步完善，深化敬老院公建民营，机构疫情防控和安全生产进一步保障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儿童福利保障措施稳步实施</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落实孤儿基本生活保障制度，强化未成年人保护工作组织领导和政策宣传</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孤儿基本生活保障制度不断完善，未成年人保护工作组织领导和政策宣传有所提升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殡葬改革工作实现新突破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稳定提高火化率，加快推进公益性公墓建设</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火花率稳步提升，公益性公墓已完成建设并投入使用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基层社会治理水平进一步提升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加强养老服务体系建设，持续开展社区规范化建设工作，加强社区治理创新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加强养老服务体系建设，持续开展社区规范化建设工作，社区治理创新进一步加强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完善养老服务综合监管制度和养老服务设施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不断完善养老服务综合监管制度和养老服务设施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完善地名信息数据库、不规范地名清理整治和平安边界建设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不断完善地名信息数据库、不规范地名清理整治和平安边界建设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相关建设项目加快进度和投入使用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相关建设项目进一步加快进度和投入使用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推进殡葬、婚俗改革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殡葬、婚俗改革进一步提高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提高事实无人养儿童、未成年人、农村留守儿童和困境儿童的关心和爱护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事实无人养儿童、未成年人、农村留守儿童和困境儿童的关心和爱护进一步提升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提高对残疾、老龄、孤儿、流浪乞讨人员、低收入家庭等弱势群体的关心和救助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对残疾、老龄、孤儿、流浪乞讨人员、低收入家庭等弱势群体的关心和救助进一步提升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完善婚姻登记、殡葬、行政区域界位等工作的指导和综合管理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婚姻登记、殡葬、行政区域界位等工作的指导和综合管理进一步完善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民政工作运转效率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民政工作运转效率进一步提升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提高民政救助对象经济收入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民政救助对象经济收入不断提升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底层弱势群体生活有所进步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底层弱势群体生活不断进步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增加社会稳定性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社会稳定性不断加强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群众满意度逐步提高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上级部门满意度不断提高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1440" w:right="1800" w:bottom="1440" w:left="1800" w:header="851" w:footer="992" w:gutter="0"/>
          <w:cols w:space="425" w:num="1"/>
          <w:docGrid w:type="lines" w:linePitch="312" w:charSpace="0"/>
        </w:sectPr>
      </w:pPr>
    </w:p>
    <w:tbl>
      <w:tblPr>
        <w:tblStyle w:val="11"/>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9"/>
        <w:gridCol w:w="435"/>
        <w:gridCol w:w="608"/>
        <w:gridCol w:w="390"/>
        <w:gridCol w:w="590"/>
        <w:gridCol w:w="1266"/>
        <w:gridCol w:w="500"/>
        <w:gridCol w:w="583"/>
        <w:gridCol w:w="634"/>
        <w:gridCol w:w="730"/>
        <w:gridCol w:w="504"/>
        <w:gridCol w:w="824"/>
        <w:gridCol w:w="504"/>
        <w:gridCol w:w="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许昌市智慧养老机构和智慧养老社区建设项目尾款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8.27</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目标：《许昌市智慧养老机构和智慧养老社区建设》，在市区范围内分别选择群众认可度强、活跃度高的10家养老机构和10个社区配置智慧养老设备，提升老年人的参与感和幸福感</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已按照要求和进度在市区范围内分别选择群众认可度强、活跃度高的10家养老机构和10个社区配置智慧养老设备，提升老年人的参与感和幸福感。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项目（合同）总金额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165.389万元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165.39万元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待支付尾款（质保金）比例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待支付尾款（质保金）金额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8.26945万元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质保设备（设施）数量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570台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570台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质保期内设备（设施）故障发生率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故障响应时间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≤1小时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故障修复平均时效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≤12小时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质保期限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365天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365天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质保金支付时间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设备正常运行率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涉及群众满意度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2023年省级困难群众救助补助资金-新1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1.规范城乡低保政策实施，合理确定保障标准，使低保对象基本生活得到有效保障。                                        </w:t>
            </w:r>
            <w:r>
              <w:br w:type="textWrapping"/>
            </w:r>
            <w:r>
              <w:rPr>
                <w:rFonts w:ascii="宋体" w:hAnsi="宋体" w:eastAsia="宋体" w:cs="宋体"/>
                <w:i w:val="0"/>
                <w:iCs w:val="0"/>
                <w:color w:val="000000"/>
                <w:kern w:val="0"/>
                <w:sz w:val="18"/>
                <w:szCs w:val="18"/>
                <w:u w:val="none"/>
                <w:lang w:val="en-US" w:eastAsia="zh-CN"/>
              </w:rPr>
              <w:t>2.统筹城乡特困人员救助供养工作，合理确定保障标准。</w:t>
            </w:r>
            <w:r>
              <w:br w:type="textWrapping"/>
            </w:r>
            <w:r>
              <w:rPr>
                <w:rFonts w:ascii="宋体" w:hAnsi="宋体" w:eastAsia="宋体" w:cs="宋体"/>
                <w:i w:val="0"/>
                <w:iCs w:val="0"/>
                <w:color w:val="000000"/>
                <w:kern w:val="0"/>
                <w:sz w:val="18"/>
                <w:szCs w:val="18"/>
                <w:u w:val="none"/>
                <w:lang w:val="en-US" w:eastAsia="zh-CN"/>
              </w:rPr>
              <w:t>3.规范实施临时救助政策，实现及时高效，救急解难。</w:t>
            </w:r>
            <w:r>
              <w:br w:type="textWrapping"/>
            </w:r>
            <w:r>
              <w:rPr>
                <w:rFonts w:ascii="宋体" w:hAnsi="宋体" w:eastAsia="宋体" w:cs="宋体"/>
                <w:i w:val="0"/>
                <w:iCs w:val="0"/>
                <w:color w:val="000000"/>
                <w:kern w:val="0"/>
                <w:sz w:val="18"/>
                <w:szCs w:val="18"/>
                <w:u w:val="none"/>
                <w:lang w:val="en-US" w:eastAsia="zh-CN"/>
              </w:rPr>
              <w:t>4.对流浪未成年人提供特殊优先保护及教育矫治等专业服务，确保其健康成长。</w:t>
            </w:r>
            <w:r>
              <w:br w:type="textWrapping"/>
            </w:r>
            <w:r>
              <w:rPr>
                <w:rFonts w:ascii="宋体" w:hAnsi="宋体" w:eastAsia="宋体" w:cs="宋体"/>
                <w:i w:val="0"/>
                <w:iCs w:val="0"/>
                <w:color w:val="000000"/>
                <w:kern w:val="0"/>
                <w:sz w:val="18"/>
                <w:szCs w:val="18"/>
                <w:u w:val="none"/>
                <w:lang w:val="en-US" w:eastAsia="zh-CN"/>
              </w:rPr>
              <w:t>5.对存在流浪风险的未成年人开展摸底排查、家庭监护评估、监护监督等工作，为其提供临时照料、医疗救治、心理疏导、行为矫治、社会融入、家庭关系协调、法律援助等专业服务，从源头上预防未成年人外出流浪。</w:t>
            </w:r>
            <w:r>
              <w:br w:type="textWrapping"/>
            </w:r>
            <w:r>
              <w:rPr>
                <w:rFonts w:ascii="宋体" w:hAnsi="宋体" w:eastAsia="宋体" w:cs="宋体"/>
                <w:i w:val="0"/>
                <w:iCs w:val="0"/>
                <w:color w:val="000000"/>
                <w:kern w:val="0"/>
                <w:sz w:val="18"/>
                <w:szCs w:val="18"/>
                <w:u w:val="none"/>
                <w:lang w:val="en-US" w:eastAsia="zh-CN"/>
              </w:rPr>
              <w:t>6.引导市县提高孤儿基本生活保障水平，孤儿生活保障政策规范高效实施，使孤儿和艾滋病病毒感染儿童生活基本得到保障。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规范城乡低保政策实施，合理确定保障标准，使低保对象基本生活得到有效保障；统筹城乡特困人员救助供养工作，合理确定保障标准；规范实施临时救助政策，实现及时高效，救急解难；对流浪未成年人提供特殊优先保护及教育矫治等专业服务，确保其健康成长；对存在流浪风险的未成年人开展摸底排查、家庭监护评估、监护监督等工作，为其提供临时照料、医疗救治、心理疏导、行为矫治、社会融入、家庭关系协调、法律援助等专业服务，从源头上预防未成年人外出流浪；引导市县提高孤儿基本生活保障水平，孤儿生活保障政策规范高效实施，使孤儿和艾滋病病毒感染儿童生活基本得到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院内孤儿数量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困难群众基本生活救助和孤儿基本生活费按时发放率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孤儿基本生活保障水平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有所保障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孤儿基本生活保障保障水平不断提升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救助孤儿对社会救助实施的满意度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救助孤儿对社会救助实施的满意度不断提升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2023年市城区城市低保家庭冬季供暖补贴（市级奖补支出）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目标1：为城区城市低保对象发放取暖补贴</w:t>
            </w:r>
            <w:r>
              <w:br w:type="textWrapping"/>
            </w:r>
            <w:r>
              <w:rPr>
                <w:rFonts w:ascii="宋体" w:hAnsi="宋体" w:eastAsia="宋体" w:cs="宋体"/>
                <w:i w:val="0"/>
                <w:iCs w:val="0"/>
                <w:color w:val="000000"/>
                <w:kern w:val="0"/>
                <w:sz w:val="18"/>
                <w:szCs w:val="18"/>
                <w:u w:val="none"/>
                <w:lang w:val="en-US" w:eastAsia="zh-CN"/>
              </w:rPr>
              <w:t xml:space="preserve"> 目标2：保障城区城市低保对象温暖过冬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已完成为城区城市低保对象发放取暖补贴；保障城区城市低保对象温暖过冬。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取暖补贴标准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≤160元/户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160元/户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指标1：低保家庭数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≥6000户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5750户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根据实际户数支出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指标1：发放时间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每年12月底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指标1：低保家庭生活情况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有所提升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救助对象对社会救助实施的满意度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救助对象对社会救助实施满意度不断提升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惠民殡葬服务费（市级奖补支出）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758.82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108.26</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758.82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108.26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目标1：免除基本殡葬服务费，提高全市火化率。</w:t>
            </w:r>
            <w:r>
              <w:br w:type="textWrapping"/>
            </w:r>
            <w:r>
              <w:rPr>
                <w:rFonts w:ascii="宋体" w:hAnsi="宋体" w:eastAsia="宋体" w:cs="宋体"/>
                <w:i w:val="0"/>
                <w:iCs w:val="0"/>
                <w:color w:val="000000"/>
                <w:kern w:val="0"/>
                <w:sz w:val="18"/>
                <w:szCs w:val="18"/>
                <w:u w:val="none"/>
                <w:lang w:val="en-US" w:eastAsia="zh-CN"/>
              </w:rPr>
              <w:t>目标2：不断完善机制，确保殡故人员享受应享受的优惠。</w:t>
            </w:r>
            <w:r>
              <w:br w:type="textWrapping"/>
            </w:r>
            <w:r>
              <w:rPr>
                <w:rFonts w:ascii="宋体" w:hAnsi="宋体" w:eastAsia="宋体" w:cs="宋体"/>
                <w:i w:val="0"/>
                <w:iCs w:val="0"/>
                <w:color w:val="000000"/>
                <w:kern w:val="0"/>
                <w:sz w:val="18"/>
                <w:szCs w:val="18"/>
                <w:u w:val="none"/>
                <w:lang w:val="en-US" w:eastAsia="zh-CN"/>
              </w:rPr>
              <w:t>目标3：指导各地加大对政策的宣传，倡导文明殡葬。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已完成免除基本殡葬服务费，提高全市火化率；不断完善机制，确保殡故人员享受应享受的优惠；指导各地加大对政策的宣传，倡导文明殡葬。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基本殡葬免除服务费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≤1190元/具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660元/具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符合条件的纳入保障范围率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基本殡葬免费配套资金认定准确率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提高火化率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火化率不断提高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殡葬家属满意度不断提升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拨付2023年1-3月份免除的市区城乡居民基本殡葬服务费（上级配套支出）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92.2</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目标1：免除基本殡葬服务费，提高全市火化率。</w:t>
            </w:r>
            <w:r>
              <w:br w:type="textWrapping"/>
            </w:r>
            <w:r>
              <w:rPr>
                <w:rFonts w:ascii="宋体" w:hAnsi="宋体" w:eastAsia="宋体" w:cs="宋体"/>
                <w:i w:val="0"/>
                <w:iCs w:val="0"/>
                <w:color w:val="000000"/>
                <w:kern w:val="0"/>
                <w:sz w:val="18"/>
                <w:szCs w:val="18"/>
                <w:u w:val="none"/>
                <w:lang w:val="en-US" w:eastAsia="zh-CN"/>
              </w:rPr>
              <w:t>目标2：不断完善机制，确保殡故人员享受应享受的优惠。</w:t>
            </w:r>
            <w:r>
              <w:br w:type="textWrapping"/>
            </w:r>
            <w:r>
              <w:rPr>
                <w:rFonts w:ascii="宋体" w:hAnsi="宋体" w:eastAsia="宋体" w:cs="宋体"/>
                <w:i w:val="0"/>
                <w:iCs w:val="0"/>
                <w:color w:val="000000"/>
                <w:kern w:val="0"/>
                <w:sz w:val="18"/>
                <w:szCs w:val="18"/>
                <w:u w:val="none"/>
                <w:lang w:val="en-US" w:eastAsia="zh-CN"/>
              </w:rPr>
              <w:t>目标3：指导各地加大对政策的宣传，倡导文明殡葬。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已完成免除基本殡葬服务费，提高全市火化率；不断完善机制，确保殡故人员享受应享受的优惠；指导各地加大对政策的宣传，倡导文明殡葬。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92.2034万元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符合条件的人员纳入保障范围率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基本殡葬免费配套资金认定准确率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提高火化率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殡葬家属满意度不断提升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2023年受艾滋病影响人员生活定量补助市级资金剩余部分（上级配套支出）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目标1：按时足额发放受艾滋病影响人员基本生活定量补助</w:t>
            </w:r>
            <w:r>
              <w:br w:type="textWrapping"/>
            </w:r>
            <w:r>
              <w:rPr>
                <w:rFonts w:ascii="宋体" w:hAnsi="宋体" w:eastAsia="宋体" w:cs="宋体"/>
                <w:i w:val="0"/>
                <w:iCs w:val="0"/>
                <w:color w:val="000000"/>
                <w:kern w:val="0"/>
                <w:sz w:val="18"/>
                <w:szCs w:val="18"/>
                <w:u w:val="none"/>
                <w:lang w:val="en-US" w:eastAsia="zh-CN"/>
              </w:rPr>
              <w:t xml:space="preserve"> 目标2：保障特殊困难群体的基本生活</w:t>
            </w:r>
            <w:r>
              <w:br w:type="textWrapping"/>
            </w:r>
            <w:r>
              <w:rPr>
                <w:rFonts w:ascii="宋体" w:hAnsi="宋体" w:eastAsia="宋体" w:cs="宋体"/>
                <w:i w:val="0"/>
                <w:iCs w:val="0"/>
                <w:color w:val="000000"/>
                <w:kern w:val="0"/>
                <w:sz w:val="18"/>
                <w:szCs w:val="18"/>
                <w:u w:val="none"/>
                <w:lang w:val="en-US" w:eastAsia="zh-CN"/>
              </w:rPr>
              <w:t xml:space="preserve"> 目标3：提高困难群众的获得感</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已按时足额发放受艾滋病影响人员基本生活定量补助、保障特殊困难群体的基本生活、提高困难群众的获得感。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符合条件的受艾滋病影响人员补助数量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受艾滋病影响人员基本生活定量补助对象认定准确率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受艾滋病影响人员基本生活定量补助资金社会化发放率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受艾滋病影响人员生活水平情况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有所提升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受艾滋病影响人员生活水平不断提高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提前下达2023年困难群众救助补助资金（上级提前下达）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333.27</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89.35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333.27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89.35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1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1.规范城乡低保政策实施，合理确定保障标准，使低保对象基本生活得到有效保障。                                        </w:t>
            </w:r>
            <w:r>
              <w:br w:type="textWrapping"/>
            </w:r>
            <w:r>
              <w:rPr>
                <w:rFonts w:ascii="宋体" w:hAnsi="宋体" w:eastAsia="宋体" w:cs="宋体"/>
                <w:i w:val="0"/>
                <w:iCs w:val="0"/>
                <w:color w:val="000000"/>
                <w:kern w:val="0"/>
                <w:sz w:val="18"/>
                <w:szCs w:val="18"/>
                <w:u w:val="none"/>
                <w:lang w:val="en-US" w:eastAsia="zh-CN"/>
              </w:rPr>
              <w:t>2.统筹城乡特困人员救助供养工作，合理确定保障标准。</w:t>
            </w:r>
            <w:r>
              <w:br w:type="textWrapping"/>
            </w:r>
            <w:r>
              <w:rPr>
                <w:rFonts w:ascii="宋体" w:hAnsi="宋体" w:eastAsia="宋体" w:cs="宋体"/>
                <w:i w:val="0"/>
                <w:iCs w:val="0"/>
                <w:color w:val="000000"/>
                <w:kern w:val="0"/>
                <w:sz w:val="18"/>
                <w:szCs w:val="18"/>
                <w:u w:val="none"/>
                <w:lang w:val="en-US" w:eastAsia="zh-CN"/>
              </w:rPr>
              <w:t>3.规范实施临时救助政策，实现及时高效，救急解难。</w:t>
            </w:r>
            <w:r>
              <w:br w:type="textWrapping"/>
            </w:r>
            <w:r>
              <w:rPr>
                <w:rFonts w:ascii="宋体" w:hAnsi="宋体" w:eastAsia="宋体" w:cs="宋体"/>
                <w:i w:val="0"/>
                <w:iCs w:val="0"/>
                <w:color w:val="000000"/>
                <w:kern w:val="0"/>
                <w:sz w:val="18"/>
                <w:szCs w:val="18"/>
                <w:u w:val="none"/>
                <w:lang w:val="en-US" w:eastAsia="zh-CN"/>
              </w:rPr>
              <w:t>4.对流浪未成年人提供特殊优先保护及教育矫治等专业服务，确保其健康成长。</w:t>
            </w:r>
            <w:r>
              <w:br w:type="textWrapping"/>
            </w:r>
            <w:r>
              <w:rPr>
                <w:rFonts w:ascii="宋体" w:hAnsi="宋体" w:eastAsia="宋体" w:cs="宋体"/>
                <w:i w:val="0"/>
                <w:iCs w:val="0"/>
                <w:color w:val="000000"/>
                <w:kern w:val="0"/>
                <w:sz w:val="18"/>
                <w:szCs w:val="18"/>
                <w:u w:val="none"/>
                <w:lang w:val="en-US" w:eastAsia="zh-CN"/>
              </w:rPr>
              <w:t>5.对存在流浪风险的未成年人开展摸底排查、家庭监护评估、监护监督等工作，为其提供临时照料、医疗救治、心理疏导、行为矫治、社会融入、家庭关系协调、法律援助等专业服务，从源头上预防未成年人外出流浪。</w:t>
            </w:r>
            <w:r>
              <w:br w:type="textWrapping"/>
            </w:r>
            <w:r>
              <w:rPr>
                <w:rFonts w:ascii="宋体" w:hAnsi="宋体" w:eastAsia="宋体" w:cs="宋体"/>
                <w:i w:val="0"/>
                <w:iCs w:val="0"/>
                <w:color w:val="000000"/>
                <w:kern w:val="0"/>
                <w:sz w:val="18"/>
                <w:szCs w:val="18"/>
                <w:u w:val="none"/>
                <w:lang w:val="en-US" w:eastAsia="zh-CN"/>
              </w:rPr>
              <w:t>6.引导市县提高孤儿基本生活保障水平，孤儿生活保障政策规范高效实施，使孤儿和艾滋病病毒感染儿童生活基本得到保障。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要求规范城乡低保政策实施，合理确定保障标准，使低保对象基本生活得到有效保障；统筹城乡特困人员救助供养工作，合理确定保障标准；规范实施临时救助政策，实现及时高效，救急解难；对流浪未成年人提供特殊优先保护及教育矫治等专业服务，确保其健康成长；对存在流浪风险的未成年人开展摸底排查、家庭监护评估、监护监督等工作，为其提供临时照料、医疗救治、心理疏导、行为矫治、社会融入、家庭关系协调、法律援助等专业服务，从源头上预防未成年人外出流浪；引导市县提高孤儿基本生活保障水平，孤儿生活保障政策规范高效实施，使孤儿和艾滋病病毒感染儿童生活基本得到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373万元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333.27万元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低保对象人数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5360人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按照资金支付进度完成相应低保人数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临时救助人次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≥200次/年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180次/年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按照资金支付进度完成相应救助人次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城乡低保标准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建立社会救助家庭经济状况核对机制的县（市、区）比例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建立社会救助家庭经济状况核对机制的县（市、区）比例不断完善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困难群众认定准确率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困难群众基本生活救助和孤儿基本生活费按时发放率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及时发放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困难群众生活水平情况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有所提升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帮助查明身份滞留乞讨人员返乡情况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即使送返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救助对象对社会救助实施的满意度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救助对象对社会救助实施的满意度不断提升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2022年中央集中彩票公益金支持社会福利事业专项资金-防疫物资采购项目（结转上级资金）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28.28</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养老服务设施改造、设备购置，配备疫情防控、消防安全物资设施设备，提升养老服务设施服务能力。</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已按照要求对养老服务设施改造、设备购置，配备疫情防控、消防安全物资设施设备，提升养老服务设施服务能力。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采购成本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≤28.28万元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28.28万元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配备物资的养老机构数量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199个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199个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购置设备质量合格率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资金分解下达时效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养老机构应急救援能力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显著提升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养老机构应急救援能力不断提升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养老机构受助老年人满意度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关于调整提前下达2023年中央集中彩票公益金支持社会福利事业专项资金-老年人福利类项目资金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政府购买服务、委托运营等方式选择专业机构运营社区养老服务设施，提供助餐、助洁、健康管理、文化娱乐等服务，推进运营服务提质。支持养老服务技能进街道、进社区、进家庭，帮助老年人及其家庭成员、护理人员逐步提高服务能力。</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要求通过政府购买服务、委托运营等方式选择专业机构运营社区养老服务设施，提供助餐、助洁、健康管理、文化娱乐等服务，推进运营服务提质。支持养老服务技能进街道、进社区、进家庭，帮助老年人及其家庭成员、护理人员逐步提高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项目方案编制完整性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采购后一年内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养老服务有效供给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养老服务有效供给 持续增加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养老服务有效供给不断完善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服务人群覆盖面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持续扩大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居家社区养老服务条件和服务水平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受益人群满意度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受益人群满意度不断提升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2022年10-12月份基本殡葬免除费（区级上解）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161.46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161.46</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161.46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161.46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目标1：免除基本殡葬服务费，提高全市火化率。</w:t>
            </w:r>
            <w:r>
              <w:br w:type="textWrapping"/>
            </w:r>
            <w:r>
              <w:rPr>
                <w:rFonts w:ascii="宋体" w:hAnsi="宋体" w:eastAsia="宋体" w:cs="宋体"/>
                <w:i w:val="0"/>
                <w:iCs w:val="0"/>
                <w:color w:val="000000"/>
                <w:kern w:val="0"/>
                <w:sz w:val="18"/>
                <w:szCs w:val="18"/>
                <w:u w:val="none"/>
                <w:lang w:val="en-US" w:eastAsia="zh-CN"/>
              </w:rPr>
              <w:t>目标2：不断完善机制，确保殡故人员享受应享受的优惠。</w:t>
            </w:r>
            <w:r>
              <w:br w:type="textWrapping"/>
            </w:r>
            <w:r>
              <w:rPr>
                <w:rFonts w:ascii="宋体" w:hAnsi="宋体" w:eastAsia="宋体" w:cs="宋体"/>
                <w:i w:val="0"/>
                <w:iCs w:val="0"/>
                <w:color w:val="000000"/>
                <w:kern w:val="0"/>
                <w:sz w:val="18"/>
                <w:szCs w:val="18"/>
                <w:u w:val="none"/>
                <w:lang w:val="en-US" w:eastAsia="zh-CN"/>
              </w:rPr>
              <w:t>目标3：指导各地加大对政策的宣传，倡导文明殡葬。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按照要求免除基本殡葬服务费，提高全市火化率；不断完善机制，确保殡故人员享受应享受的优惠；指导各地加大对政策的宣传，倡导文明殡葬。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161.46万元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161.46万元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符合条件的人员纳入保障范围率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基本殡葬免费配套资金认定准确率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提高火化率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火化率逐步提升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提前下达2023年残疾人“两项补贴”市级补助资金-重度残疾人护理补贴（上级配套支出）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105</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目标1：督促各地不断完善机制，按时发放残疾人两项补贴资金；</w:t>
            </w:r>
            <w:r>
              <w:br w:type="textWrapping"/>
            </w:r>
            <w:r>
              <w:rPr>
                <w:rFonts w:ascii="宋体" w:hAnsi="宋体" w:eastAsia="宋体" w:cs="宋体"/>
                <w:i w:val="0"/>
                <w:iCs w:val="0"/>
                <w:color w:val="000000"/>
                <w:kern w:val="0"/>
                <w:sz w:val="18"/>
                <w:szCs w:val="18"/>
                <w:u w:val="none"/>
                <w:lang w:val="en-US" w:eastAsia="zh-CN"/>
              </w:rPr>
              <w:t xml:space="preserve"> 目标2：指导各地严格按照残疾人两项补贴程序和要求，依法审定补贴对象；</w:t>
            </w:r>
            <w:r>
              <w:br w:type="textWrapping"/>
            </w:r>
            <w:r>
              <w:rPr>
                <w:rFonts w:ascii="宋体" w:hAnsi="宋体" w:eastAsia="宋体" w:cs="宋体"/>
                <w:i w:val="0"/>
                <w:iCs w:val="0"/>
                <w:color w:val="000000"/>
                <w:kern w:val="0"/>
                <w:sz w:val="18"/>
                <w:szCs w:val="18"/>
                <w:u w:val="none"/>
                <w:lang w:val="en-US" w:eastAsia="zh-CN"/>
              </w:rPr>
              <w:t xml:space="preserve"> 目标3：指导各地加大对政策的宣传，提高政策的知晓率。</w:t>
            </w:r>
            <w:r>
              <w:br w:type="textWrapping"/>
            </w:r>
            <w:r>
              <w:rPr>
                <w:rFonts w:ascii="宋体" w:hAnsi="宋体" w:eastAsia="宋体" w:cs="宋体"/>
                <w:i w:val="0"/>
                <w:iCs w:val="0"/>
                <w:color w:val="000000"/>
                <w:kern w:val="0"/>
                <w:sz w:val="18"/>
                <w:szCs w:val="18"/>
                <w:u w:val="none"/>
                <w:lang w:val="en-US" w:eastAsia="zh-CN"/>
              </w:rPr>
              <w:t xml:space="preserve"> ……</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按要求督促各地不断完善机制，按时发放残疾人两项补贴资金；指导各地严格按照残疾人两项补贴程序和要求，依法审定补贴对象；指导各地加大对政策的宣传，提高政策的知晓率。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指标1：符合条件的残疾人申请纳入保障范围率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指标1：残疾人“两项补贴”对象认定准确率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指标2：残疾人“两项补贴”发放率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不低于上年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指标3：残疾人“两项补贴”发放标准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不低于上年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指标2：向各区财政部门下达两项补贴资金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指标2：领取残疾人两项补贴对象生活水平和照护服务水平提升情况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残疾人两项体贴对象生活水平和招呼服务水平不断提升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指标1：残疾人两项补贴对象满意度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残疾人两项体贴对象满意度不断提升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下达2023年80岁以上老人高龄津贴补助资金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257</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引导各区稳步提升高龄老人生活水平。</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已完成引导各区稳步提升高龄老人生活水平。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257万元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年度累计发放高龄津贴的80岁以上老年人口数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≥2.85万人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2.85万人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80-89岁老年人每月发放标准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90-99岁老年人每月发放标准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100岁老年人每月发放标准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高龄津贴资金社会化发放率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高龄津贴资金政策的合规性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补助资金及时发放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高龄老人生活水平提升情况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80岁以上老年人满意度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80岁以上老年人满意度不断提升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追加慈善总会工作经费（结转本级资金）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目标1：保障总会工作人员的待遇，根据工作年限、学历、技术职称制定实施工作人员待遇增长机制。</w:t>
            </w:r>
            <w:r>
              <w:br w:type="textWrapping"/>
            </w:r>
            <w:r>
              <w:rPr>
                <w:rFonts w:ascii="宋体" w:hAnsi="宋体" w:eastAsia="宋体" w:cs="宋体"/>
                <w:i w:val="0"/>
                <w:iCs w:val="0"/>
                <w:color w:val="000000"/>
                <w:kern w:val="0"/>
                <w:sz w:val="18"/>
                <w:szCs w:val="18"/>
                <w:u w:val="none"/>
                <w:lang w:val="en-US" w:eastAsia="zh-CN"/>
              </w:rPr>
              <w:t xml:space="preserve"> 目标2：为总会工作人员缴纳保险、住房公积金。</w:t>
            </w:r>
            <w:r>
              <w:br w:type="textWrapping"/>
            </w:r>
            <w:r>
              <w:rPr>
                <w:rFonts w:ascii="宋体" w:hAnsi="宋体" w:eastAsia="宋体" w:cs="宋体"/>
                <w:i w:val="0"/>
                <w:iCs w:val="0"/>
                <w:color w:val="000000"/>
                <w:kern w:val="0"/>
                <w:sz w:val="18"/>
                <w:szCs w:val="18"/>
                <w:u w:val="none"/>
                <w:lang w:val="en-US" w:eastAsia="zh-CN"/>
              </w:rPr>
              <w:t xml:space="preserve"> 目标3：维护总工会日常办公运行。</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已完成保障总会工作人员的待遇，根据工作年限、学历、技术职称制定实施工作人员待遇增长机制；为总会工作人员缴纳保险、住房公积金；维护总工会日常办公运行。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追加预算安排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慈善总会发放工资人数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日常办公运行维护费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工资、补贴发放及时情况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及时发放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工作人员幸福感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工作人员幸福感不断提升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拨付2023年1-3月份免除的市区城乡居民基本殡葬服务费（区级专项上解资金）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136.11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98.5</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136.11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目标1：免除基本殡葬服务费，提高全市火化率。</w:t>
            </w:r>
            <w:r>
              <w:br w:type="textWrapping"/>
            </w:r>
            <w:r>
              <w:rPr>
                <w:rFonts w:ascii="宋体" w:hAnsi="宋体" w:eastAsia="宋体" w:cs="宋体"/>
                <w:i w:val="0"/>
                <w:iCs w:val="0"/>
                <w:color w:val="000000"/>
                <w:kern w:val="0"/>
                <w:sz w:val="18"/>
                <w:szCs w:val="18"/>
                <w:u w:val="none"/>
                <w:lang w:val="en-US" w:eastAsia="zh-CN"/>
              </w:rPr>
              <w:t>目标2：不断完善机制，确保殡故人员享受应享受的优惠。</w:t>
            </w:r>
            <w:r>
              <w:br w:type="textWrapping"/>
            </w:r>
            <w:r>
              <w:rPr>
                <w:rFonts w:ascii="宋体" w:hAnsi="宋体" w:eastAsia="宋体" w:cs="宋体"/>
                <w:i w:val="0"/>
                <w:iCs w:val="0"/>
                <w:color w:val="000000"/>
                <w:kern w:val="0"/>
                <w:sz w:val="18"/>
                <w:szCs w:val="18"/>
                <w:u w:val="none"/>
                <w:lang w:val="en-US" w:eastAsia="zh-CN"/>
              </w:rPr>
              <w:t>目标3：指导各地加大对政策的宣传，倡导文明殡葬。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已按要求免除基本殡葬服务费，提高全市火化率；不断完善机制，确保殡故人员享受应享受的优惠；指导各地加大对政策的宣传，倡导文明殡葬。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136.1106万元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符合条件的人员纳入保障范围率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基本殡葬免费配套资金认定准确率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提高火化率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殡葬家属满意度不断提升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春节期间慰问困难群众资金（基本运转支出）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209.14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209.13</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209.14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209.13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目标1：冬春慰问困难群众</w:t>
            </w:r>
            <w:r>
              <w:br w:type="textWrapping"/>
            </w:r>
            <w:r>
              <w:rPr>
                <w:rFonts w:ascii="宋体" w:hAnsi="宋体" w:eastAsia="宋体" w:cs="宋体"/>
                <w:i w:val="0"/>
                <w:iCs w:val="0"/>
                <w:color w:val="000000"/>
                <w:kern w:val="0"/>
                <w:sz w:val="18"/>
                <w:szCs w:val="18"/>
                <w:u w:val="none"/>
                <w:lang w:val="en-US" w:eastAsia="zh-CN"/>
              </w:rPr>
              <w:t>目标2：有效提高困难群众的获得感</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按照时间要求冬春慰问困难群众，有效提高困难群众的获得感幸福感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冬春慰问困难群众预算安排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209.13万元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冬春困难群众春节慰问户数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≥3500户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3500户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冬春困难群众春节慰问标准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提高困难群众的获得感、满意度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不断提高困难群众获得感、幸福感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民政值班应急智慧系统（结转本级资金）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30.2</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目标1：民政值班应急指挥视频会议系统1套</w:t>
            </w:r>
            <w:r>
              <w:br w:type="textWrapping"/>
            </w:r>
            <w:r>
              <w:rPr>
                <w:rFonts w:ascii="宋体" w:hAnsi="宋体" w:eastAsia="宋体" w:cs="宋体"/>
                <w:i w:val="0"/>
                <w:iCs w:val="0"/>
                <w:color w:val="000000"/>
                <w:kern w:val="0"/>
                <w:sz w:val="18"/>
                <w:szCs w:val="18"/>
                <w:u w:val="none"/>
                <w:lang w:val="en-US" w:eastAsia="zh-CN"/>
              </w:rPr>
              <w:t>目标2：值班点名与应急指挥调度能力</w:t>
            </w:r>
            <w:r>
              <w:br w:type="textWrapping"/>
            </w:r>
            <w:r>
              <w:rPr>
                <w:rFonts w:ascii="宋体" w:hAnsi="宋体" w:eastAsia="宋体" w:cs="宋体"/>
                <w:i w:val="0"/>
                <w:iCs w:val="0"/>
                <w:color w:val="000000"/>
                <w:kern w:val="0"/>
                <w:sz w:val="18"/>
                <w:szCs w:val="18"/>
                <w:u w:val="none"/>
                <w:lang w:val="en-US" w:eastAsia="zh-CN"/>
              </w:rPr>
              <w:t>目标3：市县区视频会议能力</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已按照文件要求完成民政值班应急指挥视频会议系统1套，提升值班点名与应急指挥调度能力，提升市县区视频会议能力。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民政电视电话会议系统升级改造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1套多点控制器MCU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1台智慧屏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1台移动支架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1套集成与辅材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相关设备合格率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规定时间内完成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12月31日前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显著提高值班点名与应急指挥工作效率与信息化水平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部门人员体验满意度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支持社会组织参与社会公益服务项目补助（结转上级资金）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1.97</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通过政府购买服务方式，支持社会组织参与农村留守儿童关爱服务</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已按照要求通过政府购买服务方式，支持社会组织参与农村留守儿童关爱服务，提升儿童幸福感。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受关爱农村留守儿童数量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247个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247个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针对农村留守儿童年龄和性别特点，分时段开展形式多样符合儿童身心特点的活动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对需要上门探访的儿童进行上门探访，进行面对面咨询辅导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对所有服务对象进行基本状况评估，并建立基本情况档案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许昌地区农村留守儿童身心健康发展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有所提升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不断提高许昌农村留守儿童身心健康发展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受关爱农村留守儿童满意度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残疾人“两项补贴”市级补助资金剩余部分-困难残疾人生活补贴（上级配套支出）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29.72</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目标1：督促各地不断完善机制，按时发放残疾人两项补贴资金；</w:t>
            </w:r>
            <w:r>
              <w:br w:type="textWrapping"/>
            </w:r>
            <w:r>
              <w:rPr>
                <w:rFonts w:ascii="宋体" w:hAnsi="宋体" w:eastAsia="宋体" w:cs="宋体"/>
                <w:i w:val="0"/>
                <w:iCs w:val="0"/>
                <w:color w:val="000000"/>
                <w:kern w:val="0"/>
                <w:sz w:val="18"/>
                <w:szCs w:val="18"/>
                <w:u w:val="none"/>
                <w:lang w:val="en-US" w:eastAsia="zh-CN"/>
              </w:rPr>
              <w:t xml:space="preserve"> 目标2：指导各地严格按照残疾人两项补贴程序和要求，依法审定补贴对象；</w:t>
            </w:r>
            <w:r>
              <w:br w:type="textWrapping"/>
            </w:r>
            <w:r>
              <w:rPr>
                <w:rFonts w:ascii="宋体" w:hAnsi="宋体" w:eastAsia="宋体" w:cs="宋体"/>
                <w:i w:val="0"/>
                <w:iCs w:val="0"/>
                <w:color w:val="000000"/>
                <w:kern w:val="0"/>
                <w:sz w:val="18"/>
                <w:szCs w:val="18"/>
                <w:u w:val="none"/>
                <w:lang w:val="en-US" w:eastAsia="zh-CN"/>
              </w:rPr>
              <w:t xml:space="preserve"> 目标3：指导各地加大对政策的宣传，提高政策的知晓率。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按要求督促各地不断完善机制，按时发放残疾人两项补贴资金；指导各地严格按照残疾人两项补贴程序和要求，依法审定补贴对象；指导各地加大对政策的宣传，提高政策的知晓率。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指标1：符合条件的残疾人受助残疾人数量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指标1：残疾人“两项补贴”对象认定准确率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指标2：残疾人“两项补贴”发放率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指标3：残疾人“两项补贴”发放标准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75元/月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指标2：向各区财政部门下达两项补贴资金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指标1：领取残疾人两项补贴对象生活水平和照护服务水平提升情况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指标1：残疾人两项补贴对象满意度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残疾人两项补贴对象满意度不断提升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2023年省级困难群众救助补助资金-新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br w:type="textWrapping"/>
            </w:r>
            <w:r>
              <w:rPr>
                <w:rFonts w:ascii="宋体" w:hAnsi="宋体" w:eastAsia="宋体" w:cs="宋体"/>
                <w:i w:val="0"/>
                <w:iCs w:val="0"/>
                <w:color w:val="000000"/>
                <w:kern w:val="0"/>
                <w:sz w:val="18"/>
                <w:szCs w:val="18"/>
                <w:u w:val="none"/>
                <w:lang w:val="en-US" w:eastAsia="zh-CN"/>
              </w:rPr>
              <w:t>1.提高孤儿基本生活保障水平，孤儿生活保障政策规范高效实施，使孤儿和艾滋病病毒感染儿童生活基本得到保障。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完成提高孤儿基本生活保障水平，孤儿生活保障政策规范高效实施，使孤儿和艾滋病病毒感染儿童生活基本得到保障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院内孤儿数量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孤儿基本生活水平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不低于上年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孤儿生活水平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院内孤儿满意度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慈善总会财政补助资金（基本运转支出）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目标1：保障总会工作人员的待遇，根据工作年限、学历、技术职称制定实施工作人员待遇增长机制；</w:t>
            </w:r>
            <w:r>
              <w:br w:type="textWrapping"/>
            </w:r>
            <w:r>
              <w:rPr>
                <w:rFonts w:ascii="宋体" w:hAnsi="宋体" w:eastAsia="宋体" w:cs="宋体"/>
                <w:i w:val="0"/>
                <w:iCs w:val="0"/>
                <w:color w:val="000000"/>
                <w:kern w:val="0"/>
                <w:sz w:val="18"/>
                <w:szCs w:val="18"/>
                <w:u w:val="none"/>
                <w:lang w:val="en-US" w:eastAsia="zh-CN"/>
              </w:rPr>
              <w:t xml:space="preserve"> 目标2：为总会工作人员缴纳保险、住房公积金；</w:t>
            </w:r>
            <w:r>
              <w:br w:type="textWrapping"/>
            </w:r>
            <w:r>
              <w:rPr>
                <w:rFonts w:ascii="宋体" w:hAnsi="宋体" w:eastAsia="宋体" w:cs="宋体"/>
                <w:i w:val="0"/>
                <w:iCs w:val="0"/>
                <w:color w:val="000000"/>
                <w:kern w:val="0"/>
                <w:sz w:val="18"/>
                <w:szCs w:val="18"/>
                <w:u w:val="none"/>
                <w:lang w:val="en-US" w:eastAsia="zh-CN"/>
              </w:rPr>
              <w:t xml:space="preserve"> 目标3：维护总会日常办公运行。</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已完成保障总会工作人员的待遇，根据工作年限、学历、技术职称制定实施工作人员待遇增长机制；为总会工作人员缴纳保险、住房公积金；维护总会日常办公运行。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指标1：慈善总会工资发放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指标2：社会保险缴纳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指标3：日常办公运行维护费（办公费，水电费等）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指标2：日常办公运行维护费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指标1：慈善总会发放工资人数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指标1：补助发放准确率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指标2：维护总会日常办公运行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指标1：补助发放及时情况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及时发放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指标2：2022年全年维护日常办公运行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指标1：工作人员生活水平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提前下达2023年受艾滋病影响人员生活定量补助市级资金（上级配套支出）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目标1：按时足额发放受艾滋病影响人员基本生活定量补助</w:t>
            </w:r>
            <w:r>
              <w:br w:type="textWrapping"/>
            </w:r>
            <w:r>
              <w:rPr>
                <w:rFonts w:ascii="宋体" w:hAnsi="宋体" w:eastAsia="宋体" w:cs="宋体"/>
                <w:i w:val="0"/>
                <w:iCs w:val="0"/>
                <w:color w:val="000000"/>
                <w:kern w:val="0"/>
                <w:sz w:val="18"/>
                <w:szCs w:val="18"/>
                <w:u w:val="none"/>
                <w:lang w:val="en-US" w:eastAsia="zh-CN"/>
              </w:rPr>
              <w:t xml:space="preserve"> 目标2：保障特殊困难群体的基本生活</w:t>
            </w:r>
            <w:r>
              <w:br w:type="textWrapping"/>
            </w:r>
            <w:r>
              <w:rPr>
                <w:rFonts w:ascii="宋体" w:hAnsi="宋体" w:eastAsia="宋体" w:cs="宋体"/>
                <w:i w:val="0"/>
                <w:iCs w:val="0"/>
                <w:color w:val="000000"/>
                <w:kern w:val="0"/>
                <w:sz w:val="18"/>
                <w:szCs w:val="18"/>
                <w:u w:val="none"/>
                <w:lang w:val="en-US" w:eastAsia="zh-CN"/>
              </w:rPr>
              <w:t xml:space="preserve"> 目标3：提高困难群众的获得感</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已按要求按时足额发放受艾滋病影响人员基本生活定量补助；保障特殊困难群体的基本生活；提高困难群众的获得感。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符合条件的受艾滋病影响人员申请补贴纳入保障范围率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200元/月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200元/月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受艾滋病影响人员基本生活定量补助对象认定准确率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受艾滋病影响人员基本生活定量补助资金社会化发放率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受艾滋病影响人员生活水平情况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有所提升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受艾滋病影响人员基本生活定量补助的满意度不断提升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提前下达2023年残疾人“两项补贴”市级补助资金-困难残疾人生活补贴（上级配套支出）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目标1：督促各地不断完善机制，按时发放残疾人两项补贴资金；</w:t>
            </w:r>
            <w:r>
              <w:br w:type="textWrapping"/>
            </w:r>
            <w:r>
              <w:rPr>
                <w:rFonts w:ascii="宋体" w:hAnsi="宋体" w:eastAsia="宋体" w:cs="宋体"/>
                <w:i w:val="0"/>
                <w:iCs w:val="0"/>
                <w:color w:val="000000"/>
                <w:kern w:val="0"/>
                <w:sz w:val="18"/>
                <w:szCs w:val="18"/>
                <w:u w:val="none"/>
                <w:lang w:val="en-US" w:eastAsia="zh-CN"/>
              </w:rPr>
              <w:t xml:space="preserve"> 目标2：指导各地严格按照残疾人两项补贴程序和要求，依法审定补贴对象；</w:t>
            </w:r>
            <w:r>
              <w:br w:type="textWrapping"/>
            </w:r>
            <w:r>
              <w:rPr>
                <w:rFonts w:ascii="宋体" w:hAnsi="宋体" w:eastAsia="宋体" w:cs="宋体"/>
                <w:i w:val="0"/>
                <w:iCs w:val="0"/>
                <w:color w:val="000000"/>
                <w:kern w:val="0"/>
                <w:sz w:val="18"/>
                <w:szCs w:val="18"/>
                <w:u w:val="none"/>
                <w:lang w:val="en-US" w:eastAsia="zh-CN"/>
              </w:rPr>
              <w:t xml:space="preserve"> 目标3：指导各地加大对政策的宣传，提高政策的知晓率。</w:t>
            </w:r>
            <w:r>
              <w:br w:type="textWrapping"/>
            </w:r>
            <w:r>
              <w:rPr>
                <w:rFonts w:ascii="宋体" w:hAnsi="宋体" w:eastAsia="宋体" w:cs="宋体"/>
                <w:i w:val="0"/>
                <w:iCs w:val="0"/>
                <w:color w:val="000000"/>
                <w:kern w:val="0"/>
                <w:sz w:val="18"/>
                <w:szCs w:val="18"/>
                <w:u w:val="none"/>
                <w:lang w:val="en-US" w:eastAsia="zh-CN"/>
              </w:rPr>
              <w:t xml:space="preserve"> ……</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已督促各地不断完善机制，按时发放残疾人两项补贴资金；指导各地严格按照残疾人两项补贴程序和要求，依法审定补贴对象；指导各地加大对政策的宣传，提高政策的知晓率。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指标1：符合条件的残疾人申请纳入保障范围率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指标1：残疾人“两项补贴”对象认定准确率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指标2：残疾人“两项补贴”发放率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不低于上年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指标3：残疾人“两项补贴”发放标准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不低于上年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指标2：向各区财政部门下达两项补贴资金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指标1：领取残疾人两项补贴对象生活水平和照护服务水平提升情况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指标1：残疾人两项补贴对象满意度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残疾人两项补贴对象满意度不断提升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下达2023年受艾滋病影响人员生活定量补助资金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目标1：按时足额发放受艾滋病影响人员基本生活定量补助</w:t>
            </w:r>
            <w:r>
              <w:br w:type="textWrapping"/>
            </w:r>
            <w:r>
              <w:rPr>
                <w:rFonts w:ascii="宋体" w:hAnsi="宋体" w:eastAsia="宋体" w:cs="宋体"/>
                <w:i w:val="0"/>
                <w:iCs w:val="0"/>
                <w:color w:val="000000"/>
                <w:kern w:val="0"/>
                <w:sz w:val="18"/>
                <w:szCs w:val="18"/>
                <w:u w:val="none"/>
                <w:lang w:val="en-US" w:eastAsia="zh-CN"/>
              </w:rPr>
              <w:t xml:space="preserve"> 目标2：保障特殊困难群体的基本生活</w:t>
            </w:r>
            <w:r>
              <w:br w:type="textWrapping"/>
            </w:r>
            <w:r>
              <w:rPr>
                <w:rFonts w:ascii="宋体" w:hAnsi="宋体" w:eastAsia="宋体" w:cs="宋体"/>
                <w:i w:val="0"/>
                <w:iCs w:val="0"/>
                <w:color w:val="000000"/>
                <w:kern w:val="0"/>
                <w:sz w:val="18"/>
                <w:szCs w:val="18"/>
                <w:u w:val="none"/>
                <w:lang w:val="en-US" w:eastAsia="zh-CN"/>
              </w:rPr>
              <w:t xml:space="preserve"> 目标3：提高困难群众的获得感</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已完成按时足额发放受艾滋病影响人员基本生活定量补助；保障特殊困难群体的基本生活；提高困难群众的获得感。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受艾滋病影响人员申请补贴纳入保障人数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200元/人/月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受艾滋病影响人员基本生活定量补助对象认定准确率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受艾滋病影响人员基本生活定量补助资金社会化发放率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受艾滋病影响人员生活水平情况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有所提升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受艾滋病影响人员生活水平情况不断提升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受艾滋病影响人员基本生活定量补助满意度不断提升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提前下达2023年中央集中彩票公益金支持社会福利事业发展专项资金（上级提前下达）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131</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目标1：开展“孤儿助学工程”资助考上普通全日制本科、专科学校的孤儿完成学业。</w:t>
            </w:r>
            <w:r>
              <w:br w:type="textWrapping"/>
            </w:r>
            <w:r>
              <w:rPr>
                <w:rFonts w:ascii="宋体" w:hAnsi="宋体" w:eastAsia="宋体" w:cs="宋体"/>
                <w:i w:val="0"/>
                <w:iCs w:val="0"/>
                <w:color w:val="000000"/>
                <w:kern w:val="0"/>
                <w:sz w:val="18"/>
                <w:szCs w:val="18"/>
                <w:u w:val="none"/>
                <w:lang w:val="en-US" w:eastAsia="zh-CN"/>
              </w:rPr>
              <w:t>目标2; 开展“明天计划”资助0-18周岁孤儿医疗康复费用的自付部分，不断提高其医疗保障水平。</w:t>
            </w:r>
            <w:r>
              <w:br w:type="textWrapping"/>
            </w:r>
            <w:r>
              <w:rPr>
                <w:rFonts w:ascii="宋体" w:hAnsi="宋体" w:eastAsia="宋体" w:cs="宋体"/>
                <w:i w:val="0"/>
                <w:iCs w:val="0"/>
                <w:color w:val="000000"/>
                <w:kern w:val="0"/>
                <w:sz w:val="18"/>
                <w:szCs w:val="18"/>
                <w:u w:val="none"/>
                <w:lang w:val="en-US" w:eastAsia="zh-CN"/>
              </w:rPr>
              <w:t>目标3：精神卫生康复中心大楼配置设施设备，能够为全市范围内的精神障碍患者提供多种类型的康复诊疗服务。</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已按要求开展“孤儿助学工程”资助考上普通全日制本科、专科学校的孤儿完成学业；精神卫生康复中心大楼配置设施设备，能够为全市范围内的精神障碍患者提供多种类型的康复诊疗服务。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自主孤儿医疗康复例数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精神卫生康复中心设备采购数量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明天计划补助准确率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孤儿助学工程发放率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资金及时拨付率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充分发挥精神障碍人员就注重的民政兜底作用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效果显著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精神障碍患者的精神状况不断提升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孤儿助学服务对象满意度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孤儿助学服务对象满意度不断提升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受助精神障碍患者满意度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受助精神障碍患者满意度不断提高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提前下达2023年高龄津贴市级资金（上级配套支出）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引导各区稳步提升高龄老人生活水平。</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按要求完成引导各区稳步提升高龄老人生活水平。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指标1：年度累计发放高龄津贴的80岁以上老年人口数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≥2.85万人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2.85万人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指标1：80-89岁老年人每月发放标准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指标2：90-99岁老年人每月发放标准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指标3：100岁老年人每月发放标准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指标4：高龄津贴资金社会化发放率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指标5：高龄津贴资金政策的合规性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指标1：补助资金及时发放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指标1：高龄老人生活水平提升情况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高龄老人生活水平不断提升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指标1：80岁以上老年人满意度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老年人满意度不断提升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高龄津贴市级配套资金（上级配套支出）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引导各区稳步提升高龄老人生活水平。</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已完成引导各区稳步提升高龄老人生活水平。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指标1：年度累计发放高龄津贴的80岁以上老年人口数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≥2.85万人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2.85万人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指标1：80-89岁老年人每月发放标准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指标2：90-99岁老年人每月发放标准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指标4：高龄津贴资金社会化发放率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指标3：100岁老年人每月发放标准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指标5：高龄津贴资金政策的合规性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指标1：补助资金及时发放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指标1：高龄老人生活水平提升情况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高龄老人生活水平不断提升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指标1：80岁以上老年人满意度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80岁以上老年人满意度不断提升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下达2023年残疾人“两项补贴”补助资金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355</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目标1：督促各地不断完善机制，按时发放残疾人两项补贴资金；</w:t>
            </w:r>
            <w:r>
              <w:br w:type="textWrapping"/>
            </w:r>
            <w:r>
              <w:rPr>
                <w:rFonts w:ascii="宋体" w:hAnsi="宋体" w:eastAsia="宋体" w:cs="宋体"/>
                <w:i w:val="0"/>
                <w:iCs w:val="0"/>
                <w:color w:val="000000"/>
                <w:kern w:val="0"/>
                <w:sz w:val="18"/>
                <w:szCs w:val="18"/>
                <w:u w:val="none"/>
                <w:lang w:val="en-US" w:eastAsia="zh-CN"/>
              </w:rPr>
              <w:t xml:space="preserve"> 目标2：指导各地严格按照残疾人两项补贴程序和要求，依法审定补贴对象；</w:t>
            </w:r>
            <w:r>
              <w:br w:type="textWrapping"/>
            </w:r>
            <w:r>
              <w:rPr>
                <w:rFonts w:ascii="宋体" w:hAnsi="宋体" w:eastAsia="宋体" w:cs="宋体"/>
                <w:i w:val="0"/>
                <w:iCs w:val="0"/>
                <w:color w:val="000000"/>
                <w:kern w:val="0"/>
                <w:sz w:val="18"/>
                <w:szCs w:val="18"/>
                <w:u w:val="none"/>
                <w:lang w:val="en-US" w:eastAsia="zh-CN"/>
              </w:rPr>
              <w:t xml:space="preserve"> 目标3：指导各地加大对政策的宣传，提高政策的知晓率。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已按要求督促各地不断完善机制，按时发放残疾人两项补贴资金；指导各地严格按照残疾人两项补贴程序和要求，依法审定补贴对象；指导各地加大对政策的宣传，提高政策的知晓率。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残疾人“两项补贴”发放标准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≥60元/人/月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≥1.2万人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残疾人“两项补贴”对象认定准确率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向各区财政部门下达两项补贴资金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15日内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保障残疾人基本生活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保持稳定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残疾人两项补贴对象满意度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残疾人亮相补贴对象满意度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残疾人“两项补贴”市级补助资金剩余部分-重度残疾人护理补贴（上级配套支出）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44.37</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目标1：.督促各地不断完善机制，按时发放残疾人两项补贴资金；</w:t>
            </w:r>
            <w:r>
              <w:br w:type="textWrapping"/>
            </w:r>
            <w:r>
              <w:rPr>
                <w:rFonts w:ascii="宋体" w:hAnsi="宋体" w:eastAsia="宋体" w:cs="宋体"/>
                <w:i w:val="0"/>
                <w:iCs w:val="0"/>
                <w:color w:val="000000"/>
                <w:kern w:val="0"/>
                <w:sz w:val="18"/>
                <w:szCs w:val="18"/>
                <w:u w:val="none"/>
                <w:lang w:val="en-US" w:eastAsia="zh-CN"/>
              </w:rPr>
              <w:t xml:space="preserve"> 目标2：指导各地严格按照残疾人两项补贴程序和要求，依法审定补贴对象；</w:t>
            </w:r>
            <w:r>
              <w:br w:type="textWrapping"/>
            </w:r>
            <w:r>
              <w:rPr>
                <w:rFonts w:ascii="宋体" w:hAnsi="宋体" w:eastAsia="宋体" w:cs="宋体"/>
                <w:i w:val="0"/>
                <w:iCs w:val="0"/>
                <w:color w:val="000000"/>
                <w:kern w:val="0"/>
                <w:sz w:val="18"/>
                <w:szCs w:val="18"/>
                <w:u w:val="none"/>
                <w:lang w:val="en-US" w:eastAsia="zh-CN"/>
              </w:rPr>
              <w:t xml:space="preserve"> 目标3：指导各地加大对政策的宣传，提高政策的知晓率。</w:t>
            </w:r>
            <w:r>
              <w:br w:type="textWrapping"/>
            </w:r>
            <w:r>
              <w:rPr>
                <w:rFonts w:ascii="宋体" w:hAnsi="宋体" w:eastAsia="宋体" w:cs="宋体"/>
                <w:i w:val="0"/>
                <w:iCs w:val="0"/>
                <w:color w:val="000000"/>
                <w:kern w:val="0"/>
                <w:sz w:val="18"/>
                <w:szCs w:val="18"/>
                <w:u w:val="none"/>
                <w:lang w:val="en-US" w:eastAsia="zh-CN"/>
              </w:rPr>
              <w:t xml:space="preserve"> ……</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已完成督促各地不断完善机制，按时发放残疾人两项补贴资金；指导各地严格按照残疾人两项补贴程序和要求，依法审定补贴对象；指导各地加大对政策的宣传，提高政策的知晓率。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44.37万元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指标1：符合条件的受助残疾人数量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5720人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符合条件守住残疾人数量对应资金支付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指标1：残疾人“两项补贴”对象认定准确率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指标2：残疾人“两项补贴”发放率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指标3：残疾人“两项补贴”发放标准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75元/月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指标2：向各区财政部门下达两项补贴资金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指标1：审批复核的及时性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指标1：领取残疾人两项补贴对象生活水平和照护服务水平提升情况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指标2：政策知晓率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政策知晓率不断提升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指标1：残疾人两项补贴对象满意度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残疾两项体贴对象满意度不断提升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1906" w:h="16838"/>
          <w:pgMar w:top="1440" w:right="1800" w:bottom="1440" w:left="180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Mzk0YWM4ODU0MmM3NWYxZGViYzAyZDVjYjhmMjkifQ=="/>
  </w:docVars>
  <w:rsids>
    <w:rsidRoot w:val="00000000"/>
    <w:rsid w:val="03703661"/>
    <w:rsid w:val="223A7E32"/>
    <w:rsid w:val="6F7A5CB5"/>
    <w:rsid w:val="7DFFEB2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09590895-7a4c-4c8a-b9c1-1dd63f0736e5"/>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aad47747-6429-4b3e-a8eb-55cd8d38e9b7"/>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29</TotalTime>
  <ScaleCrop>false</ScaleCrop>
  <LinksUpToDate>false</LinksUpToDate>
  <CharactersWithSpaces>19465</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haunghe</cp:lastModifiedBy>
  <dcterms:modified xsi:type="dcterms:W3CDTF">2024-10-10T15:21:26Z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DF94CE1DC53D4C5F990C8EECCB3F5EB2_13</vt:lpwstr>
  </property>
</Properties>
</file>