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许昌市植保植检站单位决算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许昌市植保植检站概况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许昌市植保植检站概况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承担全市农作物病、虫、草、鼠害的预测预报和综合防治，农作物种子、农业苗木的产地检疫、调运检疫、市场检疫及农业有害生物疫情普查与控制，植保新技术、新农药的试验、示范与推广工作。对违反《植物检疫条例》的行为进行查处</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许昌市植保植检站内设机构5个,包括：办公室、测报防治科、植物检疫科、药械科、财务科。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从决算单位构成看，许昌市植保植检站单位决算包括：本级决算（1个）。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许昌市植保植检站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单位：许昌市植保植检站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293.76</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61.43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214.86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10.71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293.76</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293.76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293.76</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293.76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单位：许昌市植保植检站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293.76</w:t>
            </w:r>
          </w:p>
        </w:tc>
        <w:tc>
          <w:tcPr>
            <w:tcW w:w="1440" w:type="dxa"/>
            <w:vAlign w:val="center"/>
          </w:tcPr>
          <w:p>
            <w:pPr>
              <w:jc w:val="right"/>
            </w:pPr>
            <w:r>
              <w:rPr>
                <w:rFonts w:ascii="宋体" w:hAnsi="宋体" w:eastAsia="宋体" w:cs="宋体"/>
                <w:b/>
                <w:i w:val="0"/>
                <w:color w:val="000000"/>
                <w:sz w:val="17"/>
              </w:rPr>
              <w:t>293.76</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1.26</w:t>
            </w:r>
          </w:p>
        </w:tc>
        <w:tc>
          <w:tcPr>
            <w:tcW w:w="1440" w:type="dxa"/>
            <w:vAlign w:val="center"/>
          </w:tcPr>
          <w:p>
            <w:pPr>
              <w:jc w:val="right"/>
            </w:pPr>
            <w:r>
              <w:rPr>
                <w:rFonts w:ascii="宋体" w:hAnsi="宋体" w:eastAsia="宋体" w:cs="宋体"/>
                <w:b w:val="0"/>
                <w:i w:val="0"/>
                <w:color w:val="000000"/>
                <w:sz w:val="17"/>
              </w:rPr>
              <w:t>1.26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1.26</w:t>
            </w:r>
          </w:p>
        </w:tc>
        <w:tc>
          <w:tcPr>
            <w:tcW w:w="1440" w:type="dxa"/>
            <w:vAlign w:val="center"/>
          </w:tcPr>
          <w:p>
            <w:pPr>
              <w:jc w:val="right"/>
            </w:pPr>
            <w:r>
              <w:rPr>
                <w:rFonts w:ascii="宋体" w:hAnsi="宋体" w:eastAsia="宋体" w:cs="宋体"/>
                <w:b w:val="0"/>
                <w:i w:val="0"/>
                <w:color w:val="000000"/>
                <w:sz w:val="17"/>
              </w:rPr>
              <w:t>1.26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1.26</w:t>
            </w:r>
          </w:p>
        </w:tc>
        <w:tc>
          <w:tcPr>
            <w:tcW w:w="1440" w:type="dxa"/>
            <w:vAlign w:val="center"/>
          </w:tcPr>
          <w:p>
            <w:pPr>
              <w:jc w:val="right"/>
            </w:pPr>
            <w:r>
              <w:rPr>
                <w:rFonts w:ascii="宋体" w:hAnsi="宋体" w:eastAsia="宋体" w:cs="宋体"/>
                <w:b w:val="0"/>
                <w:i w:val="0"/>
                <w:color w:val="000000"/>
                <w:sz w:val="17"/>
              </w:rPr>
              <w:t>1.26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61.44</w:t>
            </w:r>
          </w:p>
        </w:tc>
        <w:tc>
          <w:tcPr>
            <w:tcW w:w="1440" w:type="dxa"/>
            <w:vAlign w:val="center"/>
          </w:tcPr>
          <w:p>
            <w:pPr>
              <w:jc w:val="right"/>
            </w:pPr>
            <w:r>
              <w:rPr>
                <w:rFonts w:ascii="宋体" w:hAnsi="宋体" w:eastAsia="宋体" w:cs="宋体"/>
                <w:b w:val="0"/>
                <w:i w:val="0"/>
                <w:color w:val="000000"/>
                <w:sz w:val="17"/>
              </w:rPr>
              <w:t>61.44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49.62</w:t>
            </w:r>
          </w:p>
        </w:tc>
        <w:tc>
          <w:tcPr>
            <w:tcW w:w="1440" w:type="dxa"/>
            <w:vAlign w:val="center"/>
          </w:tcPr>
          <w:p>
            <w:pPr>
              <w:jc w:val="right"/>
            </w:pPr>
            <w:r>
              <w:rPr>
                <w:rFonts w:ascii="宋体" w:hAnsi="宋体" w:eastAsia="宋体" w:cs="宋体"/>
                <w:b w:val="0"/>
                <w:i w:val="0"/>
                <w:color w:val="000000"/>
                <w:sz w:val="17"/>
              </w:rPr>
              <w:t>49.62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37.21</w:t>
            </w:r>
          </w:p>
        </w:tc>
        <w:tc>
          <w:tcPr>
            <w:tcW w:w="1440" w:type="dxa"/>
            <w:vAlign w:val="center"/>
          </w:tcPr>
          <w:p>
            <w:pPr>
              <w:jc w:val="right"/>
            </w:pPr>
            <w:r>
              <w:rPr>
                <w:rFonts w:ascii="宋体" w:hAnsi="宋体" w:eastAsia="宋体" w:cs="宋体"/>
                <w:b w:val="0"/>
                <w:i w:val="0"/>
                <w:color w:val="000000"/>
                <w:sz w:val="17"/>
              </w:rPr>
              <w:t>37.21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12.41</w:t>
            </w:r>
          </w:p>
        </w:tc>
        <w:tc>
          <w:tcPr>
            <w:tcW w:w="1440" w:type="dxa"/>
            <w:vAlign w:val="center"/>
          </w:tcPr>
          <w:p>
            <w:pPr>
              <w:jc w:val="right"/>
            </w:pPr>
            <w:r>
              <w:rPr>
                <w:rFonts w:ascii="宋体" w:hAnsi="宋体" w:eastAsia="宋体" w:cs="宋体"/>
                <w:b w:val="0"/>
                <w:i w:val="0"/>
                <w:color w:val="000000"/>
                <w:sz w:val="17"/>
              </w:rPr>
              <w:t>12.41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11.82</w:t>
            </w:r>
          </w:p>
        </w:tc>
        <w:tc>
          <w:tcPr>
            <w:tcW w:w="1440" w:type="dxa"/>
            <w:vAlign w:val="center"/>
          </w:tcPr>
          <w:p>
            <w:pPr>
              <w:jc w:val="right"/>
            </w:pPr>
            <w:r>
              <w:rPr>
                <w:rFonts w:ascii="宋体" w:hAnsi="宋体" w:eastAsia="宋体" w:cs="宋体"/>
                <w:b w:val="0"/>
                <w:i w:val="0"/>
                <w:color w:val="000000"/>
                <w:sz w:val="17"/>
              </w:rPr>
              <w:t>11.82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11.82</w:t>
            </w:r>
          </w:p>
        </w:tc>
        <w:tc>
          <w:tcPr>
            <w:tcW w:w="1440" w:type="dxa"/>
            <w:vAlign w:val="center"/>
          </w:tcPr>
          <w:p>
            <w:pPr>
              <w:jc w:val="right"/>
            </w:pPr>
            <w:r>
              <w:rPr>
                <w:rFonts w:ascii="宋体" w:hAnsi="宋体" w:eastAsia="宋体" w:cs="宋体"/>
                <w:b w:val="0"/>
                <w:i w:val="0"/>
                <w:color w:val="000000"/>
                <w:sz w:val="17"/>
              </w:rPr>
              <w:t>11.82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5.50</w:t>
            </w:r>
          </w:p>
        </w:tc>
        <w:tc>
          <w:tcPr>
            <w:tcW w:w="1440" w:type="dxa"/>
            <w:vAlign w:val="center"/>
          </w:tcPr>
          <w:p>
            <w:pPr>
              <w:jc w:val="right"/>
            </w:pPr>
            <w:r>
              <w:rPr>
                <w:rFonts w:ascii="宋体" w:hAnsi="宋体" w:eastAsia="宋体" w:cs="宋体"/>
                <w:b w:val="0"/>
                <w:i w:val="0"/>
                <w:color w:val="000000"/>
                <w:sz w:val="17"/>
              </w:rPr>
              <w:t>5.50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5.50</w:t>
            </w:r>
          </w:p>
        </w:tc>
        <w:tc>
          <w:tcPr>
            <w:tcW w:w="1440" w:type="dxa"/>
            <w:vAlign w:val="center"/>
          </w:tcPr>
          <w:p>
            <w:pPr>
              <w:jc w:val="right"/>
            </w:pPr>
            <w:r>
              <w:rPr>
                <w:rFonts w:ascii="宋体" w:hAnsi="宋体" w:eastAsia="宋体" w:cs="宋体"/>
                <w:b w:val="0"/>
                <w:i w:val="0"/>
                <w:color w:val="000000"/>
                <w:sz w:val="17"/>
              </w:rPr>
              <w:t>5.50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5.50</w:t>
            </w:r>
          </w:p>
        </w:tc>
        <w:tc>
          <w:tcPr>
            <w:tcW w:w="1440" w:type="dxa"/>
            <w:vAlign w:val="center"/>
          </w:tcPr>
          <w:p>
            <w:pPr>
              <w:jc w:val="right"/>
            </w:pPr>
            <w:r>
              <w:rPr>
                <w:rFonts w:ascii="宋体" w:hAnsi="宋体" w:eastAsia="宋体" w:cs="宋体"/>
                <w:b w:val="0"/>
                <w:i w:val="0"/>
                <w:color w:val="000000"/>
                <w:sz w:val="17"/>
              </w:rPr>
              <w:t>5.50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214.86</w:t>
            </w:r>
          </w:p>
        </w:tc>
        <w:tc>
          <w:tcPr>
            <w:tcW w:w="1440" w:type="dxa"/>
            <w:vAlign w:val="center"/>
          </w:tcPr>
          <w:p>
            <w:pPr>
              <w:jc w:val="right"/>
            </w:pPr>
            <w:r>
              <w:rPr>
                <w:rFonts w:ascii="宋体" w:hAnsi="宋体" w:eastAsia="宋体" w:cs="宋体"/>
                <w:b w:val="0"/>
                <w:i w:val="0"/>
                <w:color w:val="000000"/>
                <w:sz w:val="17"/>
              </w:rPr>
              <w:t>214.86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214.86</w:t>
            </w:r>
          </w:p>
        </w:tc>
        <w:tc>
          <w:tcPr>
            <w:tcW w:w="1440" w:type="dxa"/>
            <w:vAlign w:val="center"/>
          </w:tcPr>
          <w:p>
            <w:pPr>
              <w:jc w:val="right"/>
            </w:pPr>
            <w:r>
              <w:rPr>
                <w:rFonts w:ascii="宋体" w:hAnsi="宋体" w:eastAsia="宋体" w:cs="宋体"/>
                <w:b w:val="0"/>
                <w:i w:val="0"/>
                <w:color w:val="000000"/>
                <w:sz w:val="17"/>
              </w:rPr>
              <w:t>214.86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171.86</w:t>
            </w:r>
          </w:p>
        </w:tc>
        <w:tc>
          <w:tcPr>
            <w:tcW w:w="1440" w:type="dxa"/>
            <w:vAlign w:val="center"/>
          </w:tcPr>
          <w:p>
            <w:pPr>
              <w:jc w:val="right"/>
            </w:pPr>
            <w:r>
              <w:rPr>
                <w:rFonts w:ascii="宋体" w:hAnsi="宋体" w:eastAsia="宋体" w:cs="宋体"/>
                <w:b w:val="0"/>
                <w:i w:val="0"/>
                <w:color w:val="000000"/>
                <w:sz w:val="17"/>
              </w:rPr>
              <w:t>171.86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2130108</w:t>
            </w:r>
          </w:p>
        </w:tc>
        <w:tc>
          <w:tcPr>
            <w:tcW w:w="3140" w:type="dxa"/>
            <w:vAlign w:val="center"/>
          </w:tcPr>
          <w:p>
            <w:pPr>
              <w:jc w:val="left"/>
            </w:pPr>
            <w:r>
              <w:rPr>
                <w:rFonts w:ascii="宋体" w:hAnsi="宋体" w:eastAsia="宋体" w:cs="宋体"/>
                <w:b w:val="0"/>
                <w:i w:val="0"/>
                <w:color w:val="000000"/>
                <w:sz w:val="17"/>
              </w:rPr>
              <w:t>病虫害控制</w:t>
            </w:r>
          </w:p>
        </w:tc>
        <w:tc>
          <w:tcPr>
            <w:tcW w:w="1440" w:type="dxa"/>
            <w:vAlign w:val="center"/>
          </w:tcPr>
          <w:p>
            <w:pPr>
              <w:jc w:val="right"/>
            </w:pPr>
            <w:r>
              <w:rPr>
                <w:rFonts w:ascii="宋体" w:hAnsi="宋体" w:eastAsia="宋体" w:cs="宋体"/>
                <w:b w:val="0"/>
                <w:i w:val="0"/>
                <w:color w:val="000000"/>
                <w:sz w:val="17"/>
              </w:rPr>
              <w:t>43.00</w:t>
            </w:r>
          </w:p>
        </w:tc>
        <w:tc>
          <w:tcPr>
            <w:tcW w:w="1440" w:type="dxa"/>
            <w:vAlign w:val="center"/>
          </w:tcPr>
          <w:p>
            <w:pPr>
              <w:jc w:val="right"/>
            </w:pPr>
            <w:r>
              <w:rPr>
                <w:rFonts w:ascii="宋体" w:hAnsi="宋体" w:eastAsia="宋体" w:cs="宋体"/>
                <w:b w:val="0"/>
                <w:i w:val="0"/>
                <w:color w:val="000000"/>
                <w:sz w:val="17"/>
              </w:rPr>
              <w:t>43.00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10.71</w:t>
            </w:r>
          </w:p>
        </w:tc>
        <w:tc>
          <w:tcPr>
            <w:tcW w:w="1440" w:type="dxa"/>
            <w:vAlign w:val="center"/>
          </w:tcPr>
          <w:p>
            <w:pPr>
              <w:jc w:val="right"/>
            </w:pPr>
            <w:r>
              <w:rPr>
                <w:rFonts w:ascii="宋体" w:hAnsi="宋体" w:eastAsia="宋体" w:cs="宋体"/>
                <w:b w:val="0"/>
                <w:i w:val="0"/>
                <w:color w:val="000000"/>
                <w:sz w:val="17"/>
              </w:rPr>
              <w:t>10.71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10.71</w:t>
            </w:r>
          </w:p>
        </w:tc>
        <w:tc>
          <w:tcPr>
            <w:tcW w:w="1440" w:type="dxa"/>
            <w:vAlign w:val="center"/>
          </w:tcPr>
          <w:p>
            <w:pPr>
              <w:jc w:val="right"/>
            </w:pPr>
            <w:r>
              <w:rPr>
                <w:rFonts w:ascii="宋体" w:hAnsi="宋体" w:eastAsia="宋体" w:cs="宋体"/>
                <w:b w:val="0"/>
                <w:i w:val="0"/>
                <w:color w:val="000000"/>
                <w:sz w:val="17"/>
              </w:rPr>
              <w:t>10.71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10.71</w:t>
            </w:r>
          </w:p>
        </w:tc>
        <w:tc>
          <w:tcPr>
            <w:tcW w:w="1440" w:type="dxa"/>
            <w:vAlign w:val="center"/>
          </w:tcPr>
          <w:p>
            <w:pPr>
              <w:jc w:val="right"/>
            </w:pPr>
            <w:r>
              <w:rPr>
                <w:rFonts w:ascii="宋体" w:hAnsi="宋体" w:eastAsia="宋体" w:cs="宋体"/>
                <w:b w:val="0"/>
                <w:i w:val="0"/>
                <w:color w:val="000000"/>
                <w:sz w:val="17"/>
              </w:rPr>
              <w:t>10.71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单位：许昌市植保植检站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293.76</w:t>
            </w:r>
          </w:p>
        </w:tc>
        <w:tc>
          <w:tcPr>
            <w:tcW w:w="1600" w:type="dxa"/>
            <w:vAlign w:val="center"/>
          </w:tcPr>
          <w:p>
            <w:pPr>
              <w:jc w:val="right"/>
            </w:pPr>
            <w:r>
              <w:rPr>
                <w:rFonts w:ascii="宋体" w:hAnsi="宋体" w:eastAsia="宋体" w:cs="宋体"/>
                <w:b/>
                <w:i w:val="0"/>
                <w:color w:val="000000"/>
                <w:sz w:val="19"/>
              </w:rPr>
              <w:t>250.76</w:t>
            </w:r>
          </w:p>
        </w:tc>
        <w:tc>
          <w:tcPr>
            <w:tcW w:w="1600" w:type="dxa"/>
            <w:vAlign w:val="center"/>
          </w:tcPr>
          <w:p>
            <w:pPr>
              <w:jc w:val="right"/>
            </w:pPr>
            <w:r>
              <w:rPr>
                <w:rFonts w:ascii="宋体" w:hAnsi="宋体" w:eastAsia="宋体" w:cs="宋体"/>
                <w:b/>
                <w:i w:val="0"/>
                <w:color w:val="000000"/>
                <w:sz w:val="19"/>
              </w:rPr>
              <w:t>43.00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1.26</w:t>
            </w:r>
          </w:p>
        </w:tc>
        <w:tc>
          <w:tcPr>
            <w:tcW w:w="1600" w:type="dxa"/>
            <w:vAlign w:val="center"/>
          </w:tcPr>
          <w:p>
            <w:pPr>
              <w:jc w:val="right"/>
            </w:pPr>
            <w:r>
              <w:rPr>
                <w:rFonts w:ascii="宋体" w:hAnsi="宋体" w:eastAsia="宋体" w:cs="宋体"/>
                <w:b w:val="0"/>
                <w:i w:val="0"/>
                <w:color w:val="000000"/>
                <w:sz w:val="19"/>
              </w:rPr>
              <w:t>1.26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1.26</w:t>
            </w:r>
          </w:p>
        </w:tc>
        <w:tc>
          <w:tcPr>
            <w:tcW w:w="1600" w:type="dxa"/>
            <w:vAlign w:val="center"/>
          </w:tcPr>
          <w:p>
            <w:pPr>
              <w:jc w:val="right"/>
            </w:pPr>
            <w:r>
              <w:rPr>
                <w:rFonts w:ascii="宋体" w:hAnsi="宋体" w:eastAsia="宋体" w:cs="宋体"/>
                <w:b w:val="0"/>
                <w:i w:val="0"/>
                <w:color w:val="000000"/>
                <w:sz w:val="19"/>
              </w:rPr>
              <w:t>1.26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1.26</w:t>
            </w:r>
          </w:p>
        </w:tc>
        <w:tc>
          <w:tcPr>
            <w:tcW w:w="1600" w:type="dxa"/>
            <w:vAlign w:val="center"/>
          </w:tcPr>
          <w:p>
            <w:pPr>
              <w:jc w:val="right"/>
            </w:pPr>
            <w:r>
              <w:rPr>
                <w:rFonts w:ascii="宋体" w:hAnsi="宋体" w:eastAsia="宋体" w:cs="宋体"/>
                <w:b w:val="0"/>
                <w:i w:val="0"/>
                <w:color w:val="000000"/>
                <w:sz w:val="19"/>
              </w:rPr>
              <w:t>1.26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61.44</w:t>
            </w:r>
          </w:p>
        </w:tc>
        <w:tc>
          <w:tcPr>
            <w:tcW w:w="1600" w:type="dxa"/>
            <w:vAlign w:val="center"/>
          </w:tcPr>
          <w:p>
            <w:pPr>
              <w:jc w:val="right"/>
            </w:pPr>
            <w:r>
              <w:rPr>
                <w:rFonts w:ascii="宋体" w:hAnsi="宋体" w:eastAsia="宋体" w:cs="宋体"/>
                <w:b w:val="0"/>
                <w:i w:val="0"/>
                <w:color w:val="000000"/>
                <w:sz w:val="19"/>
              </w:rPr>
              <w:t>61.44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49.62</w:t>
            </w:r>
          </w:p>
        </w:tc>
        <w:tc>
          <w:tcPr>
            <w:tcW w:w="1600" w:type="dxa"/>
            <w:vAlign w:val="center"/>
          </w:tcPr>
          <w:p>
            <w:pPr>
              <w:jc w:val="right"/>
            </w:pPr>
            <w:r>
              <w:rPr>
                <w:rFonts w:ascii="宋体" w:hAnsi="宋体" w:eastAsia="宋体" w:cs="宋体"/>
                <w:b w:val="0"/>
                <w:i w:val="0"/>
                <w:color w:val="000000"/>
                <w:sz w:val="19"/>
              </w:rPr>
              <w:t>49.62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37.21</w:t>
            </w:r>
          </w:p>
        </w:tc>
        <w:tc>
          <w:tcPr>
            <w:tcW w:w="1600" w:type="dxa"/>
            <w:vAlign w:val="center"/>
          </w:tcPr>
          <w:p>
            <w:pPr>
              <w:jc w:val="right"/>
            </w:pPr>
            <w:r>
              <w:rPr>
                <w:rFonts w:ascii="宋体" w:hAnsi="宋体" w:eastAsia="宋体" w:cs="宋体"/>
                <w:b w:val="0"/>
                <w:i w:val="0"/>
                <w:color w:val="000000"/>
                <w:sz w:val="19"/>
              </w:rPr>
              <w:t>37.21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12.41</w:t>
            </w:r>
          </w:p>
        </w:tc>
        <w:tc>
          <w:tcPr>
            <w:tcW w:w="1600" w:type="dxa"/>
            <w:vAlign w:val="center"/>
          </w:tcPr>
          <w:p>
            <w:pPr>
              <w:jc w:val="right"/>
            </w:pPr>
            <w:r>
              <w:rPr>
                <w:rFonts w:ascii="宋体" w:hAnsi="宋体" w:eastAsia="宋体" w:cs="宋体"/>
                <w:b w:val="0"/>
                <w:i w:val="0"/>
                <w:color w:val="000000"/>
                <w:sz w:val="19"/>
              </w:rPr>
              <w:t>12.41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11.82</w:t>
            </w:r>
          </w:p>
        </w:tc>
        <w:tc>
          <w:tcPr>
            <w:tcW w:w="1600" w:type="dxa"/>
            <w:vAlign w:val="center"/>
          </w:tcPr>
          <w:p>
            <w:pPr>
              <w:jc w:val="right"/>
            </w:pPr>
            <w:r>
              <w:rPr>
                <w:rFonts w:ascii="宋体" w:hAnsi="宋体" w:eastAsia="宋体" w:cs="宋体"/>
                <w:b w:val="0"/>
                <w:i w:val="0"/>
                <w:color w:val="000000"/>
                <w:sz w:val="19"/>
              </w:rPr>
              <w:t>11.82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11.82</w:t>
            </w:r>
          </w:p>
        </w:tc>
        <w:tc>
          <w:tcPr>
            <w:tcW w:w="1600" w:type="dxa"/>
            <w:vAlign w:val="center"/>
          </w:tcPr>
          <w:p>
            <w:pPr>
              <w:jc w:val="right"/>
            </w:pPr>
            <w:r>
              <w:rPr>
                <w:rFonts w:ascii="宋体" w:hAnsi="宋体" w:eastAsia="宋体" w:cs="宋体"/>
                <w:b w:val="0"/>
                <w:i w:val="0"/>
                <w:color w:val="000000"/>
                <w:sz w:val="19"/>
              </w:rPr>
              <w:t>11.82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5.50</w:t>
            </w:r>
          </w:p>
        </w:tc>
        <w:tc>
          <w:tcPr>
            <w:tcW w:w="1600" w:type="dxa"/>
            <w:vAlign w:val="center"/>
          </w:tcPr>
          <w:p>
            <w:pPr>
              <w:jc w:val="right"/>
            </w:pPr>
            <w:r>
              <w:rPr>
                <w:rFonts w:ascii="宋体" w:hAnsi="宋体" w:eastAsia="宋体" w:cs="宋体"/>
                <w:b w:val="0"/>
                <w:i w:val="0"/>
                <w:color w:val="000000"/>
                <w:sz w:val="19"/>
              </w:rPr>
              <w:t>5.50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5.50</w:t>
            </w:r>
          </w:p>
        </w:tc>
        <w:tc>
          <w:tcPr>
            <w:tcW w:w="1600" w:type="dxa"/>
            <w:vAlign w:val="center"/>
          </w:tcPr>
          <w:p>
            <w:pPr>
              <w:jc w:val="right"/>
            </w:pPr>
            <w:r>
              <w:rPr>
                <w:rFonts w:ascii="宋体" w:hAnsi="宋体" w:eastAsia="宋体" w:cs="宋体"/>
                <w:b w:val="0"/>
                <w:i w:val="0"/>
                <w:color w:val="000000"/>
                <w:sz w:val="19"/>
              </w:rPr>
              <w:t>5.50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5.50</w:t>
            </w:r>
          </w:p>
        </w:tc>
        <w:tc>
          <w:tcPr>
            <w:tcW w:w="1600" w:type="dxa"/>
            <w:vAlign w:val="center"/>
          </w:tcPr>
          <w:p>
            <w:pPr>
              <w:jc w:val="right"/>
            </w:pPr>
            <w:r>
              <w:rPr>
                <w:rFonts w:ascii="宋体" w:hAnsi="宋体" w:eastAsia="宋体" w:cs="宋体"/>
                <w:b w:val="0"/>
                <w:i w:val="0"/>
                <w:color w:val="000000"/>
                <w:sz w:val="19"/>
              </w:rPr>
              <w:t>5.50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214.86</w:t>
            </w:r>
          </w:p>
        </w:tc>
        <w:tc>
          <w:tcPr>
            <w:tcW w:w="1600" w:type="dxa"/>
            <w:vAlign w:val="center"/>
          </w:tcPr>
          <w:p>
            <w:pPr>
              <w:jc w:val="right"/>
            </w:pPr>
            <w:r>
              <w:rPr>
                <w:rFonts w:ascii="宋体" w:hAnsi="宋体" w:eastAsia="宋体" w:cs="宋体"/>
                <w:b w:val="0"/>
                <w:i w:val="0"/>
                <w:color w:val="000000"/>
                <w:sz w:val="19"/>
              </w:rPr>
              <w:t>171.86</w:t>
            </w:r>
          </w:p>
        </w:tc>
        <w:tc>
          <w:tcPr>
            <w:tcW w:w="1600" w:type="dxa"/>
            <w:vAlign w:val="center"/>
          </w:tcPr>
          <w:p>
            <w:pPr>
              <w:jc w:val="right"/>
            </w:pPr>
            <w:r>
              <w:rPr>
                <w:rFonts w:ascii="宋体" w:hAnsi="宋体" w:eastAsia="宋体" w:cs="宋体"/>
                <w:b w:val="0"/>
                <w:i w:val="0"/>
                <w:color w:val="000000"/>
                <w:sz w:val="19"/>
              </w:rPr>
              <w:t>43.00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214.86</w:t>
            </w:r>
          </w:p>
        </w:tc>
        <w:tc>
          <w:tcPr>
            <w:tcW w:w="1600" w:type="dxa"/>
            <w:vAlign w:val="center"/>
          </w:tcPr>
          <w:p>
            <w:pPr>
              <w:jc w:val="right"/>
            </w:pPr>
            <w:r>
              <w:rPr>
                <w:rFonts w:ascii="宋体" w:hAnsi="宋体" w:eastAsia="宋体" w:cs="宋体"/>
                <w:b w:val="0"/>
                <w:i w:val="0"/>
                <w:color w:val="000000"/>
                <w:sz w:val="19"/>
              </w:rPr>
              <w:t>171.86</w:t>
            </w:r>
          </w:p>
        </w:tc>
        <w:tc>
          <w:tcPr>
            <w:tcW w:w="1600" w:type="dxa"/>
            <w:vAlign w:val="center"/>
          </w:tcPr>
          <w:p>
            <w:pPr>
              <w:jc w:val="right"/>
            </w:pPr>
            <w:r>
              <w:rPr>
                <w:rFonts w:ascii="宋体" w:hAnsi="宋体" w:eastAsia="宋体" w:cs="宋体"/>
                <w:b w:val="0"/>
                <w:i w:val="0"/>
                <w:color w:val="000000"/>
                <w:sz w:val="19"/>
              </w:rPr>
              <w:t>43.00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171.86</w:t>
            </w:r>
          </w:p>
        </w:tc>
        <w:tc>
          <w:tcPr>
            <w:tcW w:w="1600" w:type="dxa"/>
            <w:vAlign w:val="center"/>
          </w:tcPr>
          <w:p>
            <w:pPr>
              <w:jc w:val="right"/>
            </w:pPr>
            <w:r>
              <w:rPr>
                <w:rFonts w:ascii="宋体" w:hAnsi="宋体" w:eastAsia="宋体" w:cs="宋体"/>
                <w:b w:val="0"/>
                <w:i w:val="0"/>
                <w:color w:val="000000"/>
                <w:sz w:val="19"/>
              </w:rPr>
              <w:t>171.86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2130108</w:t>
            </w:r>
          </w:p>
        </w:tc>
        <w:tc>
          <w:tcPr>
            <w:tcW w:w="3480" w:type="dxa"/>
            <w:vAlign w:val="center"/>
          </w:tcPr>
          <w:p>
            <w:pPr>
              <w:jc w:val="left"/>
            </w:pPr>
            <w:r>
              <w:rPr>
                <w:rFonts w:ascii="宋体" w:hAnsi="宋体" w:eastAsia="宋体" w:cs="宋体"/>
                <w:b w:val="0"/>
                <w:i w:val="0"/>
                <w:color w:val="000000"/>
                <w:sz w:val="19"/>
              </w:rPr>
              <w:t>病虫害控制</w:t>
            </w:r>
          </w:p>
        </w:tc>
        <w:tc>
          <w:tcPr>
            <w:tcW w:w="1600" w:type="dxa"/>
            <w:vAlign w:val="center"/>
          </w:tcPr>
          <w:p>
            <w:pPr>
              <w:jc w:val="right"/>
            </w:pPr>
            <w:r>
              <w:rPr>
                <w:rFonts w:ascii="宋体" w:hAnsi="宋体" w:eastAsia="宋体" w:cs="宋体"/>
                <w:b w:val="0"/>
                <w:i w:val="0"/>
                <w:color w:val="000000"/>
                <w:sz w:val="19"/>
              </w:rPr>
              <w:t>43.00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43.00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10.71</w:t>
            </w:r>
          </w:p>
        </w:tc>
        <w:tc>
          <w:tcPr>
            <w:tcW w:w="1600" w:type="dxa"/>
            <w:vAlign w:val="center"/>
          </w:tcPr>
          <w:p>
            <w:pPr>
              <w:jc w:val="right"/>
            </w:pPr>
            <w:r>
              <w:rPr>
                <w:rFonts w:ascii="宋体" w:hAnsi="宋体" w:eastAsia="宋体" w:cs="宋体"/>
                <w:b w:val="0"/>
                <w:i w:val="0"/>
                <w:color w:val="000000"/>
                <w:sz w:val="19"/>
              </w:rPr>
              <w:t>10.71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10.71</w:t>
            </w:r>
          </w:p>
        </w:tc>
        <w:tc>
          <w:tcPr>
            <w:tcW w:w="1600" w:type="dxa"/>
            <w:vAlign w:val="center"/>
          </w:tcPr>
          <w:p>
            <w:pPr>
              <w:jc w:val="right"/>
            </w:pPr>
            <w:r>
              <w:rPr>
                <w:rFonts w:ascii="宋体" w:hAnsi="宋体" w:eastAsia="宋体" w:cs="宋体"/>
                <w:b w:val="0"/>
                <w:i w:val="0"/>
                <w:color w:val="000000"/>
                <w:sz w:val="19"/>
              </w:rPr>
              <w:t>10.71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10.71</w:t>
            </w:r>
          </w:p>
        </w:tc>
        <w:tc>
          <w:tcPr>
            <w:tcW w:w="1600" w:type="dxa"/>
            <w:vAlign w:val="center"/>
          </w:tcPr>
          <w:p>
            <w:pPr>
              <w:jc w:val="right"/>
            </w:pPr>
            <w:r>
              <w:rPr>
                <w:rFonts w:ascii="宋体" w:hAnsi="宋体" w:eastAsia="宋体" w:cs="宋体"/>
                <w:b w:val="0"/>
                <w:i w:val="0"/>
                <w:color w:val="000000"/>
                <w:sz w:val="19"/>
              </w:rPr>
              <w:t>10.71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单位：许昌市植保植检站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293.76</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1.26</w:t>
            </w:r>
          </w:p>
        </w:tc>
        <w:tc>
          <w:tcPr>
            <w:tcW w:w="1420" w:type="dxa"/>
            <w:vAlign w:val="center"/>
          </w:tcPr>
          <w:p>
            <w:pPr>
              <w:jc w:val="right"/>
            </w:pPr>
            <w:r>
              <w:rPr>
                <w:rFonts w:ascii="宋体" w:hAnsi="宋体" w:eastAsia="宋体" w:cs="宋体"/>
                <w:b w:val="0"/>
                <w:i w:val="0"/>
                <w:color w:val="000000"/>
                <w:sz w:val="18"/>
              </w:rPr>
              <w:t>1.26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61.43</w:t>
            </w:r>
          </w:p>
        </w:tc>
        <w:tc>
          <w:tcPr>
            <w:tcW w:w="1420" w:type="dxa"/>
            <w:vAlign w:val="center"/>
          </w:tcPr>
          <w:p>
            <w:pPr>
              <w:jc w:val="right"/>
            </w:pPr>
            <w:r>
              <w:rPr>
                <w:rFonts w:ascii="宋体" w:hAnsi="宋体" w:eastAsia="宋体" w:cs="宋体"/>
                <w:b w:val="0"/>
                <w:i w:val="0"/>
                <w:color w:val="000000"/>
                <w:sz w:val="18"/>
              </w:rPr>
              <w:t>61.43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5.50</w:t>
            </w:r>
          </w:p>
        </w:tc>
        <w:tc>
          <w:tcPr>
            <w:tcW w:w="1420" w:type="dxa"/>
            <w:vAlign w:val="center"/>
          </w:tcPr>
          <w:p>
            <w:pPr>
              <w:jc w:val="right"/>
            </w:pPr>
            <w:r>
              <w:rPr>
                <w:rFonts w:ascii="宋体" w:hAnsi="宋体" w:eastAsia="宋体" w:cs="宋体"/>
                <w:b w:val="0"/>
                <w:i w:val="0"/>
                <w:color w:val="000000"/>
                <w:sz w:val="18"/>
              </w:rPr>
              <w:t>5.50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214.86</w:t>
            </w:r>
          </w:p>
        </w:tc>
        <w:tc>
          <w:tcPr>
            <w:tcW w:w="1420" w:type="dxa"/>
            <w:vAlign w:val="center"/>
          </w:tcPr>
          <w:p>
            <w:pPr>
              <w:jc w:val="right"/>
            </w:pPr>
            <w:r>
              <w:rPr>
                <w:rFonts w:ascii="宋体" w:hAnsi="宋体" w:eastAsia="宋体" w:cs="宋体"/>
                <w:b w:val="0"/>
                <w:i w:val="0"/>
                <w:color w:val="000000"/>
                <w:sz w:val="18"/>
              </w:rPr>
              <w:t>214.86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10.71</w:t>
            </w:r>
          </w:p>
        </w:tc>
        <w:tc>
          <w:tcPr>
            <w:tcW w:w="1420" w:type="dxa"/>
            <w:vAlign w:val="center"/>
          </w:tcPr>
          <w:p>
            <w:pPr>
              <w:jc w:val="right"/>
            </w:pPr>
            <w:r>
              <w:rPr>
                <w:rFonts w:ascii="宋体" w:hAnsi="宋体" w:eastAsia="宋体" w:cs="宋体"/>
                <w:b w:val="0"/>
                <w:i w:val="0"/>
                <w:color w:val="000000"/>
                <w:sz w:val="18"/>
              </w:rPr>
              <w:t>10.71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293.76</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293.76</w:t>
            </w:r>
          </w:p>
        </w:tc>
        <w:tc>
          <w:tcPr>
            <w:tcW w:w="1420" w:type="dxa"/>
            <w:vAlign w:val="center"/>
          </w:tcPr>
          <w:p>
            <w:pPr>
              <w:jc w:val="right"/>
            </w:pPr>
            <w:r>
              <w:rPr>
                <w:rFonts w:ascii="宋体" w:hAnsi="宋体" w:eastAsia="宋体" w:cs="宋体"/>
                <w:b w:val="0"/>
                <w:i w:val="0"/>
                <w:color w:val="000000"/>
                <w:sz w:val="18"/>
              </w:rPr>
              <w:t>293.76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293.76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293.76</w:t>
            </w:r>
          </w:p>
        </w:tc>
        <w:tc>
          <w:tcPr>
            <w:tcW w:w="1420" w:type="dxa"/>
            <w:vAlign w:val="center"/>
          </w:tcPr>
          <w:p>
            <w:pPr>
              <w:jc w:val="right"/>
            </w:pPr>
            <w:r>
              <w:rPr>
                <w:rFonts w:ascii="宋体" w:hAnsi="宋体" w:eastAsia="宋体" w:cs="宋体"/>
                <w:b w:val="0"/>
                <w:i w:val="0"/>
                <w:color w:val="000000"/>
                <w:sz w:val="18"/>
              </w:rPr>
              <w:t>293.76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单位：许昌市植保植检站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293.76</w:t>
            </w:r>
          </w:p>
        </w:tc>
        <w:tc>
          <w:tcPr>
            <w:tcW w:w="2700" w:type="dxa"/>
            <w:vAlign w:val="center"/>
          </w:tcPr>
          <w:p>
            <w:pPr>
              <w:jc w:val="right"/>
            </w:pPr>
            <w:r>
              <w:rPr>
                <w:rFonts w:ascii="宋体" w:hAnsi="宋体" w:eastAsia="宋体" w:cs="宋体"/>
                <w:b/>
                <w:i w:val="0"/>
                <w:color w:val="000000"/>
                <w:sz w:val="25"/>
              </w:rPr>
              <w:t>250.76</w:t>
            </w:r>
          </w:p>
        </w:tc>
        <w:tc>
          <w:tcPr>
            <w:tcW w:w="2658" w:type="dxa"/>
            <w:vAlign w:val="center"/>
          </w:tcPr>
          <w:p>
            <w:pPr>
              <w:jc w:val="right"/>
            </w:pPr>
            <w:r>
              <w:rPr>
                <w:rFonts w:ascii="宋体" w:hAnsi="宋体" w:eastAsia="宋体" w:cs="宋体"/>
                <w:b/>
                <w:i w:val="0"/>
                <w:color w:val="000000"/>
                <w:sz w:val="25"/>
              </w:rPr>
              <w:t>43.00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1.26</w:t>
            </w:r>
          </w:p>
        </w:tc>
        <w:tc>
          <w:tcPr>
            <w:tcW w:w="2700" w:type="dxa"/>
            <w:vAlign w:val="center"/>
          </w:tcPr>
          <w:p>
            <w:pPr>
              <w:jc w:val="right"/>
            </w:pPr>
            <w:r>
              <w:rPr>
                <w:rFonts w:ascii="宋体" w:hAnsi="宋体" w:eastAsia="宋体" w:cs="宋体"/>
                <w:b w:val="0"/>
                <w:i w:val="0"/>
                <w:color w:val="000000"/>
                <w:sz w:val="25"/>
              </w:rPr>
              <w:t>1.26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1.26</w:t>
            </w:r>
          </w:p>
        </w:tc>
        <w:tc>
          <w:tcPr>
            <w:tcW w:w="2700" w:type="dxa"/>
            <w:vAlign w:val="center"/>
          </w:tcPr>
          <w:p>
            <w:pPr>
              <w:jc w:val="right"/>
            </w:pPr>
            <w:r>
              <w:rPr>
                <w:rFonts w:ascii="宋体" w:hAnsi="宋体" w:eastAsia="宋体" w:cs="宋体"/>
                <w:b w:val="0"/>
                <w:i w:val="0"/>
                <w:color w:val="000000"/>
                <w:sz w:val="25"/>
              </w:rPr>
              <w:t>1.26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1.26</w:t>
            </w:r>
          </w:p>
        </w:tc>
        <w:tc>
          <w:tcPr>
            <w:tcW w:w="2700" w:type="dxa"/>
            <w:vAlign w:val="center"/>
          </w:tcPr>
          <w:p>
            <w:pPr>
              <w:jc w:val="right"/>
            </w:pPr>
            <w:r>
              <w:rPr>
                <w:rFonts w:ascii="宋体" w:hAnsi="宋体" w:eastAsia="宋体" w:cs="宋体"/>
                <w:b w:val="0"/>
                <w:i w:val="0"/>
                <w:color w:val="000000"/>
                <w:sz w:val="25"/>
              </w:rPr>
              <w:t>1.26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61.44</w:t>
            </w:r>
          </w:p>
        </w:tc>
        <w:tc>
          <w:tcPr>
            <w:tcW w:w="2700" w:type="dxa"/>
            <w:vAlign w:val="center"/>
          </w:tcPr>
          <w:p>
            <w:pPr>
              <w:jc w:val="right"/>
            </w:pPr>
            <w:r>
              <w:rPr>
                <w:rFonts w:ascii="宋体" w:hAnsi="宋体" w:eastAsia="宋体" w:cs="宋体"/>
                <w:b w:val="0"/>
                <w:i w:val="0"/>
                <w:color w:val="000000"/>
                <w:sz w:val="25"/>
              </w:rPr>
              <w:t>61.44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49.62</w:t>
            </w:r>
          </w:p>
        </w:tc>
        <w:tc>
          <w:tcPr>
            <w:tcW w:w="2700" w:type="dxa"/>
            <w:vAlign w:val="center"/>
          </w:tcPr>
          <w:p>
            <w:pPr>
              <w:jc w:val="right"/>
            </w:pPr>
            <w:r>
              <w:rPr>
                <w:rFonts w:ascii="宋体" w:hAnsi="宋体" w:eastAsia="宋体" w:cs="宋体"/>
                <w:b w:val="0"/>
                <w:i w:val="0"/>
                <w:color w:val="000000"/>
                <w:sz w:val="25"/>
              </w:rPr>
              <w:t>49.62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37.21</w:t>
            </w:r>
          </w:p>
        </w:tc>
        <w:tc>
          <w:tcPr>
            <w:tcW w:w="2700" w:type="dxa"/>
            <w:vAlign w:val="center"/>
          </w:tcPr>
          <w:p>
            <w:pPr>
              <w:jc w:val="right"/>
            </w:pPr>
            <w:r>
              <w:rPr>
                <w:rFonts w:ascii="宋体" w:hAnsi="宋体" w:eastAsia="宋体" w:cs="宋体"/>
                <w:b w:val="0"/>
                <w:i w:val="0"/>
                <w:color w:val="000000"/>
                <w:sz w:val="25"/>
              </w:rPr>
              <w:t>37.21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12.41</w:t>
            </w:r>
          </w:p>
        </w:tc>
        <w:tc>
          <w:tcPr>
            <w:tcW w:w="2700" w:type="dxa"/>
            <w:vAlign w:val="center"/>
          </w:tcPr>
          <w:p>
            <w:pPr>
              <w:jc w:val="right"/>
            </w:pPr>
            <w:r>
              <w:rPr>
                <w:rFonts w:ascii="宋体" w:hAnsi="宋体" w:eastAsia="宋体" w:cs="宋体"/>
                <w:b w:val="0"/>
                <w:i w:val="0"/>
                <w:color w:val="000000"/>
                <w:sz w:val="25"/>
              </w:rPr>
              <w:t>12.41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11.82</w:t>
            </w:r>
          </w:p>
        </w:tc>
        <w:tc>
          <w:tcPr>
            <w:tcW w:w="2700" w:type="dxa"/>
            <w:vAlign w:val="center"/>
          </w:tcPr>
          <w:p>
            <w:pPr>
              <w:jc w:val="right"/>
            </w:pPr>
            <w:r>
              <w:rPr>
                <w:rFonts w:ascii="宋体" w:hAnsi="宋体" w:eastAsia="宋体" w:cs="宋体"/>
                <w:b w:val="0"/>
                <w:i w:val="0"/>
                <w:color w:val="000000"/>
                <w:sz w:val="25"/>
              </w:rPr>
              <w:t>11.82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11.82</w:t>
            </w:r>
          </w:p>
        </w:tc>
        <w:tc>
          <w:tcPr>
            <w:tcW w:w="2700" w:type="dxa"/>
            <w:vAlign w:val="center"/>
          </w:tcPr>
          <w:p>
            <w:pPr>
              <w:jc w:val="right"/>
            </w:pPr>
            <w:r>
              <w:rPr>
                <w:rFonts w:ascii="宋体" w:hAnsi="宋体" w:eastAsia="宋体" w:cs="宋体"/>
                <w:b w:val="0"/>
                <w:i w:val="0"/>
                <w:color w:val="000000"/>
                <w:sz w:val="25"/>
              </w:rPr>
              <w:t>11.82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5.50</w:t>
            </w:r>
          </w:p>
        </w:tc>
        <w:tc>
          <w:tcPr>
            <w:tcW w:w="2700" w:type="dxa"/>
            <w:vAlign w:val="center"/>
          </w:tcPr>
          <w:p>
            <w:pPr>
              <w:jc w:val="right"/>
            </w:pPr>
            <w:r>
              <w:rPr>
                <w:rFonts w:ascii="宋体" w:hAnsi="宋体" w:eastAsia="宋体" w:cs="宋体"/>
                <w:b w:val="0"/>
                <w:i w:val="0"/>
                <w:color w:val="000000"/>
                <w:sz w:val="25"/>
              </w:rPr>
              <w:t>5.50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5.50</w:t>
            </w:r>
          </w:p>
        </w:tc>
        <w:tc>
          <w:tcPr>
            <w:tcW w:w="2700" w:type="dxa"/>
            <w:vAlign w:val="center"/>
          </w:tcPr>
          <w:p>
            <w:pPr>
              <w:jc w:val="right"/>
            </w:pPr>
            <w:r>
              <w:rPr>
                <w:rFonts w:ascii="宋体" w:hAnsi="宋体" w:eastAsia="宋体" w:cs="宋体"/>
                <w:b w:val="0"/>
                <w:i w:val="0"/>
                <w:color w:val="000000"/>
                <w:sz w:val="25"/>
              </w:rPr>
              <w:t>5.50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5.50</w:t>
            </w:r>
          </w:p>
        </w:tc>
        <w:tc>
          <w:tcPr>
            <w:tcW w:w="2700" w:type="dxa"/>
            <w:vAlign w:val="center"/>
          </w:tcPr>
          <w:p>
            <w:pPr>
              <w:jc w:val="right"/>
            </w:pPr>
            <w:r>
              <w:rPr>
                <w:rFonts w:ascii="宋体" w:hAnsi="宋体" w:eastAsia="宋体" w:cs="宋体"/>
                <w:b w:val="0"/>
                <w:i w:val="0"/>
                <w:color w:val="000000"/>
                <w:sz w:val="25"/>
              </w:rPr>
              <w:t>5.50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214.86</w:t>
            </w:r>
          </w:p>
        </w:tc>
        <w:tc>
          <w:tcPr>
            <w:tcW w:w="2700" w:type="dxa"/>
            <w:vAlign w:val="center"/>
          </w:tcPr>
          <w:p>
            <w:pPr>
              <w:jc w:val="right"/>
            </w:pPr>
            <w:r>
              <w:rPr>
                <w:rFonts w:ascii="宋体" w:hAnsi="宋体" w:eastAsia="宋体" w:cs="宋体"/>
                <w:b w:val="0"/>
                <w:i w:val="0"/>
                <w:color w:val="000000"/>
                <w:sz w:val="25"/>
              </w:rPr>
              <w:t>171.86</w:t>
            </w:r>
          </w:p>
        </w:tc>
        <w:tc>
          <w:tcPr>
            <w:tcW w:w="2658" w:type="dxa"/>
            <w:vAlign w:val="center"/>
          </w:tcPr>
          <w:p>
            <w:pPr>
              <w:jc w:val="right"/>
            </w:pPr>
            <w:r>
              <w:rPr>
                <w:rFonts w:ascii="宋体" w:hAnsi="宋体" w:eastAsia="宋体" w:cs="宋体"/>
                <w:b w:val="0"/>
                <w:i w:val="0"/>
                <w:color w:val="000000"/>
                <w:sz w:val="25"/>
              </w:rPr>
              <w:t>43.00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214.86</w:t>
            </w:r>
          </w:p>
        </w:tc>
        <w:tc>
          <w:tcPr>
            <w:tcW w:w="2700" w:type="dxa"/>
            <w:vAlign w:val="center"/>
          </w:tcPr>
          <w:p>
            <w:pPr>
              <w:jc w:val="right"/>
            </w:pPr>
            <w:r>
              <w:rPr>
                <w:rFonts w:ascii="宋体" w:hAnsi="宋体" w:eastAsia="宋体" w:cs="宋体"/>
                <w:b w:val="0"/>
                <w:i w:val="0"/>
                <w:color w:val="000000"/>
                <w:sz w:val="25"/>
              </w:rPr>
              <w:t>171.86</w:t>
            </w:r>
          </w:p>
        </w:tc>
        <w:tc>
          <w:tcPr>
            <w:tcW w:w="2658" w:type="dxa"/>
            <w:vAlign w:val="center"/>
          </w:tcPr>
          <w:p>
            <w:pPr>
              <w:jc w:val="right"/>
            </w:pPr>
            <w:r>
              <w:rPr>
                <w:rFonts w:ascii="宋体" w:hAnsi="宋体" w:eastAsia="宋体" w:cs="宋体"/>
                <w:b w:val="0"/>
                <w:i w:val="0"/>
                <w:color w:val="000000"/>
                <w:sz w:val="25"/>
              </w:rPr>
              <w:t>43.00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171.86</w:t>
            </w:r>
          </w:p>
        </w:tc>
        <w:tc>
          <w:tcPr>
            <w:tcW w:w="2700" w:type="dxa"/>
            <w:vAlign w:val="center"/>
          </w:tcPr>
          <w:p>
            <w:pPr>
              <w:jc w:val="right"/>
            </w:pPr>
            <w:r>
              <w:rPr>
                <w:rFonts w:ascii="宋体" w:hAnsi="宋体" w:eastAsia="宋体" w:cs="宋体"/>
                <w:b w:val="0"/>
                <w:i w:val="0"/>
                <w:color w:val="000000"/>
                <w:sz w:val="25"/>
              </w:rPr>
              <w:t>171.86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2130108</w:t>
            </w:r>
          </w:p>
        </w:tc>
        <w:tc>
          <w:tcPr>
            <w:tcW w:w="4700" w:type="dxa"/>
            <w:vAlign w:val="center"/>
          </w:tcPr>
          <w:p>
            <w:pPr>
              <w:jc w:val="left"/>
            </w:pPr>
            <w:r>
              <w:rPr>
                <w:rFonts w:ascii="宋体" w:hAnsi="宋体" w:eastAsia="宋体" w:cs="宋体"/>
                <w:b w:val="0"/>
                <w:i w:val="0"/>
                <w:color w:val="000000"/>
                <w:sz w:val="25"/>
              </w:rPr>
              <w:t>病虫害控制</w:t>
            </w:r>
          </w:p>
        </w:tc>
        <w:tc>
          <w:tcPr>
            <w:tcW w:w="2700" w:type="dxa"/>
            <w:vAlign w:val="center"/>
          </w:tcPr>
          <w:p>
            <w:pPr>
              <w:jc w:val="right"/>
            </w:pPr>
            <w:r>
              <w:rPr>
                <w:rFonts w:ascii="宋体" w:hAnsi="宋体" w:eastAsia="宋体" w:cs="宋体"/>
                <w:b w:val="0"/>
                <w:i w:val="0"/>
                <w:color w:val="000000"/>
                <w:sz w:val="25"/>
              </w:rPr>
              <w:t>43.00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43.00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10.71</w:t>
            </w:r>
          </w:p>
        </w:tc>
        <w:tc>
          <w:tcPr>
            <w:tcW w:w="2700" w:type="dxa"/>
            <w:vAlign w:val="center"/>
          </w:tcPr>
          <w:p>
            <w:pPr>
              <w:jc w:val="right"/>
            </w:pPr>
            <w:r>
              <w:rPr>
                <w:rFonts w:ascii="宋体" w:hAnsi="宋体" w:eastAsia="宋体" w:cs="宋体"/>
                <w:b w:val="0"/>
                <w:i w:val="0"/>
                <w:color w:val="000000"/>
                <w:sz w:val="25"/>
              </w:rPr>
              <w:t>10.71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10.71</w:t>
            </w:r>
          </w:p>
        </w:tc>
        <w:tc>
          <w:tcPr>
            <w:tcW w:w="2700" w:type="dxa"/>
            <w:vAlign w:val="center"/>
          </w:tcPr>
          <w:p>
            <w:pPr>
              <w:jc w:val="right"/>
            </w:pPr>
            <w:r>
              <w:rPr>
                <w:rFonts w:ascii="宋体" w:hAnsi="宋体" w:eastAsia="宋体" w:cs="宋体"/>
                <w:b w:val="0"/>
                <w:i w:val="0"/>
                <w:color w:val="000000"/>
                <w:sz w:val="25"/>
              </w:rPr>
              <w:t>10.71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10.71</w:t>
            </w:r>
          </w:p>
        </w:tc>
        <w:tc>
          <w:tcPr>
            <w:tcW w:w="2700" w:type="dxa"/>
            <w:vAlign w:val="center"/>
          </w:tcPr>
          <w:p>
            <w:pPr>
              <w:jc w:val="right"/>
            </w:pPr>
            <w:r>
              <w:rPr>
                <w:rFonts w:ascii="宋体" w:hAnsi="宋体" w:eastAsia="宋体" w:cs="宋体"/>
                <w:b w:val="0"/>
                <w:i w:val="0"/>
                <w:color w:val="000000"/>
                <w:sz w:val="25"/>
              </w:rPr>
              <w:t>10.71</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单位：许昌市植保植检站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189.61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12.13</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45.93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2.13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65.65</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0.12</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12.20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0.34</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26.51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0.21</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13.92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1.05</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0.75</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0.72</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6.19</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0.92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3.31</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12.58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4.96</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49.02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37.21</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11.82</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0.31</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1.26</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1.56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0.89</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238.63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12.13</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单位：许昌市植保植检站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单位：许昌市植保植检站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单位：许昌市植保植检站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0.89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0.89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0.89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0.89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0.89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0.89</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2023年度收、支总计均为293.76万元。与上年度相比，收、支总计各增加10.34万元，增长3.65%。主要原因是本年度人员晋级晋档，社保基数调整等。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293.76万元，其中：财政拨款收入293.76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2023年度支出合计293.76万元，其中：基本支出250.76万元，占85.36%；项目支出43.00万元，占14.64%；上缴上级支出0.00万元，占0.00%；经营支出0.00万元，占0.00%；对附属单位补助支出0.00万元，占0.00%。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2023年度财政拨款收、支总计均为293.76万元。与上年度相比，财政拨款收、支总计各增加10.36万元，增长3.66%。主要原因是本年度人员晋级晋档，社保基数调整等。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2023年度一般公共预算财政拨款支出293.76万元，占支出合计的100.00%。与上年度相比，一般公共预算财政拨款支出增加10.36万元，增长3.66%。主要原因是本年度人员晋级晋档，社保基数调整等。</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293.76万元，主要用于以下方面：一般公共服务支出（类）1.26万元，占0.43%；社会保障和就业支出（类）61.43万元，占20.91%；卫生健康支出（类）5.50万元，占1.87%；农林水支出（类）214.86万元，占73.14%；住房保障支出（类）10.71万元，占3.65%。</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2023年度一般公共预算财政拨款支出年初预算为249.44万元，支出决算为293.76万元，完成年初预算的117.77%。其中：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年初预算数为1.26万元，决算数1.26万元,完成年初预算的100.00%，决算数与年初预算数不存在差异。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年初预算数为37.05万元，决算数37.21万元,完成年初预算的100.43%，决算数与年初预算数存在差异的主要原因是本年度年中退休人员补贴发生调整。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年初预算数为13.78万元，决算数12.41万元,完成年初预算的90.06%，决算数与年初预算数存在差异的主要原因是本年度新增加一名退休人员，养老医疗保险等支出减少。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4.社会保障和就业支出（类）抚恤（款）死亡抚恤（项）</w:t>
      </w:r>
      <w:r>
        <w:rPr>
          <w:rFonts w:hint="default" w:ascii="仿宋" w:hAnsi="仿宋" w:eastAsia="仿宋" w:cs="仿宋"/>
          <w:kern w:val="2"/>
          <w:sz w:val="32"/>
          <w:szCs w:val="32"/>
          <w:lang w:val="en-US" w:eastAsia="zh-CN"/>
        </w:rPr>
        <w:t>年初预算数为0.00万元，决算数11.82万元,决算数与年初预算数存在差异的主要原因是本年度存在去世人员二名。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年初预算数为6.67万元，决算数5.50万元,完成年初预算的82.46%，决算数与年初预算数存在差异的主要原因是本年度新增加一名退休人员，养老医疗保险等支出减少。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6.农林水支出（类）农业农村（款）事业运行（项）</w:t>
      </w:r>
      <w:r>
        <w:rPr>
          <w:rFonts w:hint="default" w:ascii="仿宋" w:hAnsi="仿宋" w:eastAsia="仿宋" w:cs="仿宋"/>
          <w:kern w:val="2"/>
          <w:sz w:val="32"/>
          <w:szCs w:val="32"/>
          <w:lang w:val="en-US" w:eastAsia="zh-CN"/>
        </w:rPr>
        <w:t>年初预算数为177.96万元，决算数171.86万元,完成年初预算的96.57%，决算数与年初预算数存在差异的主要原因是本年度新增加一名退休人员，养老医疗保险等支出减少。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7.农林水支出（类）农业农村（款）病虫害控制（项）</w:t>
      </w:r>
      <w:r>
        <w:rPr>
          <w:rFonts w:hint="default" w:ascii="仿宋" w:hAnsi="仿宋" w:eastAsia="仿宋" w:cs="仿宋"/>
          <w:kern w:val="2"/>
          <w:sz w:val="32"/>
          <w:szCs w:val="32"/>
          <w:lang w:val="en-US" w:eastAsia="zh-CN"/>
        </w:rPr>
        <w:t>年初预算数为0.00万元，决算数43.00万元,决算数与年初预算数存在差异的主要原因是年初无预算，该项目属于上级财政拨款项目资金。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年初预算数为12.71万元，决算数10.71万元,完成年初预算的84.26%，决算数与年初预算数存在差异的主要原因是本年度新增加一名退休人员，住房公积金等支出减少。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250.76万元。其中：人员经费238.63万元，主要包括：基本工资、津贴补贴、奖金、绩效工资、机关事业单位基本养老保险缴费、职业年金缴费、职工基本医疗保险缴费、其他社会保障缴费、住房公积金、其他工资福利支出、退休费、抚恤金。公用经费12.13万元，主要包括：办公费、印刷费、咨询费、水费、电费、邮电费、差旅费、维修（护）费、培训费、劳务费、工会经费、福利费、公务用车运行维护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2023年度“三公”经费财政拨款支出预算为0.89万元，支出决算为0.89万元，完成预算的100.00%。2023年度“三公”经费支出决算数与预算数无差异。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0.89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预算为0.89万元，支出决算为0.89万元，完成预算的100.00%。决算数与预算数无差异。其中：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0.89万元。主要用于主要用于支付我单位下乡公务用车日常维修维护，加油和公车保险费。2023年期末，单位开支财政拨款的公务用车保有量为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涉及预算资金293.76万元。自评得分为100分，等级为“优”。从单位整体自评情况来看，我单位资金把控良好，单位整体任务完成及时，预期任务目标全部完成。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基于项目预期目标的实现程度，我单位对2023年度单位预算项目支出（含单位参与分配的转移支付项目）开展绩效自评，涉及项目2个，项目金额43万元。其中：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农作物病虫害防治，项目金额30万元，自评得分为94.68分，等级为“优”。该项目主要是保证农作物损失减少，通过使用防治资金，用于支持组织实施重大病虫疫情监测预警与统防统治，最大限度挽回因病虫危害造成的粮食减产，自评发现的问题；1.市、县测报专业人员少，经费少，一人担任多项职责，导致测报工作步步维艰。2.秋物种类多，病虫综合防治能力和统防统治能力有待进一步提高。下一步改进；1.增强技术力量，稳定测报队伍，开展专业技术培训，培养技术中坚。2.加快推进统防统治和绿色防控相融合工作，有效解决农药使用提效控量，确保农产品质量安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中央财政农业防灾减灾补助资金，自评得分为94.68，等级为“优”。下半年，在各级领导和上级业务部门的重视、支持和指导下，我市认真贯彻“科学植保、公共植保、绿色植保”理念，以农业稳定发展、农民持续增收为目标，探索农药科学减量使用，保障农业生产安全为宗旨，努力搞好业务工作，广泛宣传培训，认真试验示范，圆满完成了各项目标任务，病虫害测报防治工作成效显著。自评发现的问题；1.市、县测报专业人员少，经费少，一人担任多项职责，导致测报工作步步维艰。2.秋物种类多，病虫综合防治能力和统防统治能力有待进一步提高。下一步改进；1.增强技术力量，稳定测报队伍，开展专业技术培训，培养技术中坚。2.加快推进统防统治和绿色防控相融合工作，有效解决农药使用提效控量，确保农产品质量安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从项目绩效自评情况来看，我单位对项目的工作成果认真分析比对，项目实施工作成果达到预期，能顺利实现预期工作目标绩效总目标。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
        <w:gridCol w:w="1301"/>
        <w:gridCol w:w="227"/>
        <w:gridCol w:w="227"/>
        <w:gridCol w:w="1269"/>
        <w:gridCol w:w="1020"/>
        <w:gridCol w:w="976"/>
        <w:gridCol w:w="617"/>
        <w:gridCol w:w="617"/>
        <w:gridCol w:w="851"/>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许昌市植保植检站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293.76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293.76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继续做好小麦条锈病、赤霉病、草地贪夜蛾、粘虫等重大病虫害监测预报，谋划建设好“襄城县农作物病虫疫情田间监测点项目”，及时发布趋势预报和防治警报，全市适时发布病虫情报100期次左右（其中市站18期以上），准确率达到85%以上；科学指导群众开展防治，在重大病虫发生防治的关键时期，强化多种形式的宣传培训，使全市重大病虫应急防控处置率达到85%以上，病虫危害损失控制在5%以内；二是继续摸清专业化服务组织和农药器械底数，稳定专业化防治队伍，在用新型植保机械保持在300台/架以上。全市建立各类防控示范区5个以上，核心示范面积2万亩以上，提升病虫害科学防控技术水平，有效控制化学农药使用量；三是争取财政资金支持力度，继续引入推广植保社会化服务智慧监管平台的应用，使监管更加科学、精确，为助推现代农业和乡村振兴战略更高更快发展做出了贡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在各级领导和上级业务部门的高度重视和大力支持下，全市植保人履职尽责，克服疫情困难，认真贯彻“公共植保、绿色植保、科学植保”理念，按照乡村振兴战略总要求，加大重大病虫害监测，及时发布防治预警，广泛宣传指导防治，深入开展农药使用减量控害增效行动，大力推进统防统治与绿色防控有机融合，同时做好植物检疫等工作，为粮食生产安全做出了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建立农业、气象会商交流机制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前由我站牵头组建了农业、气象、农技、种子、科研院所等相关部门临时交流会商机构，通过数据、技术共享，互通有无，提升了病虫预报准确率，使病虫预测和指导防治更加准确科学，此交流机制已成为植保部门每年固定动态，并走在全省前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前由我站牵头组建了农业、气象、农技、种子、科研院所等相关部门临时交流会商机构，通过数据、技术共享，互通有无，提升了病虫预报准确率，使病虫预测和指导防治更加准确科学，此交流机制已成为植保部门每年固定动态，并走在全省前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推广植保新技术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推广植保新技术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掌握病虫应急防治能力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有效掌控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2"/>
        <w:sectPr>
          <w:pgSz w:w="11906" w:h="16838"/>
          <w:pgMar w:top="1440" w:right="1800" w:bottom="1440" w:left="180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1"/>
        <w:gridCol w:w="416"/>
        <w:gridCol w:w="1288"/>
        <w:gridCol w:w="886"/>
        <w:gridCol w:w="1718"/>
        <w:gridCol w:w="1020"/>
        <w:gridCol w:w="886"/>
        <w:gridCol w:w="663"/>
        <w:gridCol w:w="618"/>
        <w:gridCol w:w="2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2"/>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农作物病虫害防治（上级配套支出）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许昌市农业农村局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许昌市植保植检站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en-AU"/>
              </w:rPr>
              <w:t xml:space="preserve"> </w:t>
            </w:r>
            <w:r>
              <w:rPr>
                <w:rStyle w:val="15"/>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绩效管理情况合理合规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2"/>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通过使用防治资金，用于支持组织实施重大病虫疫情监测预警与统防统治，最大限度挽回因病虫危害造成的粮食减产。</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2"/>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通过使用防治资金，用于支持组织实施重大病虫疫情监测预警与统防统治，最大限度挽回因病虫危害造成的粮食减产。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农作物病虫害防治成本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重大病虫监测与防控面积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≥6.67万亩次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3.12万亩次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6.67万亩次为全市100资金年度指标值，我单位承担30万资金，年度指标值为≥2万亩次。我单位实际完成3.12万亩次。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用于农作物病虫害测报防治相关支出的比例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病虫草害防控效果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有效遏制暴发流行成灾，减少病虫粮食损失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小麦单产减幅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资金使用无重大违纪问题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病虫害造成的产量损失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减轻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w:t>
            </w:r>
            <w:bookmarkStart w:id="0" w:name="_GoBack"/>
            <w:bookmarkEnd w:id="0"/>
            <w:r>
              <w:rPr>
                <w:rFonts w:hint="eastAsia" w:ascii="宋体" w:hAnsi="宋体" w:eastAsia="宋体" w:cs="宋体"/>
                <w:i w:val="0"/>
                <w:iCs w:val="0"/>
                <w:color w:val="000000"/>
                <w:kern w:val="0"/>
                <w:sz w:val="24"/>
                <w:szCs w:val="24"/>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指导服务对象满意度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bl>
    <w:p>
      <w:pPr>
        <w:pStyle w:val="12"/>
      </w:pPr>
    </w:p>
    <w:p>
      <w:pPr>
        <w:pStyle w:val="12"/>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1"/>
        <w:gridCol w:w="416"/>
        <w:gridCol w:w="1288"/>
        <w:gridCol w:w="886"/>
        <w:gridCol w:w="1718"/>
        <w:gridCol w:w="1020"/>
        <w:gridCol w:w="886"/>
        <w:gridCol w:w="663"/>
        <w:gridCol w:w="618"/>
        <w:gridCol w:w="2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2"/>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2023年中央财政农业防灾减灾补助资金（农作物重大病虫害防控）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许昌市农业农村局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许昌市植保植检站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en-AU"/>
              </w:rPr>
              <w:t xml:space="preserve"> </w:t>
            </w:r>
            <w:r>
              <w:rPr>
                <w:rStyle w:val="15"/>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绩效管理情况合理合规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2"/>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通过使用防治资金，用于支持组织实施重大病虫疫情检测预警与统防统治，最大限度挽回因病虫危害造成的粮食减产。</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2"/>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通过使用防治资金，用于支持组织实施重大病虫疫情监测预警与统防统治，最大限度挽回因病虫危害造成的粮食减产。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农作物病虫害防治成本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重大病虫监测与防控面积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≥6.67万亩次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3.12万亩次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6.67万亩次为全市100资金年度指标值，我单位承担13万资金，年度指标值为≥2万亩次。我单位实际完成3.12万亩次。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用于农作物病虫害测报防治相关支出的比例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病虫草害防控效果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有效遏制暴发流行成灾，减少病虫粮食损失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小麦单产减幅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资金使用无重大违纪问题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病虫害造成的产量损失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减轻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指导服务对象满意度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24"/>
                <w:szCs w:val="24"/>
                <w:u w:val="none"/>
              </w:rPr>
            </w:pPr>
          </w:p>
        </w:tc>
      </w:tr>
    </w:tbl>
    <w:p>
      <w:pPr>
        <w:pStyle w:val="12"/>
        <w:sectPr>
          <w:pgSz w:w="11906" w:h="16838"/>
          <w:pgMar w:top="720" w:right="720" w:bottom="720" w:left="72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mI1uN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67DD7"/>
    <w:multiLevelType w:val="multilevel"/>
    <w:tmpl w:val="D6767DD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B2B16F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588adae3-44f4-419f-ac94-487218d4f72e"/>
    <w:next w:val="2"/>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Normal_49020889-ac03-41b8-89f2-0a211d536383"/>
    <w:qFormat/>
    <w:uiPriority w:val="0"/>
    <w:pPr>
      <w:widowControl w:val="0"/>
      <w:jc w:val="both"/>
    </w:pPr>
    <w:rPr>
      <w:rFonts w:ascii="Calibri" w:hAnsi="Calibri" w:eastAsia="宋体" w:cs="Times New Roman"/>
      <w:kern w:val="2"/>
      <w:sz w:val="21"/>
      <w:szCs w:val="24"/>
      <w:lang w:val="en-US" w:eastAsia="zh-CN" w:bidi="ar-SA"/>
    </w:rPr>
  </w:style>
  <w:style w:type="character" w:customStyle="1" w:styleId="13">
    <w:name w:val="默认段落字体1"/>
    <w:semiHidden/>
    <w:qFormat/>
    <w:uiPriority w:val="0"/>
  </w:style>
  <w:style w:type="character" w:customStyle="1" w:styleId="14">
    <w:name w:val="font21"/>
    <w:basedOn w:val="13"/>
    <w:qFormat/>
    <w:uiPriority w:val="0"/>
    <w:rPr>
      <w:rFonts w:hint="eastAsia" w:ascii="宋体" w:hAnsi="宋体" w:eastAsia="宋体" w:cs="宋体"/>
      <w:color w:val="000000"/>
      <w:sz w:val="24"/>
      <w:szCs w:val="24"/>
      <w:u w:val="none"/>
    </w:rPr>
  </w:style>
  <w:style w:type="character" w:customStyle="1" w:styleId="15">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being</cp:lastModifiedBy>
  <dcterms:modified xsi:type="dcterms:W3CDTF">2024-09-19T16:35:15Z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