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许昌市普通教育教学研究室</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许昌市普通教育教学研究室</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许昌市普通教育教学研究室概况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普通教育教学研究室属许昌市教育局直属二级机构，市编委批准教研室的主要职能是：研究教学理论、课程设置、教学内容、方法、评价等；总结推广教学经验，推动教学改革；组织基层教学研究活动；监控中小学的教师质量，组织教学质量评估和必须的统一命题测试；做好本地教育科研和教学研究课题项目的规划、立项、审定、鉴定工作；指导、管理教学学会各学科、学业研究会的工作；组织编写乡土教材和补充教材。</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许昌市普通教育教学研究室</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办公室、财务室、小学及学前教研部、初中教研部、高中教研部、中改及综评办公室和课题办公室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许昌市普通教育教学研究室</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根据《中共许昌市委机构编制委员会关于印发&lt;许昌市教育科学研究中心职能配置、内设机构和人员编制规定&gt;的通知》（许编〔2022〕90号）要求，2023年初，许昌市普通教育教学研究室、许昌市职业与成人教育教学研究室、许昌市电化教育馆、许昌市中小学教师培训中心四家局属事业单位进行重塑性改革，合并成立了许昌市教育科学研究中心。许昌市教育科学研究中心合并工作于2023年底结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许昌市普通教育教学研究室。</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510.77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22.99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327.23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124.24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12.65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24.10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510.77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511.21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0.45</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511.21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511.21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510.77</w:t>
            </w:r>
          </w:p>
        </w:tc>
        <w:tc>
          <w:tcPr>
            <w:tcW w:w="1440" w:type="dxa"/>
            <w:tcBorders/>
            <w:vAlign w:val="center"/>
          </w:tcPr>
          <w:p>
            <w:pPr>
              <w:jc w:val="right"/>
            </w:pPr>
            <w:r>
              <w:rPr>
                <w:rFonts w:ascii="宋体" w:eastAsia="宋体" w:hAnsi="宋体" w:cs="宋体"/>
                <w:b/>
                <w:i w:val="0"/>
                <w:color w:val="000000"/>
                <w:sz w:val="17"/>
              </w:rPr>
              <w:t xml:space="preserve">510.77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22.99</w:t>
            </w:r>
          </w:p>
        </w:tc>
        <w:tc>
          <w:tcPr>
            <w:tcW w:w="1440" w:type="dxa"/>
            <w:tcBorders/>
            <w:vAlign w:val="center"/>
          </w:tcPr>
          <w:p>
            <w:pPr>
              <w:jc w:val="right"/>
            </w:pPr>
            <w:r>
              <w:rPr>
                <w:rFonts w:ascii="宋体" w:eastAsia="宋体" w:hAnsi="宋体" w:cs="宋体"/>
                <w:b w:val="0"/>
                <w:i w:val="0"/>
                <w:color w:val="000000"/>
                <w:sz w:val="17"/>
              </w:rPr>
              <w:t xml:space="preserve">22.99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2.58</w:t>
            </w:r>
          </w:p>
        </w:tc>
        <w:tc>
          <w:tcPr>
            <w:tcW w:w="1440" w:type="dxa"/>
            <w:tcBorders/>
            <w:vAlign w:val="center"/>
          </w:tcPr>
          <w:p>
            <w:pPr>
              <w:jc w:val="right"/>
            </w:pPr>
            <w:r>
              <w:rPr>
                <w:rFonts w:ascii="宋体" w:eastAsia="宋体" w:hAnsi="宋体" w:cs="宋体"/>
                <w:b w:val="0"/>
                <w:i w:val="0"/>
                <w:color w:val="000000"/>
                <w:sz w:val="17"/>
              </w:rPr>
              <w:t xml:space="preserve">2.58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2.58</w:t>
            </w:r>
          </w:p>
        </w:tc>
        <w:tc>
          <w:tcPr>
            <w:tcW w:w="1440" w:type="dxa"/>
            <w:tcBorders/>
            <w:vAlign w:val="center"/>
          </w:tcPr>
          <w:p>
            <w:pPr>
              <w:jc w:val="right"/>
            </w:pPr>
            <w:r>
              <w:rPr>
                <w:rFonts w:ascii="宋体" w:eastAsia="宋体" w:hAnsi="宋体" w:cs="宋体"/>
                <w:b w:val="0"/>
                <w:i w:val="0"/>
                <w:color w:val="000000"/>
                <w:sz w:val="17"/>
              </w:rPr>
              <w:t xml:space="preserve">2.58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20.41</w:t>
            </w:r>
          </w:p>
        </w:tc>
        <w:tc>
          <w:tcPr>
            <w:tcW w:w="1440" w:type="dxa"/>
            <w:tcBorders/>
            <w:vAlign w:val="center"/>
          </w:tcPr>
          <w:p>
            <w:pPr>
              <w:jc w:val="right"/>
            </w:pPr>
            <w:r>
              <w:rPr>
                <w:rFonts w:ascii="宋体" w:eastAsia="宋体" w:hAnsi="宋体" w:cs="宋体"/>
                <w:b w:val="0"/>
                <w:i w:val="0"/>
                <w:color w:val="000000"/>
                <w:sz w:val="17"/>
              </w:rPr>
              <w:t xml:space="preserve">20.41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20.41</w:t>
            </w:r>
          </w:p>
        </w:tc>
        <w:tc>
          <w:tcPr>
            <w:tcW w:w="1440" w:type="dxa"/>
            <w:tcBorders/>
            <w:vAlign w:val="center"/>
          </w:tcPr>
          <w:p>
            <w:pPr>
              <w:jc w:val="right"/>
            </w:pPr>
            <w:r>
              <w:rPr>
                <w:rFonts w:ascii="宋体" w:eastAsia="宋体" w:hAnsi="宋体" w:cs="宋体"/>
                <w:b w:val="0"/>
                <w:i w:val="0"/>
                <w:color w:val="000000"/>
                <w:sz w:val="17"/>
              </w:rPr>
              <w:t xml:space="preserve">20.41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326.78</w:t>
            </w:r>
          </w:p>
        </w:tc>
        <w:tc>
          <w:tcPr>
            <w:tcW w:w="1440" w:type="dxa"/>
            <w:tcBorders/>
            <w:vAlign w:val="center"/>
          </w:tcPr>
          <w:p>
            <w:pPr>
              <w:jc w:val="right"/>
            </w:pPr>
            <w:r>
              <w:rPr>
                <w:rFonts w:ascii="宋体" w:eastAsia="宋体" w:hAnsi="宋体" w:cs="宋体"/>
                <w:b w:val="0"/>
                <w:i w:val="0"/>
                <w:color w:val="000000"/>
                <w:sz w:val="17"/>
              </w:rPr>
              <w:t xml:space="preserve">326.78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教育管理事务</w:t>
            </w:r>
          </w:p>
        </w:tc>
        <w:tc>
          <w:tcPr>
            <w:tcW w:w="1440" w:type="dxa"/>
            <w:tcBorders/>
            <w:vAlign w:val="center"/>
          </w:tcPr>
          <w:p>
            <w:pPr>
              <w:jc w:val="right"/>
            </w:pPr>
            <w:r>
              <w:rPr>
                <w:rFonts w:ascii="宋体" w:eastAsia="宋体" w:hAnsi="宋体" w:cs="宋体"/>
                <w:b w:val="0"/>
                <w:i w:val="0"/>
                <w:color w:val="000000"/>
                <w:sz w:val="17"/>
              </w:rPr>
              <w:t xml:space="preserve">321.00</w:t>
            </w:r>
          </w:p>
        </w:tc>
        <w:tc>
          <w:tcPr>
            <w:tcW w:w="1440" w:type="dxa"/>
            <w:tcBorders/>
            <w:vAlign w:val="center"/>
          </w:tcPr>
          <w:p>
            <w:pPr>
              <w:jc w:val="right"/>
            </w:pPr>
            <w:r>
              <w:rPr>
                <w:rFonts w:ascii="宋体" w:eastAsia="宋体" w:hAnsi="宋体" w:cs="宋体"/>
                <w:b w:val="0"/>
                <w:i w:val="0"/>
                <w:color w:val="000000"/>
                <w:sz w:val="17"/>
              </w:rPr>
              <w:t xml:space="preserve">321.00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其他教育管理事务支出</w:t>
            </w:r>
          </w:p>
        </w:tc>
        <w:tc>
          <w:tcPr>
            <w:tcW w:w="1440" w:type="dxa"/>
            <w:tcBorders/>
            <w:vAlign w:val="center"/>
          </w:tcPr>
          <w:p>
            <w:pPr>
              <w:jc w:val="right"/>
            </w:pPr>
            <w:r>
              <w:rPr>
                <w:rFonts w:ascii="宋体" w:eastAsia="宋体" w:hAnsi="宋体" w:cs="宋体"/>
                <w:b w:val="0"/>
                <w:i w:val="0"/>
                <w:color w:val="000000"/>
                <w:sz w:val="17"/>
              </w:rPr>
              <w:t xml:space="preserve">321.00</w:t>
            </w:r>
          </w:p>
        </w:tc>
        <w:tc>
          <w:tcPr>
            <w:tcW w:w="1440" w:type="dxa"/>
            <w:tcBorders/>
            <w:vAlign w:val="center"/>
          </w:tcPr>
          <w:p>
            <w:pPr>
              <w:jc w:val="right"/>
            </w:pPr>
            <w:r>
              <w:rPr>
                <w:rFonts w:ascii="宋体" w:eastAsia="宋体" w:hAnsi="宋体" w:cs="宋体"/>
                <w:b w:val="0"/>
                <w:i w:val="0"/>
                <w:color w:val="000000"/>
                <w:sz w:val="17"/>
              </w:rPr>
              <w:t xml:space="preserve">321.00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5.78</w:t>
            </w:r>
          </w:p>
        </w:tc>
        <w:tc>
          <w:tcPr>
            <w:tcW w:w="1440" w:type="dxa"/>
            <w:tcBorders/>
            <w:vAlign w:val="center"/>
          </w:tcPr>
          <w:p>
            <w:pPr>
              <w:jc w:val="right"/>
            </w:pPr>
            <w:r>
              <w:rPr>
                <w:rFonts w:ascii="宋体" w:eastAsia="宋体" w:hAnsi="宋体" w:cs="宋体"/>
                <w:b w:val="0"/>
                <w:i w:val="0"/>
                <w:color w:val="000000"/>
                <w:sz w:val="17"/>
              </w:rPr>
              <w:t xml:space="preserve">5.78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5.78</w:t>
            </w:r>
          </w:p>
        </w:tc>
        <w:tc>
          <w:tcPr>
            <w:tcW w:w="1440" w:type="dxa"/>
            <w:tcBorders/>
            <w:vAlign w:val="center"/>
          </w:tcPr>
          <w:p>
            <w:pPr>
              <w:jc w:val="right"/>
            </w:pPr>
            <w:r>
              <w:rPr>
                <w:rFonts w:ascii="宋体" w:eastAsia="宋体" w:hAnsi="宋体" w:cs="宋体"/>
                <w:b w:val="0"/>
                <w:i w:val="0"/>
                <w:color w:val="000000"/>
                <w:sz w:val="17"/>
              </w:rPr>
              <w:t xml:space="preserve">5.78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124.24</w:t>
            </w:r>
          </w:p>
        </w:tc>
        <w:tc>
          <w:tcPr>
            <w:tcW w:w="1440" w:type="dxa"/>
            <w:tcBorders/>
            <w:vAlign w:val="center"/>
          </w:tcPr>
          <w:p>
            <w:pPr>
              <w:jc w:val="right"/>
            </w:pPr>
            <w:r>
              <w:rPr>
                <w:rFonts w:ascii="宋体" w:eastAsia="宋体" w:hAnsi="宋体" w:cs="宋体"/>
                <w:b w:val="0"/>
                <w:i w:val="0"/>
                <w:color w:val="000000"/>
                <w:sz w:val="17"/>
              </w:rPr>
              <w:t xml:space="preserve">124.24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124.24</w:t>
            </w:r>
          </w:p>
        </w:tc>
        <w:tc>
          <w:tcPr>
            <w:tcW w:w="1440" w:type="dxa"/>
            <w:tcBorders/>
            <w:vAlign w:val="center"/>
          </w:tcPr>
          <w:p>
            <w:pPr>
              <w:jc w:val="right"/>
            </w:pPr>
            <w:r>
              <w:rPr>
                <w:rFonts w:ascii="宋体" w:eastAsia="宋体" w:hAnsi="宋体" w:cs="宋体"/>
                <w:b w:val="0"/>
                <w:i w:val="0"/>
                <w:color w:val="000000"/>
                <w:sz w:val="17"/>
              </w:rPr>
              <w:t xml:space="preserve">124.24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97.81</w:t>
            </w:r>
          </w:p>
        </w:tc>
        <w:tc>
          <w:tcPr>
            <w:tcW w:w="1440" w:type="dxa"/>
            <w:tcBorders/>
            <w:vAlign w:val="center"/>
          </w:tcPr>
          <w:p>
            <w:pPr>
              <w:jc w:val="right"/>
            </w:pPr>
            <w:r>
              <w:rPr>
                <w:rFonts w:ascii="宋体" w:eastAsia="宋体" w:hAnsi="宋体" w:cs="宋体"/>
                <w:b w:val="0"/>
                <w:i w:val="0"/>
                <w:color w:val="000000"/>
                <w:sz w:val="17"/>
              </w:rPr>
              <w:t xml:space="preserve">97.81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26.43</w:t>
            </w:r>
          </w:p>
        </w:tc>
        <w:tc>
          <w:tcPr>
            <w:tcW w:w="1440" w:type="dxa"/>
            <w:tcBorders/>
            <w:vAlign w:val="center"/>
          </w:tcPr>
          <w:p>
            <w:pPr>
              <w:jc w:val="right"/>
            </w:pPr>
            <w:r>
              <w:rPr>
                <w:rFonts w:ascii="宋体" w:eastAsia="宋体" w:hAnsi="宋体" w:cs="宋体"/>
                <w:b w:val="0"/>
                <w:i w:val="0"/>
                <w:color w:val="000000"/>
                <w:sz w:val="17"/>
              </w:rPr>
              <w:t xml:space="preserve">26.43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12.65</w:t>
            </w:r>
          </w:p>
        </w:tc>
        <w:tc>
          <w:tcPr>
            <w:tcW w:w="1440" w:type="dxa"/>
            <w:tcBorders/>
            <w:vAlign w:val="center"/>
          </w:tcPr>
          <w:p>
            <w:pPr>
              <w:jc w:val="right"/>
            </w:pPr>
            <w:r>
              <w:rPr>
                <w:rFonts w:ascii="宋体" w:eastAsia="宋体" w:hAnsi="宋体" w:cs="宋体"/>
                <w:b w:val="0"/>
                <w:i w:val="0"/>
                <w:color w:val="000000"/>
                <w:sz w:val="17"/>
              </w:rPr>
              <w:t xml:space="preserve">12.65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12.65</w:t>
            </w:r>
          </w:p>
        </w:tc>
        <w:tc>
          <w:tcPr>
            <w:tcW w:w="1440" w:type="dxa"/>
            <w:tcBorders/>
            <w:vAlign w:val="center"/>
          </w:tcPr>
          <w:p>
            <w:pPr>
              <w:jc w:val="right"/>
            </w:pPr>
            <w:r>
              <w:rPr>
                <w:rFonts w:ascii="宋体" w:eastAsia="宋体" w:hAnsi="宋体" w:cs="宋体"/>
                <w:b w:val="0"/>
                <w:i w:val="0"/>
                <w:color w:val="000000"/>
                <w:sz w:val="17"/>
              </w:rPr>
              <w:t xml:space="preserve">12.65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12.65</w:t>
            </w:r>
          </w:p>
        </w:tc>
        <w:tc>
          <w:tcPr>
            <w:tcW w:w="1440" w:type="dxa"/>
            <w:tcBorders/>
            <w:vAlign w:val="center"/>
          </w:tcPr>
          <w:p>
            <w:pPr>
              <w:jc w:val="right"/>
            </w:pPr>
            <w:r>
              <w:rPr>
                <w:rFonts w:ascii="宋体" w:eastAsia="宋体" w:hAnsi="宋体" w:cs="宋体"/>
                <w:b w:val="0"/>
                <w:i w:val="0"/>
                <w:color w:val="000000"/>
                <w:sz w:val="17"/>
              </w:rPr>
              <w:t xml:space="preserve">12.65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24.10</w:t>
            </w:r>
          </w:p>
        </w:tc>
        <w:tc>
          <w:tcPr>
            <w:tcW w:w="1440" w:type="dxa"/>
            <w:tcBorders/>
            <w:vAlign w:val="center"/>
          </w:tcPr>
          <w:p>
            <w:pPr>
              <w:jc w:val="right"/>
            </w:pPr>
            <w:r>
              <w:rPr>
                <w:rFonts w:ascii="宋体" w:eastAsia="宋体" w:hAnsi="宋体" w:cs="宋体"/>
                <w:b w:val="0"/>
                <w:i w:val="0"/>
                <w:color w:val="000000"/>
                <w:sz w:val="17"/>
              </w:rPr>
              <w:t xml:space="preserve">24.10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24.10</w:t>
            </w:r>
          </w:p>
        </w:tc>
        <w:tc>
          <w:tcPr>
            <w:tcW w:w="1440" w:type="dxa"/>
            <w:tcBorders/>
            <w:vAlign w:val="center"/>
          </w:tcPr>
          <w:p>
            <w:pPr>
              <w:jc w:val="right"/>
            </w:pPr>
            <w:r>
              <w:rPr>
                <w:rFonts w:ascii="宋体" w:eastAsia="宋体" w:hAnsi="宋体" w:cs="宋体"/>
                <w:b w:val="0"/>
                <w:i w:val="0"/>
                <w:color w:val="000000"/>
                <w:sz w:val="17"/>
              </w:rPr>
              <w:t xml:space="preserve">24.10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24.10</w:t>
            </w:r>
          </w:p>
        </w:tc>
        <w:tc>
          <w:tcPr>
            <w:tcW w:w="1440" w:type="dxa"/>
            <w:tcBorders/>
            <w:vAlign w:val="center"/>
          </w:tcPr>
          <w:p>
            <w:pPr>
              <w:jc w:val="right"/>
            </w:pPr>
            <w:r>
              <w:rPr>
                <w:rFonts w:ascii="宋体" w:eastAsia="宋体" w:hAnsi="宋体" w:cs="宋体"/>
                <w:b w:val="0"/>
                <w:i w:val="0"/>
                <w:color w:val="000000"/>
                <w:sz w:val="17"/>
              </w:rPr>
              <w:t xml:space="preserve">24.10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511.21</w:t>
            </w:r>
          </w:p>
        </w:tc>
        <w:tc>
          <w:tcPr>
            <w:tcW w:w="1600" w:type="dxa"/>
            <w:tcBorders/>
            <w:vAlign w:val="center"/>
          </w:tcPr>
          <w:p>
            <w:pPr>
              <w:jc w:val="right"/>
            </w:pPr>
            <w:r>
              <w:rPr>
                <w:rFonts w:ascii="宋体" w:eastAsia="宋体" w:hAnsi="宋体" w:cs="宋体"/>
                <w:b/>
                <w:i w:val="0"/>
                <w:color w:val="000000"/>
                <w:sz w:val="19"/>
              </w:rPr>
              <w:t xml:space="preserve">511.21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22.99</w:t>
            </w:r>
          </w:p>
        </w:tc>
        <w:tc>
          <w:tcPr>
            <w:tcW w:w="1600" w:type="dxa"/>
            <w:tcBorders/>
            <w:vAlign w:val="center"/>
          </w:tcPr>
          <w:p>
            <w:pPr>
              <w:jc w:val="right"/>
            </w:pPr>
            <w:r>
              <w:rPr>
                <w:rFonts w:ascii="宋体" w:eastAsia="宋体" w:hAnsi="宋体" w:cs="宋体"/>
                <w:b w:val="0"/>
                <w:i w:val="0"/>
                <w:color w:val="000000"/>
                <w:sz w:val="19"/>
              </w:rPr>
              <w:t xml:space="preserve">22.99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2.58</w:t>
            </w:r>
          </w:p>
        </w:tc>
        <w:tc>
          <w:tcPr>
            <w:tcW w:w="1600" w:type="dxa"/>
            <w:tcBorders/>
            <w:vAlign w:val="center"/>
          </w:tcPr>
          <w:p>
            <w:pPr>
              <w:jc w:val="right"/>
            </w:pPr>
            <w:r>
              <w:rPr>
                <w:rFonts w:ascii="宋体" w:eastAsia="宋体" w:hAnsi="宋体" w:cs="宋体"/>
                <w:b w:val="0"/>
                <w:i w:val="0"/>
                <w:color w:val="000000"/>
                <w:sz w:val="19"/>
              </w:rPr>
              <w:t xml:space="preserve">2.58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2.58</w:t>
            </w:r>
          </w:p>
        </w:tc>
        <w:tc>
          <w:tcPr>
            <w:tcW w:w="1600" w:type="dxa"/>
            <w:tcBorders/>
            <w:vAlign w:val="center"/>
          </w:tcPr>
          <w:p>
            <w:pPr>
              <w:jc w:val="right"/>
            </w:pPr>
            <w:r>
              <w:rPr>
                <w:rFonts w:ascii="宋体" w:eastAsia="宋体" w:hAnsi="宋体" w:cs="宋体"/>
                <w:b w:val="0"/>
                <w:i w:val="0"/>
                <w:color w:val="000000"/>
                <w:sz w:val="19"/>
              </w:rPr>
              <w:t xml:space="preserve">2.58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20.41</w:t>
            </w:r>
          </w:p>
        </w:tc>
        <w:tc>
          <w:tcPr>
            <w:tcW w:w="1600" w:type="dxa"/>
            <w:tcBorders/>
            <w:vAlign w:val="center"/>
          </w:tcPr>
          <w:p>
            <w:pPr>
              <w:jc w:val="right"/>
            </w:pPr>
            <w:r>
              <w:rPr>
                <w:rFonts w:ascii="宋体" w:eastAsia="宋体" w:hAnsi="宋体" w:cs="宋体"/>
                <w:b w:val="0"/>
                <w:i w:val="0"/>
                <w:color w:val="000000"/>
                <w:sz w:val="19"/>
              </w:rPr>
              <w:t xml:space="preserve">20.41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20.41</w:t>
            </w:r>
          </w:p>
        </w:tc>
        <w:tc>
          <w:tcPr>
            <w:tcW w:w="1600" w:type="dxa"/>
            <w:tcBorders/>
            <w:vAlign w:val="center"/>
          </w:tcPr>
          <w:p>
            <w:pPr>
              <w:jc w:val="right"/>
            </w:pPr>
            <w:r>
              <w:rPr>
                <w:rFonts w:ascii="宋体" w:eastAsia="宋体" w:hAnsi="宋体" w:cs="宋体"/>
                <w:b w:val="0"/>
                <w:i w:val="0"/>
                <w:color w:val="000000"/>
                <w:sz w:val="19"/>
              </w:rPr>
              <w:t xml:space="preserve">20.41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327.23</w:t>
            </w:r>
          </w:p>
        </w:tc>
        <w:tc>
          <w:tcPr>
            <w:tcW w:w="1600" w:type="dxa"/>
            <w:tcBorders/>
            <w:vAlign w:val="center"/>
          </w:tcPr>
          <w:p>
            <w:pPr>
              <w:jc w:val="right"/>
            </w:pPr>
            <w:r>
              <w:rPr>
                <w:rFonts w:ascii="宋体" w:eastAsia="宋体" w:hAnsi="宋体" w:cs="宋体"/>
                <w:b w:val="0"/>
                <w:i w:val="0"/>
                <w:color w:val="000000"/>
                <w:sz w:val="19"/>
              </w:rPr>
              <w:t xml:space="preserve">327.23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教育管理事务</w:t>
            </w:r>
          </w:p>
        </w:tc>
        <w:tc>
          <w:tcPr>
            <w:tcW w:w="1600" w:type="dxa"/>
            <w:tcBorders/>
            <w:vAlign w:val="center"/>
          </w:tcPr>
          <w:p>
            <w:pPr>
              <w:jc w:val="right"/>
            </w:pPr>
            <w:r>
              <w:rPr>
                <w:rFonts w:ascii="宋体" w:eastAsia="宋体" w:hAnsi="宋体" w:cs="宋体"/>
                <w:b w:val="0"/>
                <w:i w:val="0"/>
                <w:color w:val="000000"/>
                <w:sz w:val="19"/>
              </w:rPr>
              <w:t xml:space="preserve">321.45</w:t>
            </w:r>
          </w:p>
        </w:tc>
        <w:tc>
          <w:tcPr>
            <w:tcW w:w="1600" w:type="dxa"/>
            <w:tcBorders/>
            <w:vAlign w:val="center"/>
          </w:tcPr>
          <w:p>
            <w:pPr>
              <w:jc w:val="right"/>
            </w:pPr>
            <w:r>
              <w:rPr>
                <w:rFonts w:ascii="宋体" w:eastAsia="宋体" w:hAnsi="宋体" w:cs="宋体"/>
                <w:b w:val="0"/>
                <w:i w:val="0"/>
                <w:color w:val="000000"/>
                <w:sz w:val="19"/>
              </w:rPr>
              <w:t xml:space="preserve">321.45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其他教育管理事务支出</w:t>
            </w:r>
          </w:p>
        </w:tc>
        <w:tc>
          <w:tcPr>
            <w:tcW w:w="1600" w:type="dxa"/>
            <w:tcBorders/>
            <w:vAlign w:val="center"/>
          </w:tcPr>
          <w:p>
            <w:pPr>
              <w:jc w:val="right"/>
            </w:pPr>
            <w:r>
              <w:rPr>
                <w:rFonts w:ascii="宋体" w:eastAsia="宋体" w:hAnsi="宋体" w:cs="宋体"/>
                <w:b w:val="0"/>
                <w:i w:val="0"/>
                <w:color w:val="000000"/>
                <w:sz w:val="19"/>
              </w:rPr>
              <w:t xml:space="preserve">321.45</w:t>
            </w:r>
          </w:p>
        </w:tc>
        <w:tc>
          <w:tcPr>
            <w:tcW w:w="1600" w:type="dxa"/>
            <w:tcBorders/>
            <w:vAlign w:val="center"/>
          </w:tcPr>
          <w:p>
            <w:pPr>
              <w:jc w:val="right"/>
            </w:pPr>
            <w:r>
              <w:rPr>
                <w:rFonts w:ascii="宋体" w:eastAsia="宋体" w:hAnsi="宋体" w:cs="宋体"/>
                <w:b w:val="0"/>
                <w:i w:val="0"/>
                <w:color w:val="000000"/>
                <w:sz w:val="19"/>
              </w:rPr>
              <w:t xml:space="preserve">321.45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5.78</w:t>
            </w:r>
          </w:p>
        </w:tc>
        <w:tc>
          <w:tcPr>
            <w:tcW w:w="1600" w:type="dxa"/>
            <w:tcBorders/>
            <w:vAlign w:val="center"/>
          </w:tcPr>
          <w:p>
            <w:pPr>
              <w:jc w:val="right"/>
            </w:pPr>
            <w:r>
              <w:rPr>
                <w:rFonts w:ascii="宋体" w:eastAsia="宋体" w:hAnsi="宋体" w:cs="宋体"/>
                <w:b w:val="0"/>
                <w:i w:val="0"/>
                <w:color w:val="000000"/>
                <w:sz w:val="19"/>
              </w:rPr>
              <w:t xml:space="preserve">5.78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5.78</w:t>
            </w:r>
          </w:p>
        </w:tc>
        <w:tc>
          <w:tcPr>
            <w:tcW w:w="1600" w:type="dxa"/>
            <w:tcBorders/>
            <w:vAlign w:val="center"/>
          </w:tcPr>
          <w:p>
            <w:pPr>
              <w:jc w:val="right"/>
            </w:pPr>
            <w:r>
              <w:rPr>
                <w:rFonts w:ascii="宋体" w:eastAsia="宋体" w:hAnsi="宋体" w:cs="宋体"/>
                <w:b w:val="0"/>
                <w:i w:val="0"/>
                <w:color w:val="000000"/>
                <w:sz w:val="19"/>
              </w:rPr>
              <w:t xml:space="preserve">5.78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124.24</w:t>
            </w:r>
          </w:p>
        </w:tc>
        <w:tc>
          <w:tcPr>
            <w:tcW w:w="1600" w:type="dxa"/>
            <w:tcBorders/>
            <w:vAlign w:val="center"/>
          </w:tcPr>
          <w:p>
            <w:pPr>
              <w:jc w:val="right"/>
            </w:pPr>
            <w:r>
              <w:rPr>
                <w:rFonts w:ascii="宋体" w:eastAsia="宋体" w:hAnsi="宋体" w:cs="宋体"/>
                <w:b w:val="0"/>
                <w:i w:val="0"/>
                <w:color w:val="000000"/>
                <w:sz w:val="19"/>
              </w:rPr>
              <w:t xml:space="preserve">124.24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124.24</w:t>
            </w:r>
          </w:p>
        </w:tc>
        <w:tc>
          <w:tcPr>
            <w:tcW w:w="1600" w:type="dxa"/>
            <w:tcBorders/>
            <w:vAlign w:val="center"/>
          </w:tcPr>
          <w:p>
            <w:pPr>
              <w:jc w:val="right"/>
            </w:pPr>
            <w:r>
              <w:rPr>
                <w:rFonts w:ascii="宋体" w:eastAsia="宋体" w:hAnsi="宋体" w:cs="宋体"/>
                <w:b w:val="0"/>
                <w:i w:val="0"/>
                <w:color w:val="000000"/>
                <w:sz w:val="19"/>
              </w:rPr>
              <w:t xml:space="preserve">124.24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97.81</w:t>
            </w:r>
          </w:p>
        </w:tc>
        <w:tc>
          <w:tcPr>
            <w:tcW w:w="1600" w:type="dxa"/>
            <w:tcBorders/>
            <w:vAlign w:val="center"/>
          </w:tcPr>
          <w:p>
            <w:pPr>
              <w:jc w:val="right"/>
            </w:pPr>
            <w:r>
              <w:rPr>
                <w:rFonts w:ascii="宋体" w:eastAsia="宋体" w:hAnsi="宋体" w:cs="宋体"/>
                <w:b w:val="0"/>
                <w:i w:val="0"/>
                <w:color w:val="000000"/>
                <w:sz w:val="19"/>
              </w:rPr>
              <w:t xml:space="preserve">97.81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26.43</w:t>
            </w:r>
          </w:p>
        </w:tc>
        <w:tc>
          <w:tcPr>
            <w:tcW w:w="1600" w:type="dxa"/>
            <w:tcBorders/>
            <w:vAlign w:val="center"/>
          </w:tcPr>
          <w:p>
            <w:pPr>
              <w:jc w:val="right"/>
            </w:pPr>
            <w:r>
              <w:rPr>
                <w:rFonts w:ascii="宋体" w:eastAsia="宋体" w:hAnsi="宋体" w:cs="宋体"/>
                <w:b w:val="0"/>
                <w:i w:val="0"/>
                <w:color w:val="000000"/>
                <w:sz w:val="19"/>
              </w:rPr>
              <w:t xml:space="preserve">26.43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12.65</w:t>
            </w:r>
          </w:p>
        </w:tc>
        <w:tc>
          <w:tcPr>
            <w:tcW w:w="1600" w:type="dxa"/>
            <w:tcBorders/>
            <w:vAlign w:val="center"/>
          </w:tcPr>
          <w:p>
            <w:pPr>
              <w:jc w:val="right"/>
            </w:pPr>
            <w:r>
              <w:rPr>
                <w:rFonts w:ascii="宋体" w:eastAsia="宋体" w:hAnsi="宋体" w:cs="宋体"/>
                <w:b w:val="0"/>
                <w:i w:val="0"/>
                <w:color w:val="000000"/>
                <w:sz w:val="19"/>
              </w:rPr>
              <w:t xml:space="preserve">12.65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12.65</w:t>
            </w:r>
          </w:p>
        </w:tc>
        <w:tc>
          <w:tcPr>
            <w:tcW w:w="1600" w:type="dxa"/>
            <w:tcBorders/>
            <w:vAlign w:val="center"/>
          </w:tcPr>
          <w:p>
            <w:pPr>
              <w:jc w:val="right"/>
            </w:pPr>
            <w:r>
              <w:rPr>
                <w:rFonts w:ascii="宋体" w:eastAsia="宋体" w:hAnsi="宋体" w:cs="宋体"/>
                <w:b w:val="0"/>
                <w:i w:val="0"/>
                <w:color w:val="000000"/>
                <w:sz w:val="19"/>
              </w:rPr>
              <w:t xml:space="preserve">12.65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12.65</w:t>
            </w:r>
          </w:p>
        </w:tc>
        <w:tc>
          <w:tcPr>
            <w:tcW w:w="1600" w:type="dxa"/>
            <w:tcBorders/>
            <w:vAlign w:val="center"/>
          </w:tcPr>
          <w:p>
            <w:pPr>
              <w:jc w:val="right"/>
            </w:pPr>
            <w:r>
              <w:rPr>
                <w:rFonts w:ascii="宋体" w:eastAsia="宋体" w:hAnsi="宋体" w:cs="宋体"/>
                <w:b w:val="0"/>
                <w:i w:val="0"/>
                <w:color w:val="000000"/>
                <w:sz w:val="19"/>
              </w:rPr>
              <w:t xml:space="preserve">12.65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24.10</w:t>
            </w:r>
          </w:p>
        </w:tc>
        <w:tc>
          <w:tcPr>
            <w:tcW w:w="1600" w:type="dxa"/>
            <w:tcBorders/>
            <w:vAlign w:val="center"/>
          </w:tcPr>
          <w:p>
            <w:pPr>
              <w:jc w:val="right"/>
            </w:pPr>
            <w:r>
              <w:rPr>
                <w:rFonts w:ascii="宋体" w:eastAsia="宋体" w:hAnsi="宋体" w:cs="宋体"/>
                <w:b w:val="0"/>
                <w:i w:val="0"/>
                <w:color w:val="000000"/>
                <w:sz w:val="19"/>
              </w:rPr>
              <w:t xml:space="preserve">24.10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24.10</w:t>
            </w:r>
          </w:p>
        </w:tc>
        <w:tc>
          <w:tcPr>
            <w:tcW w:w="1600" w:type="dxa"/>
            <w:tcBorders/>
            <w:vAlign w:val="center"/>
          </w:tcPr>
          <w:p>
            <w:pPr>
              <w:jc w:val="right"/>
            </w:pPr>
            <w:r>
              <w:rPr>
                <w:rFonts w:ascii="宋体" w:eastAsia="宋体" w:hAnsi="宋体" w:cs="宋体"/>
                <w:b w:val="0"/>
                <w:i w:val="0"/>
                <w:color w:val="000000"/>
                <w:sz w:val="19"/>
              </w:rPr>
              <w:t xml:space="preserve">24.10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24.10</w:t>
            </w:r>
          </w:p>
        </w:tc>
        <w:tc>
          <w:tcPr>
            <w:tcW w:w="1600" w:type="dxa"/>
            <w:tcBorders/>
            <w:vAlign w:val="center"/>
          </w:tcPr>
          <w:p>
            <w:pPr>
              <w:jc w:val="right"/>
            </w:pPr>
            <w:r>
              <w:rPr>
                <w:rFonts w:ascii="宋体" w:eastAsia="宋体" w:hAnsi="宋体" w:cs="宋体"/>
                <w:b w:val="0"/>
                <w:i w:val="0"/>
                <w:color w:val="000000"/>
                <w:sz w:val="19"/>
              </w:rPr>
              <w:t xml:space="preserve">24.10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510.77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22.99</w:t>
            </w:r>
          </w:p>
        </w:tc>
        <w:tc>
          <w:tcPr>
            <w:tcW w:w="1420" w:type="dxa"/>
            <w:tcBorders/>
            <w:vAlign w:val="center"/>
          </w:tcPr>
          <w:p>
            <w:pPr>
              <w:jc w:val="right"/>
            </w:pPr>
            <w:r>
              <w:rPr>
                <w:rFonts w:ascii="宋体" w:eastAsia="宋体" w:hAnsi="宋体" w:cs="宋体"/>
                <w:b w:val="0"/>
                <w:i w:val="0"/>
                <w:color w:val="000000"/>
                <w:sz w:val="18"/>
              </w:rPr>
              <w:t xml:space="preserve">22.99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326.78</w:t>
            </w:r>
          </w:p>
        </w:tc>
        <w:tc>
          <w:tcPr>
            <w:tcW w:w="1420" w:type="dxa"/>
            <w:tcBorders/>
            <w:vAlign w:val="center"/>
          </w:tcPr>
          <w:p>
            <w:pPr>
              <w:jc w:val="right"/>
            </w:pPr>
            <w:r>
              <w:rPr>
                <w:rFonts w:ascii="宋体" w:eastAsia="宋体" w:hAnsi="宋体" w:cs="宋体"/>
                <w:b w:val="0"/>
                <w:i w:val="0"/>
                <w:color w:val="000000"/>
                <w:sz w:val="18"/>
              </w:rPr>
              <w:t xml:space="preserve">326.78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124.24</w:t>
            </w:r>
          </w:p>
        </w:tc>
        <w:tc>
          <w:tcPr>
            <w:tcW w:w="1420" w:type="dxa"/>
            <w:tcBorders/>
            <w:vAlign w:val="center"/>
          </w:tcPr>
          <w:p>
            <w:pPr>
              <w:jc w:val="right"/>
            </w:pPr>
            <w:r>
              <w:rPr>
                <w:rFonts w:ascii="宋体" w:eastAsia="宋体" w:hAnsi="宋体" w:cs="宋体"/>
                <w:b w:val="0"/>
                <w:i w:val="0"/>
                <w:color w:val="000000"/>
                <w:sz w:val="18"/>
              </w:rPr>
              <w:t xml:space="preserve">124.24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12.65</w:t>
            </w:r>
          </w:p>
        </w:tc>
        <w:tc>
          <w:tcPr>
            <w:tcW w:w="1420" w:type="dxa"/>
            <w:tcBorders/>
            <w:vAlign w:val="center"/>
          </w:tcPr>
          <w:p>
            <w:pPr>
              <w:jc w:val="right"/>
            </w:pPr>
            <w:r>
              <w:rPr>
                <w:rFonts w:ascii="宋体" w:eastAsia="宋体" w:hAnsi="宋体" w:cs="宋体"/>
                <w:b w:val="0"/>
                <w:i w:val="0"/>
                <w:color w:val="000000"/>
                <w:sz w:val="18"/>
              </w:rPr>
              <w:t xml:space="preserve">12.65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24.10</w:t>
            </w:r>
          </w:p>
        </w:tc>
        <w:tc>
          <w:tcPr>
            <w:tcW w:w="1420" w:type="dxa"/>
            <w:tcBorders/>
            <w:vAlign w:val="center"/>
          </w:tcPr>
          <w:p>
            <w:pPr>
              <w:jc w:val="right"/>
            </w:pPr>
            <w:r>
              <w:rPr>
                <w:rFonts w:ascii="宋体" w:eastAsia="宋体" w:hAnsi="宋体" w:cs="宋体"/>
                <w:b w:val="0"/>
                <w:i w:val="0"/>
                <w:color w:val="000000"/>
                <w:sz w:val="18"/>
              </w:rPr>
              <w:t xml:space="preserve">24.10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510.77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510.77</w:t>
            </w:r>
          </w:p>
        </w:tc>
        <w:tc>
          <w:tcPr>
            <w:tcW w:w="1420" w:type="dxa"/>
            <w:tcBorders/>
            <w:vAlign w:val="center"/>
          </w:tcPr>
          <w:p>
            <w:pPr>
              <w:jc w:val="right"/>
            </w:pPr>
            <w:r>
              <w:rPr>
                <w:rFonts w:ascii="宋体" w:eastAsia="宋体" w:hAnsi="宋体" w:cs="宋体"/>
                <w:b w:val="0"/>
                <w:i w:val="0"/>
                <w:color w:val="000000"/>
                <w:sz w:val="18"/>
              </w:rPr>
              <w:t xml:space="preserve">510.77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510.77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510.77</w:t>
            </w:r>
          </w:p>
        </w:tc>
        <w:tc>
          <w:tcPr>
            <w:tcW w:w="1420" w:type="dxa"/>
            <w:tcBorders/>
            <w:vAlign w:val="center"/>
          </w:tcPr>
          <w:p>
            <w:pPr>
              <w:jc w:val="right"/>
            </w:pPr>
            <w:r>
              <w:rPr>
                <w:rFonts w:ascii="宋体" w:eastAsia="宋体" w:hAnsi="宋体" w:cs="宋体"/>
                <w:b w:val="0"/>
                <w:i w:val="0"/>
                <w:color w:val="000000"/>
                <w:sz w:val="18"/>
              </w:rPr>
              <w:t xml:space="preserve">510.77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510.77</w:t>
            </w:r>
          </w:p>
        </w:tc>
        <w:tc>
          <w:tcPr>
            <w:tcW w:w="2700" w:type="dxa"/>
            <w:tcBorders/>
            <w:vAlign w:val="center"/>
          </w:tcPr>
          <w:p>
            <w:pPr>
              <w:jc w:val="right"/>
            </w:pPr>
            <w:r>
              <w:rPr>
                <w:rFonts w:ascii="宋体" w:eastAsia="宋体" w:hAnsi="宋体" w:cs="宋体"/>
                <w:b/>
                <w:i w:val="0"/>
                <w:color w:val="000000"/>
                <w:sz w:val="25"/>
              </w:rPr>
              <w:t xml:space="preserve">510.77</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22.99</w:t>
            </w:r>
          </w:p>
        </w:tc>
        <w:tc>
          <w:tcPr>
            <w:tcW w:w="2700" w:type="dxa"/>
            <w:tcBorders/>
            <w:vAlign w:val="center"/>
          </w:tcPr>
          <w:p>
            <w:pPr>
              <w:jc w:val="right"/>
            </w:pPr>
            <w:r>
              <w:rPr>
                <w:rFonts w:ascii="宋体" w:eastAsia="宋体" w:hAnsi="宋体" w:cs="宋体"/>
                <w:b w:val="0"/>
                <w:i w:val="0"/>
                <w:color w:val="000000"/>
                <w:sz w:val="25"/>
              </w:rPr>
              <w:t xml:space="preserve">22.99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2.58</w:t>
            </w:r>
          </w:p>
        </w:tc>
        <w:tc>
          <w:tcPr>
            <w:tcW w:w="2700" w:type="dxa"/>
            <w:tcBorders/>
            <w:vAlign w:val="center"/>
          </w:tcPr>
          <w:p>
            <w:pPr>
              <w:jc w:val="right"/>
            </w:pPr>
            <w:r>
              <w:rPr>
                <w:rFonts w:ascii="宋体" w:eastAsia="宋体" w:hAnsi="宋体" w:cs="宋体"/>
                <w:b w:val="0"/>
                <w:i w:val="0"/>
                <w:color w:val="000000"/>
                <w:sz w:val="25"/>
              </w:rPr>
              <w:t xml:space="preserve">2.58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2.58</w:t>
            </w:r>
          </w:p>
        </w:tc>
        <w:tc>
          <w:tcPr>
            <w:tcW w:w="2700" w:type="dxa"/>
            <w:tcBorders/>
            <w:vAlign w:val="center"/>
          </w:tcPr>
          <w:p>
            <w:pPr>
              <w:jc w:val="right"/>
            </w:pPr>
            <w:r>
              <w:rPr>
                <w:rFonts w:ascii="宋体" w:eastAsia="宋体" w:hAnsi="宋体" w:cs="宋体"/>
                <w:b w:val="0"/>
                <w:i w:val="0"/>
                <w:color w:val="000000"/>
                <w:sz w:val="25"/>
              </w:rPr>
              <w:t xml:space="preserve">2.58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20.41</w:t>
            </w:r>
          </w:p>
        </w:tc>
        <w:tc>
          <w:tcPr>
            <w:tcW w:w="2700" w:type="dxa"/>
            <w:tcBorders/>
            <w:vAlign w:val="center"/>
          </w:tcPr>
          <w:p>
            <w:pPr>
              <w:jc w:val="right"/>
            </w:pPr>
            <w:r>
              <w:rPr>
                <w:rFonts w:ascii="宋体" w:eastAsia="宋体" w:hAnsi="宋体" w:cs="宋体"/>
                <w:b w:val="0"/>
                <w:i w:val="0"/>
                <w:color w:val="000000"/>
                <w:sz w:val="25"/>
              </w:rPr>
              <w:t xml:space="preserve">20.41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20.41</w:t>
            </w:r>
          </w:p>
        </w:tc>
        <w:tc>
          <w:tcPr>
            <w:tcW w:w="2700" w:type="dxa"/>
            <w:tcBorders/>
            <w:vAlign w:val="center"/>
          </w:tcPr>
          <w:p>
            <w:pPr>
              <w:jc w:val="right"/>
            </w:pPr>
            <w:r>
              <w:rPr>
                <w:rFonts w:ascii="宋体" w:eastAsia="宋体" w:hAnsi="宋体" w:cs="宋体"/>
                <w:b w:val="0"/>
                <w:i w:val="0"/>
                <w:color w:val="000000"/>
                <w:sz w:val="25"/>
              </w:rPr>
              <w:t xml:space="preserve">20.41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326.78</w:t>
            </w:r>
          </w:p>
        </w:tc>
        <w:tc>
          <w:tcPr>
            <w:tcW w:w="2700" w:type="dxa"/>
            <w:tcBorders/>
            <w:vAlign w:val="center"/>
          </w:tcPr>
          <w:p>
            <w:pPr>
              <w:jc w:val="right"/>
            </w:pPr>
            <w:r>
              <w:rPr>
                <w:rFonts w:ascii="宋体" w:eastAsia="宋体" w:hAnsi="宋体" w:cs="宋体"/>
                <w:b w:val="0"/>
                <w:i w:val="0"/>
                <w:color w:val="000000"/>
                <w:sz w:val="25"/>
              </w:rPr>
              <w:t xml:space="preserve">326.78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教育管理事务</w:t>
            </w:r>
          </w:p>
        </w:tc>
        <w:tc>
          <w:tcPr>
            <w:tcW w:w="2700" w:type="dxa"/>
            <w:tcBorders/>
            <w:vAlign w:val="center"/>
          </w:tcPr>
          <w:p>
            <w:pPr>
              <w:jc w:val="right"/>
            </w:pPr>
            <w:r>
              <w:rPr>
                <w:rFonts w:ascii="宋体" w:eastAsia="宋体" w:hAnsi="宋体" w:cs="宋体"/>
                <w:b w:val="0"/>
                <w:i w:val="0"/>
                <w:color w:val="000000"/>
                <w:sz w:val="25"/>
              </w:rPr>
              <w:t xml:space="preserve">321.00</w:t>
            </w:r>
          </w:p>
        </w:tc>
        <w:tc>
          <w:tcPr>
            <w:tcW w:w="2700" w:type="dxa"/>
            <w:tcBorders/>
            <w:vAlign w:val="center"/>
          </w:tcPr>
          <w:p>
            <w:pPr>
              <w:jc w:val="right"/>
            </w:pPr>
            <w:r>
              <w:rPr>
                <w:rFonts w:ascii="宋体" w:eastAsia="宋体" w:hAnsi="宋体" w:cs="宋体"/>
                <w:b w:val="0"/>
                <w:i w:val="0"/>
                <w:color w:val="000000"/>
                <w:sz w:val="25"/>
              </w:rPr>
              <w:t xml:space="preserve">321.00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其他教育管理事务支出</w:t>
            </w:r>
          </w:p>
        </w:tc>
        <w:tc>
          <w:tcPr>
            <w:tcW w:w="2700" w:type="dxa"/>
            <w:tcBorders/>
            <w:vAlign w:val="center"/>
          </w:tcPr>
          <w:p>
            <w:pPr>
              <w:jc w:val="right"/>
            </w:pPr>
            <w:r>
              <w:rPr>
                <w:rFonts w:ascii="宋体" w:eastAsia="宋体" w:hAnsi="宋体" w:cs="宋体"/>
                <w:b w:val="0"/>
                <w:i w:val="0"/>
                <w:color w:val="000000"/>
                <w:sz w:val="25"/>
              </w:rPr>
              <w:t xml:space="preserve">321.00</w:t>
            </w:r>
          </w:p>
        </w:tc>
        <w:tc>
          <w:tcPr>
            <w:tcW w:w="2700" w:type="dxa"/>
            <w:tcBorders/>
            <w:vAlign w:val="center"/>
          </w:tcPr>
          <w:p>
            <w:pPr>
              <w:jc w:val="right"/>
            </w:pPr>
            <w:r>
              <w:rPr>
                <w:rFonts w:ascii="宋体" w:eastAsia="宋体" w:hAnsi="宋体" w:cs="宋体"/>
                <w:b w:val="0"/>
                <w:i w:val="0"/>
                <w:color w:val="000000"/>
                <w:sz w:val="25"/>
              </w:rPr>
              <w:t xml:space="preserve">321.00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5.78</w:t>
            </w:r>
          </w:p>
        </w:tc>
        <w:tc>
          <w:tcPr>
            <w:tcW w:w="2700" w:type="dxa"/>
            <w:tcBorders/>
            <w:vAlign w:val="center"/>
          </w:tcPr>
          <w:p>
            <w:pPr>
              <w:jc w:val="right"/>
            </w:pPr>
            <w:r>
              <w:rPr>
                <w:rFonts w:ascii="宋体" w:eastAsia="宋体" w:hAnsi="宋体" w:cs="宋体"/>
                <w:b w:val="0"/>
                <w:i w:val="0"/>
                <w:color w:val="000000"/>
                <w:sz w:val="25"/>
              </w:rPr>
              <w:t xml:space="preserve">5.78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5.78</w:t>
            </w:r>
          </w:p>
        </w:tc>
        <w:tc>
          <w:tcPr>
            <w:tcW w:w="2700" w:type="dxa"/>
            <w:tcBorders/>
            <w:vAlign w:val="center"/>
          </w:tcPr>
          <w:p>
            <w:pPr>
              <w:jc w:val="right"/>
            </w:pPr>
            <w:r>
              <w:rPr>
                <w:rFonts w:ascii="宋体" w:eastAsia="宋体" w:hAnsi="宋体" w:cs="宋体"/>
                <w:b w:val="0"/>
                <w:i w:val="0"/>
                <w:color w:val="000000"/>
                <w:sz w:val="25"/>
              </w:rPr>
              <w:t xml:space="preserve">5.78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124.24</w:t>
            </w:r>
          </w:p>
        </w:tc>
        <w:tc>
          <w:tcPr>
            <w:tcW w:w="2700" w:type="dxa"/>
            <w:tcBorders/>
            <w:vAlign w:val="center"/>
          </w:tcPr>
          <w:p>
            <w:pPr>
              <w:jc w:val="right"/>
            </w:pPr>
            <w:r>
              <w:rPr>
                <w:rFonts w:ascii="宋体" w:eastAsia="宋体" w:hAnsi="宋体" w:cs="宋体"/>
                <w:b w:val="0"/>
                <w:i w:val="0"/>
                <w:color w:val="000000"/>
                <w:sz w:val="25"/>
              </w:rPr>
              <w:t xml:space="preserve">124.24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124.24</w:t>
            </w:r>
          </w:p>
        </w:tc>
        <w:tc>
          <w:tcPr>
            <w:tcW w:w="2700" w:type="dxa"/>
            <w:tcBorders/>
            <w:vAlign w:val="center"/>
          </w:tcPr>
          <w:p>
            <w:pPr>
              <w:jc w:val="right"/>
            </w:pPr>
            <w:r>
              <w:rPr>
                <w:rFonts w:ascii="宋体" w:eastAsia="宋体" w:hAnsi="宋体" w:cs="宋体"/>
                <w:b w:val="0"/>
                <w:i w:val="0"/>
                <w:color w:val="000000"/>
                <w:sz w:val="25"/>
              </w:rPr>
              <w:t xml:space="preserve">124.24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97.81</w:t>
            </w:r>
          </w:p>
        </w:tc>
        <w:tc>
          <w:tcPr>
            <w:tcW w:w="2700" w:type="dxa"/>
            <w:tcBorders/>
            <w:vAlign w:val="center"/>
          </w:tcPr>
          <w:p>
            <w:pPr>
              <w:jc w:val="right"/>
            </w:pPr>
            <w:r>
              <w:rPr>
                <w:rFonts w:ascii="宋体" w:eastAsia="宋体" w:hAnsi="宋体" w:cs="宋体"/>
                <w:b w:val="0"/>
                <w:i w:val="0"/>
                <w:color w:val="000000"/>
                <w:sz w:val="25"/>
              </w:rPr>
              <w:t xml:space="preserve">97.81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26.43</w:t>
            </w:r>
          </w:p>
        </w:tc>
        <w:tc>
          <w:tcPr>
            <w:tcW w:w="2700" w:type="dxa"/>
            <w:tcBorders/>
            <w:vAlign w:val="center"/>
          </w:tcPr>
          <w:p>
            <w:pPr>
              <w:jc w:val="right"/>
            </w:pPr>
            <w:r>
              <w:rPr>
                <w:rFonts w:ascii="宋体" w:eastAsia="宋体" w:hAnsi="宋体" w:cs="宋体"/>
                <w:b w:val="0"/>
                <w:i w:val="0"/>
                <w:color w:val="000000"/>
                <w:sz w:val="25"/>
              </w:rPr>
              <w:t xml:space="preserve">26.43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12.65</w:t>
            </w:r>
          </w:p>
        </w:tc>
        <w:tc>
          <w:tcPr>
            <w:tcW w:w="2700" w:type="dxa"/>
            <w:tcBorders/>
            <w:vAlign w:val="center"/>
          </w:tcPr>
          <w:p>
            <w:pPr>
              <w:jc w:val="right"/>
            </w:pPr>
            <w:r>
              <w:rPr>
                <w:rFonts w:ascii="宋体" w:eastAsia="宋体" w:hAnsi="宋体" w:cs="宋体"/>
                <w:b w:val="0"/>
                <w:i w:val="0"/>
                <w:color w:val="000000"/>
                <w:sz w:val="25"/>
              </w:rPr>
              <w:t xml:space="preserve">12.65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12.65</w:t>
            </w:r>
          </w:p>
        </w:tc>
        <w:tc>
          <w:tcPr>
            <w:tcW w:w="2700" w:type="dxa"/>
            <w:tcBorders/>
            <w:vAlign w:val="center"/>
          </w:tcPr>
          <w:p>
            <w:pPr>
              <w:jc w:val="right"/>
            </w:pPr>
            <w:r>
              <w:rPr>
                <w:rFonts w:ascii="宋体" w:eastAsia="宋体" w:hAnsi="宋体" w:cs="宋体"/>
                <w:b w:val="0"/>
                <w:i w:val="0"/>
                <w:color w:val="000000"/>
                <w:sz w:val="25"/>
              </w:rPr>
              <w:t xml:space="preserve">12.65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12.65</w:t>
            </w:r>
          </w:p>
        </w:tc>
        <w:tc>
          <w:tcPr>
            <w:tcW w:w="2700" w:type="dxa"/>
            <w:tcBorders/>
            <w:vAlign w:val="center"/>
          </w:tcPr>
          <w:p>
            <w:pPr>
              <w:jc w:val="right"/>
            </w:pPr>
            <w:r>
              <w:rPr>
                <w:rFonts w:ascii="宋体" w:eastAsia="宋体" w:hAnsi="宋体" w:cs="宋体"/>
                <w:b w:val="0"/>
                <w:i w:val="0"/>
                <w:color w:val="000000"/>
                <w:sz w:val="25"/>
              </w:rPr>
              <w:t xml:space="preserve">12.65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24.10</w:t>
            </w:r>
          </w:p>
        </w:tc>
        <w:tc>
          <w:tcPr>
            <w:tcW w:w="2700" w:type="dxa"/>
            <w:tcBorders/>
            <w:vAlign w:val="center"/>
          </w:tcPr>
          <w:p>
            <w:pPr>
              <w:jc w:val="right"/>
            </w:pPr>
            <w:r>
              <w:rPr>
                <w:rFonts w:ascii="宋体" w:eastAsia="宋体" w:hAnsi="宋体" w:cs="宋体"/>
                <w:b w:val="0"/>
                <w:i w:val="0"/>
                <w:color w:val="000000"/>
                <w:sz w:val="25"/>
              </w:rPr>
              <w:t xml:space="preserve">24.10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24.10</w:t>
            </w:r>
          </w:p>
        </w:tc>
        <w:tc>
          <w:tcPr>
            <w:tcW w:w="2700" w:type="dxa"/>
            <w:tcBorders/>
            <w:vAlign w:val="center"/>
          </w:tcPr>
          <w:p>
            <w:pPr>
              <w:jc w:val="right"/>
            </w:pPr>
            <w:r>
              <w:rPr>
                <w:rFonts w:ascii="宋体" w:eastAsia="宋体" w:hAnsi="宋体" w:cs="宋体"/>
                <w:b w:val="0"/>
                <w:i w:val="0"/>
                <w:color w:val="000000"/>
                <w:sz w:val="25"/>
              </w:rPr>
              <w:t xml:space="preserve">24.10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24.10</w:t>
            </w:r>
          </w:p>
        </w:tc>
        <w:tc>
          <w:tcPr>
            <w:tcW w:w="2700" w:type="dxa"/>
            <w:tcBorders/>
            <w:vAlign w:val="center"/>
          </w:tcPr>
          <w:p>
            <w:pPr>
              <w:jc w:val="right"/>
            </w:pPr>
            <w:r>
              <w:rPr>
                <w:rFonts w:ascii="宋体" w:eastAsia="宋体" w:hAnsi="宋体" w:cs="宋体"/>
                <w:b w:val="0"/>
                <w:i w:val="0"/>
                <w:color w:val="000000"/>
                <w:sz w:val="25"/>
              </w:rPr>
              <w:t xml:space="preserve">24.10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390.93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20.78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104.21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5.16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39.73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0.26</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129.32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45.87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26.43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1.07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12.65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3.72</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2.31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0.31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24.10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6.30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99.06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99.06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4.74</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2.58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2.42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0.39</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489.99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20.78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单位：许昌市普通教育教学研究室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511.21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减少88.64万元，下降14.78%</w:t>
      </w:r>
      <w:r>
        <w:rPr>
          <w:rFonts w:ascii="仿宋" w:eastAsia="仿宋" w:hAnsi="仿宋" w:cs="仿宋" w:hint="eastAsia"/>
          <w:kern w:val="0"/>
          <w:sz w:val="32"/>
          <w:szCs w:val="32"/>
          <w:lang w:val="en-US" w:eastAsia="zh-CN"/>
        </w:rPr>
        <w:t xml:space="preserve">。主要原因是上年度发生了教师培训、教科研经费等项目收支，本年度无相关收支。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510.77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财政拨款收入510.77万元，占100.00%；上级补助收入0.00万元，占0.00%；事业收入0.00万元，占0.00%；经营收入0.00万元，占0.00%；附属单位上缴收入0.00万元，占0.00%；其他收入0.00万元，占0.00%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511.21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基本支出511.21万元，占100.00%；项目支出0.00万元，占0.00%；上缴上级支出0.00万元，占0.00%；经营支出0.00万元，占0.00%；对附属单位补助支出0.00万元，占0.00%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510.77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减少86.69万元，下降14.51%</w:t>
      </w:r>
      <w:r>
        <w:rPr>
          <w:rFonts w:ascii="仿宋" w:eastAsia="仿宋" w:hAnsi="仿宋" w:cs="仿宋" w:hint="eastAsia"/>
          <w:kern w:val="0"/>
          <w:sz w:val="32"/>
          <w:szCs w:val="32"/>
          <w:lang w:val="en-US" w:eastAsia="zh-CN"/>
        </w:rPr>
        <w:t xml:space="preserve">。主要原因是上年度发生了教师培训、教科研经费等项目收支，本年度无相关收支。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510.77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99.91</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减少86.69万元，下降14.51%</w:t>
      </w:r>
      <w:r>
        <w:rPr>
          <w:rFonts w:ascii="仿宋" w:eastAsia="仿宋" w:hAnsi="仿宋" w:cs="仿宋" w:hint="eastAsia"/>
          <w:kern w:val="0"/>
          <w:sz w:val="32"/>
          <w:szCs w:val="32"/>
          <w:lang w:val="en-US" w:eastAsia="zh-CN"/>
        </w:rPr>
        <w:t xml:space="preserve">。主要原因是上年度发生了教师培训、教科研经费等项目收支，本年度无相关收支。</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510.77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一般公共服务支出（类）22.99万元，占4.50%；教育支出（类）326.78万元，占63.98%；社会保障和就业支出（类）124.24万元，占24.32%；卫生健康支出（类）12.65万元，占2.48%；住房保障支出（类）24.10万元，占4.72%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500.27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510.77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102.10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年初预算数为2.58万元，决算数2.58万元,完成年初预算的100.00%，决算数与年初预算数不存在差异。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年初预算数为0.00万元，决算数20.41万元,决算数与年初预算数存在差异的主要原因是本年度收支2022年度未休假津贴款项，未纳入年初预算。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3.教育支出（类）教育管理事务（款）其他教育管理事务支出（项）</w:t>
      </w:r>
      <w:r>
        <w:rPr>
          <w:rFonts w:ascii="仿宋" w:eastAsia="仿宋" w:hAnsi="仿宋" w:cs="仿宋" w:hint="default"/>
          <w:kern w:val="2"/>
          <w:sz w:val="32"/>
          <w:szCs w:val="32"/>
          <w:lang w:val="en-US" w:eastAsia="zh-CN"/>
        </w:rPr>
        <w:t xml:space="preserve">年初预算数为321.90万元，决算数321.00万元,完成年初预算的99.72%，决算数与年初预算数存在差异的主要原因是1.年终奖、精神文明奖等工资标准执行数较年初预算数较低，2.我单位本年度新增职工退休，相关工资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4.教育支出（类）普通教育（款）其他普通教育支出（项）</w:t>
      </w:r>
      <w:r>
        <w:rPr>
          <w:rFonts w:ascii="仿宋" w:eastAsia="仿宋" w:hAnsi="仿宋" w:cs="仿宋" w:hint="default"/>
          <w:kern w:val="2"/>
          <w:sz w:val="32"/>
          <w:szCs w:val="32"/>
          <w:lang w:val="en-US" w:eastAsia="zh-CN"/>
        </w:rPr>
        <w:t xml:space="preserve">年初预算数为0.00万元，决算数5.78万元,决算数与年初预算数存在差异的主要原因是本年度收支2023年度地方教龄津贴款项，未纳入年初预算。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年初预算数为92.60万元，决算数97.81万元,完成年初预算的105.63%，决算数与年初预算数存在差异的主要原因是我单位本年度新增职工退休，相关工资支出减少。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年初预算数为26.43万元，决算数26.43万元,完成年初预算的100.00%，决算数与年初预算数不存在差异。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年初预算数为12.65万元，决算数12.65万元,完成年初预算的100.00%，决算数与年初预算数不存在差异。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年初预算数为24.10万元，决算数24.10万元,完成年初预算的100.00%，决算数与年初预算数不存在差异。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510.77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其中：人员经费489.99万元，主要包括：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公用经费20.78万元，主要包括：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4802687.27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94.4</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优秀</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我单位严格按照预算批复开展活动，预期工作目标均圆满完成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818"/>
        <w:gridCol w:w="885"/>
        <w:gridCol w:w="1360"/>
        <w:gridCol w:w="2101"/>
        <w:gridCol w:w="2035"/>
        <w:gridCol w:w="818"/>
        <w:gridCol w:w="630"/>
        <w:gridCol w:w="630"/>
        <w:gridCol w:w="630"/>
      </w:tblGrid>
      <w:tr>
        <w:trPr>
          <w:trHeight w:hRule="exact" w:val="318"/>
          <w:jc w:val="center"/>
        </w:trPr>
        <w:tc>
          <w:tcPr>
            <w:tcW w:w="7199" w:type="dxa"/>
            <w:hMerge w:val="restart"/>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1"/>
              </w:rPr>
              <w:t xml:space="preserve">本级部门(单位)整体绩效目标表</w:t>
            </w: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w="818"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r>
      <w:tr>
        <w:trPr>
          <w:trHeight w:hRule="exact" w:val="159"/>
          <w:jc w:val="center"/>
        </w:trPr>
        <w:tc>
          <w:tcPr>
            <w:tcW w:w="7199" w:type="dxa"/>
            <w:hMerge w:val="restart"/>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13"/>
              </w:rPr>
              <w:t xml:space="preserve">（2023年度）  </w:t>
            </w: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w="818"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818" w:type="dxa"/>
            <w:tcBorders/>
            <w:shd w:val="clear" w:color="auto" w:fill="auto"/>
            <w:vAlign w:val="center"/>
          </w:tcPr>
          <w:p>
            <w:pPr>
              <w:snapToGrid w:val="0"/>
              <w:spacing w:before="0" w:beforeAutospacing="0" w:after="0" w:afterAutospacing="0" w:line="240" w:lineRule="auto"/>
              <w:jc w:val="center"/>
            </w:pPr>
          </w:p>
        </w:tc>
        <w:tc>
          <w:tcPr>
            <w:tcW w:w="885" w:type="dxa"/>
            <w:tcBorders/>
            <w:shd w:val="clear" w:color="auto" w:fill="auto"/>
            <w:vAlign w:val="center"/>
          </w:tcPr>
          <w:p>
            <w:pPr>
              <w:snapToGrid w:val="0"/>
              <w:spacing w:before="0" w:beforeAutospacing="0" w:after="0" w:afterAutospacing="0" w:line="240" w:lineRule="auto"/>
              <w:jc w:val="center"/>
            </w:pPr>
          </w:p>
        </w:tc>
        <w:tc>
          <w:tcPr>
            <w:tcW w:w="1360" w:type="dxa"/>
            <w:tcBorders/>
            <w:shd w:val="clear" w:color="auto" w:fill="auto"/>
            <w:vAlign w:val="center"/>
          </w:tcPr>
          <w:p>
            <w:pPr>
              <w:snapToGrid w:val="0"/>
              <w:spacing w:before="0" w:beforeAutospacing="0" w:after="0" w:afterAutospacing="0" w:line="240" w:lineRule="auto"/>
              <w:jc w:val="center"/>
            </w:pPr>
          </w:p>
        </w:tc>
        <w:tc>
          <w:tcPr>
            <w:tcW w:w="2101" w:type="dxa"/>
            <w:tcBorders/>
            <w:shd w:val="clear" w:color="auto" w:fill="auto"/>
            <w:vAlign w:val="center"/>
          </w:tcPr>
          <w:p>
            <w:pPr>
              <w:snapToGrid w:val="0"/>
              <w:spacing w:before="0" w:beforeAutospacing="0" w:after="0" w:afterAutospacing="0" w:line="240" w:lineRule="auto"/>
              <w:jc w:val="center"/>
            </w:pPr>
          </w:p>
        </w:tc>
        <w:tc>
          <w:tcPr>
            <w:tcW w:w="2035" w:type="dxa"/>
            <w:tcBorders/>
            <w:shd w:val="clear" w:color="auto" w:fill="auto"/>
            <w:vAlign w:val="center"/>
          </w:tcPr>
          <w:p>
            <w:pPr>
              <w:snapToGrid w:val="0"/>
              <w:spacing w:before="0" w:beforeAutospacing="0" w:after="0" w:afterAutospacing="0" w:line="240" w:lineRule="auto"/>
              <w:jc w:val="center"/>
            </w:pPr>
          </w:p>
        </w:tc>
        <w:tc>
          <w:tcPr>
            <w:tcW w:w="818"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r>
      <w:tr>
        <w:trPr>
          <w:trHeight w:hRule="exact" w:val="569"/>
          <w:jc w:val="center"/>
        </w:trPr>
        <w:tc>
          <w:tcPr>
            <w:tcW w:w="818"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2101"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2035"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1448"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0"/>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1260"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孙涛  2983550</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17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部门（单位）名称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0"/>
              </w:rPr>
              <w:t xml:space="preserve">许昌市普通教育教学研究室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19"/>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年度履职目标</w:t>
            </w:r>
          </w:p>
        </w:tc>
        <w:tc>
          <w:tcPr>
            <w:tcW w:w="63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0"/>
              </w:rPr>
              <w:t xml:space="preserve">目标1：顺利完成2022年度中小学期末质量检测及初、高中毕业年级模拟考试的命题、统考工作</w:t>
            </w:r>
          </w:p>
          <w:p>
            <w:pPr>
              <w:snapToGrid w:val="0"/>
              <w:spacing w:before="0" w:beforeAutospacing="0" w:after="0" w:afterAutospacing="0" w:line="240" w:lineRule="auto"/>
              <w:jc w:val="left"/>
              <w:rPr/>
            </w:pPr>
            <w:r>
              <w:rPr>
                <w:rFonts w:ascii="SimSun" w:eastAsia="SimSun" w:hAnsi="SimSun" w:cs="SimSun"/>
                <w:b w:val="0"/>
                <w:i w:val="0"/>
                <w:color w:val="000000"/>
                <w:sz w:val="10"/>
              </w:rPr>
              <w:t xml:space="preserve">目标2：顺利完成2022年“优质课”、“一师一优课”等各项业务评选工作并上报市教育局</w:t>
            </w:r>
          </w:p>
          <w:p>
            <w:pPr>
              <w:snapToGrid w:val="0"/>
              <w:spacing w:before="0" w:beforeAutospacing="0" w:after="0" w:afterAutospacing="0" w:line="240" w:lineRule="auto"/>
              <w:jc w:val="left"/>
              <w:rPr/>
            </w:pPr>
            <w:r>
              <w:rPr>
                <w:rFonts w:ascii="SimSun" w:eastAsia="SimSun" w:hAnsi="SimSun" w:cs="SimSun"/>
                <w:b w:val="0"/>
                <w:i w:val="0"/>
                <w:color w:val="000000"/>
                <w:sz w:val="10"/>
              </w:rPr>
              <w:t xml:space="preserve">目标3：完成2022年小、初、高学段各学科教研下沉工作，每个区（县、市）各去2次</w:t>
            </w:r>
          </w:p>
          <w:p>
            <w:pPr>
              <w:snapToGrid w:val="0"/>
              <w:spacing w:before="0" w:beforeAutospacing="0" w:after="0" w:afterAutospacing="0" w:line="240" w:lineRule="auto"/>
              <w:jc w:val="left"/>
              <w:rPr/>
            </w:pPr>
            <w:r>
              <w:rPr>
                <w:rFonts w:ascii="SimSun" w:eastAsia="SimSun" w:hAnsi="SimSun" w:cs="SimSun"/>
                <w:b w:val="0"/>
                <w:i w:val="0"/>
                <w:color w:val="000000"/>
                <w:sz w:val="10"/>
              </w:rPr>
              <w:t xml:space="preserve">目标4：顺利完成2022年度普通话测试工作，并保证普通话测试命题、证书、软件、评测等费用顺利结算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全年执行数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分值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预算执行率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得分</w:t>
            </w: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预算情况  </w:t>
            </w:r>
          </w:p>
        </w:tc>
        <w:tc>
          <w:tcPr>
            <w:tcW w:w="22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480.27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511.21</w:t>
            </w:r>
          </w:p>
        </w:tc>
        <w:tc>
          <w:tcPr>
            <w:tcW w:w="63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=F7/D7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9.37</w:t>
            </w: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资金来源</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（1）基本支出</w:t>
            </w: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480.27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172.628107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511.21</w:t>
            </w:r>
          </w:p>
        </w:tc>
        <w:tc>
          <w:tcPr>
            <w:tcW w:w="63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w:t>
            </w: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（2）项目支出</w:t>
            </w: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85.68</w:t>
            </w:r>
          </w:p>
        </w:tc>
        <w:tc>
          <w:tcPr>
            <w:tcW w:w="63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w:t>
            </w: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0"/>
              </w:rPr>
              <w:t xml:space="preserve">目标名称</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主要内容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目标1</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开展基础教育教学研究，促进全市中小学教育事业发展。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开展基础教育教学研究，促进全市中小学教育事业发展。</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目标2</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开展各类业务评审及教学质量评估工作。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开展各类业务评审及教学质量评估工作。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7"/>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目标3</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完成本年度普通话测试工作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完成本年度普通话测试工作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一级指标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二级指标</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三级指标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指标值</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指标值说明</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实际完成值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分值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得分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未完成原因分析及改进措施</w:t>
            </w: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 投入管理指标  </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工作目标管理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年度履职目标相关性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围绕年度履职工作目标有序开展</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相关</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工作任务科学性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制定有年度工作任务</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科学</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绩效指标合理性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绩效指标制定合理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合理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预算和财务管理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预算编制完整性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预算编制完整</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2</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专项资金细化率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0.95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预算执行率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预算调整率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0.05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0.05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结转结余率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0.05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“三公经费”控制率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政府采购执行率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决算真实性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决算数据真实</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真实</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资金使用合规性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资金使用合理合规</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合规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管理制度健全性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建立有完善的管理制度</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预决算信息公开性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预决算按时间节点、要求进行了公开</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公开</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资产管理规范性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资产有管理制度，并有专人进行管理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规范</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绩效管理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绩效目标编制完成率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绩效监控完成率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绩效自评完成率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部门绩效评价完成率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评价结果应用率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1"/>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产出指标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重点工作任务完成</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无</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规范</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履职目标实现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保证履职工作目标完成</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效益指标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履职效益</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电教教学研究工作健康持续发展</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健康持续发展</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满意度</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学校教师满意度</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17"/>
          <w:jc w:val="center"/>
        </w:trPr>
        <w:tc>
          <w:tcPr>
            <w:tcW w:w="801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总分（100分）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=SUM(G16:G39)+G7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0"/>
              </w:rPr>
              <w:t xml:space="preserve">=SUM(H16:H39)+I7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9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