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许昌市文化广电和旅游局（本级）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许昌市文化广电和旅游局（本级）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许昌市文化广电和旅游局（本级）概况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（一）拟订文化、文物、广播电视和旅游工作的地方性法规、规章草案和政策并组织实施。</w:t>
        <w:br/>
        <w:t xml:space="preserve">    （二）统筹规划全市文化、文物、广播电视和旅游发展，拟订发展规划并组织实施，推进文化和旅游融合发展，推进文化、文物、广播电视和旅游体制机制改革。</w:t>
        <w:br/>
        <w:t xml:space="preserve">    （三）指导、管理全市文艺事业,指导艺术创作生产，扶持体现社会主义核心价值观、具有导向性代表性示范性的文艺作品，推动各相关门类艺术、各相关艺术品种发展。</w:t>
        <w:br/>
        <w:t xml:space="preserve">    （四）负责全市非物质文化遗产保护，推动非物质文化遗产的传承、普及、弘扬和振兴，推进全市优秀传统文化传承发展。</w:t>
        <w:br/>
        <w:t xml:space="preserve">    （五）负责全市公共文化、旅游事业发展，推进全市公共文化服务体系建设和旅游公共服务建设，深入实施文化和旅游惠民工程。</w:t>
        <w:br/>
        <w:t xml:space="preserve">    （六）指导、管理全市文物和考古工作，组织文物资源调查，开展文物保护和利用。</w:t>
        <w:br/>
        <w:t xml:space="preserve">    （七）指导、管理全市博物馆、纪念馆工作，完善公共服务体系，负责社会文物管理、文物科技保护和对外交流工作，协调指导全市文物安全工作。</w:t>
        <w:br/>
        <w:t xml:space="preserve">    （八）负责对全市各类广播电视机构进行业务指导和行业监管，指导电视剧行业发展和电视剧创作生产，指导网络视听节目服务管理，对全市广播电视节目覆盖、监测和安全播出进行监管。</w:t>
        <w:br/>
        <w:t xml:space="preserve">    （九）组织实施全市文化和旅游资源的普查、挖掘、保护和利用工作。指导、推进全域旅游。</w:t>
        <w:br/>
        <w:t xml:space="preserve">    （十）管理全市性重大文化和旅游活动，指导全市文化、文物、广播电视和旅游重点设施建设，组织全市文化和旅游整体形象宣传推广，促进文化产业和旅游产业对外合作、交流和市场推广。</w:t>
        <w:br/>
        <w:t xml:space="preserve">    （十一）指导、推进全市文化、文物、广播电视和旅游科技创新融合发展，推进行业信息化、标准化建设。</w:t>
        <w:br/>
        <w:t xml:space="preserve">    （十二）指导全市文化和旅游市场发展，对文化和旅游领域的市场经营活动进行行业监管，推进文化和旅游行业信用体系建设，依法规范市场。</w:t>
        <w:br/>
        <w:t xml:space="preserve">    （十三）会同有关部门履行文化、文物、广播电视和旅游行业安全监督责任。行使全市文化、文物、出版、广播电视、电影和旅游市场行政执法职责。</w:t>
        <w:br/>
        <w:t xml:space="preserve">    （十四）完成市委、市政府交办的其他事项。</w:t>
        <w:br/>
        <w:t xml:space="preserve">    （十五）关于职责分工。许昌市文化广电和旅游局负责动漫和网络游戏相关产业规划、产业基地、项目建设、会展交易和市场监管，负责对影视动漫和网络视听节目中的动漫节目进行管理。市新闻出版局负责对出版环节的动漫、游戏出版物的网上出版发行进行管理。</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许昌市文化广电和旅游局（本级）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人事科、计划财务科、艺术与非物质文化遗产科、公共服务科、文物保护与考古科、博物馆与文物安全科、广播电视科、资源开发科、宣传推广科、产业发展科、市场管理科、政策法规与文化市场综合执法监督科、政务服务科。另设有机关党委和离退休干部工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许昌市文化广电和旅游局（本级）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许昌市文化广电和旅游局（本级）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2,174.23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62.10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1,838.53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352.91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71.77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3.65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55.32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2,174.23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2,384.28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210.06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2,384.28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2,384.28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2,174.23</w:t>
            </w:r>
          </w:p>
        </w:tc>
        <w:tc>
          <w:tcPr>
            <w:tcW w:w="1440" w:type="dxa"/>
            <w:tcBorders/>
            <w:vAlign w:val="center"/>
          </w:tcPr>
          <w:p>
            <w:pPr>
              <w:jc w:val="right"/>
            </w:pPr>
            <w:r>
              <w:rPr>
                <w:rFonts w:ascii="宋体" w:eastAsia="宋体" w:hAnsi="宋体" w:cs="宋体"/>
                <w:b/>
                <w:i w:val="0"/>
                <w:color w:val="000000"/>
                <w:sz w:val="17"/>
              </w:rPr>
              <w:t xml:space="preserve">2,174.23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62.10</w:t>
            </w:r>
          </w:p>
        </w:tc>
        <w:tc>
          <w:tcPr>
            <w:tcW w:w="1440" w:type="dxa"/>
            <w:tcBorders/>
            <w:vAlign w:val="center"/>
          </w:tcPr>
          <w:p>
            <w:pPr>
              <w:jc w:val="right"/>
            </w:pPr>
            <w:r>
              <w:rPr>
                <w:rFonts w:ascii="宋体" w:eastAsia="宋体" w:hAnsi="宋体" w:cs="宋体"/>
                <w:b w:val="0"/>
                <w:i w:val="0"/>
                <w:color w:val="000000"/>
                <w:sz w:val="17"/>
              </w:rPr>
              <w:t xml:space="preserve">62.10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56.19</w:t>
            </w:r>
          </w:p>
        </w:tc>
        <w:tc>
          <w:tcPr>
            <w:tcW w:w="1440" w:type="dxa"/>
            <w:tcBorders/>
            <w:vAlign w:val="center"/>
          </w:tcPr>
          <w:p>
            <w:pPr>
              <w:jc w:val="right"/>
            </w:pPr>
            <w:r>
              <w:rPr>
                <w:rFonts w:ascii="宋体" w:eastAsia="宋体" w:hAnsi="宋体" w:cs="宋体"/>
                <w:b w:val="0"/>
                <w:i w:val="0"/>
                <w:color w:val="000000"/>
                <w:sz w:val="17"/>
              </w:rPr>
              <w:t xml:space="preserve">56.19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56.19</w:t>
            </w:r>
          </w:p>
        </w:tc>
        <w:tc>
          <w:tcPr>
            <w:tcW w:w="1440" w:type="dxa"/>
            <w:tcBorders/>
            <w:vAlign w:val="center"/>
          </w:tcPr>
          <w:p>
            <w:pPr>
              <w:jc w:val="right"/>
            </w:pPr>
            <w:r>
              <w:rPr>
                <w:rFonts w:ascii="宋体" w:eastAsia="宋体" w:hAnsi="宋体" w:cs="宋体"/>
                <w:b w:val="0"/>
                <w:i w:val="0"/>
                <w:color w:val="000000"/>
                <w:sz w:val="17"/>
              </w:rPr>
              <w:t xml:space="preserve">56.19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1,628.48</w:t>
            </w:r>
          </w:p>
        </w:tc>
        <w:tc>
          <w:tcPr>
            <w:tcW w:w="1440" w:type="dxa"/>
            <w:tcBorders/>
            <w:vAlign w:val="center"/>
          </w:tcPr>
          <w:p>
            <w:pPr>
              <w:jc w:val="right"/>
            </w:pPr>
            <w:r>
              <w:rPr>
                <w:rFonts w:ascii="宋体" w:eastAsia="宋体" w:hAnsi="宋体" w:cs="宋体"/>
                <w:b w:val="0"/>
                <w:i w:val="0"/>
                <w:color w:val="000000"/>
                <w:sz w:val="17"/>
              </w:rPr>
              <w:t xml:space="preserve">1,628.48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w:t>
            </w:r>
          </w:p>
        </w:tc>
        <w:tc>
          <w:tcPr>
            <w:tcW w:w="1440" w:type="dxa"/>
            <w:tcBorders/>
            <w:vAlign w:val="center"/>
          </w:tcPr>
          <w:p>
            <w:pPr>
              <w:jc w:val="right"/>
            </w:pPr>
            <w:r>
              <w:rPr>
                <w:rFonts w:ascii="宋体" w:eastAsia="宋体" w:hAnsi="宋体" w:cs="宋体"/>
                <w:b w:val="0"/>
                <w:i w:val="0"/>
                <w:color w:val="000000"/>
                <w:sz w:val="17"/>
              </w:rPr>
              <w:t xml:space="preserve">1,594.96</w:t>
            </w:r>
          </w:p>
        </w:tc>
        <w:tc>
          <w:tcPr>
            <w:tcW w:w="1440" w:type="dxa"/>
            <w:tcBorders/>
            <w:vAlign w:val="center"/>
          </w:tcPr>
          <w:p>
            <w:pPr>
              <w:jc w:val="right"/>
            </w:pPr>
            <w:r>
              <w:rPr>
                <w:rFonts w:ascii="宋体" w:eastAsia="宋体" w:hAnsi="宋体" w:cs="宋体"/>
                <w:b w:val="0"/>
                <w:i w:val="0"/>
                <w:color w:val="000000"/>
                <w:sz w:val="17"/>
              </w:rPr>
              <w:t xml:space="preserve">1,594.96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977.28</w:t>
            </w:r>
          </w:p>
        </w:tc>
        <w:tc>
          <w:tcPr>
            <w:tcW w:w="1440" w:type="dxa"/>
            <w:tcBorders/>
            <w:vAlign w:val="center"/>
          </w:tcPr>
          <w:p>
            <w:pPr>
              <w:jc w:val="right"/>
            </w:pPr>
            <w:r>
              <w:rPr>
                <w:rFonts w:ascii="宋体" w:eastAsia="宋体" w:hAnsi="宋体" w:cs="宋体"/>
                <w:b w:val="0"/>
                <w:i w:val="0"/>
                <w:color w:val="000000"/>
                <w:sz w:val="17"/>
              </w:rPr>
              <w:t xml:space="preserve">977.28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2.59</w:t>
            </w:r>
          </w:p>
        </w:tc>
        <w:tc>
          <w:tcPr>
            <w:tcW w:w="1440" w:type="dxa"/>
            <w:tcBorders/>
            <w:vAlign w:val="center"/>
          </w:tcPr>
          <w:p>
            <w:pPr>
              <w:jc w:val="right"/>
            </w:pPr>
            <w:r>
              <w:rPr>
                <w:rFonts w:ascii="宋体" w:eastAsia="宋体" w:hAnsi="宋体" w:cs="宋体"/>
                <w:b w:val="0"/>
                <w:i w:val="0"/>
                <w:color w:val="000000"/>
                <w:sz w:val="17"/>
              </w:rPr>
              <w:t xml:space="preserve">2.59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文化创作与保护</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其他文化和旅游支出</w:t>
            </w:r>
          </w:p>
        </w:tc>
        <w:tc>
          <w:tcPr>
            <w:tcW w:w="1440" w:type="dxa"/>
            <w:tcBorders/>
            <w:vAlign w:val="center"/>
          </w:tcPr>
          <w:p>
            <w:pPr>
              <w:jc w:val="right"/>
            </w:pPr>
            <w:r>
              <w:rPr>
                <w:rFonts w:ascii="宋体" w:eastAsia="宋体" w:hAnsi="宋体" w:cs="宋体"/>
                <w:b w:val="0"/>
                <w:i w:val="0"/>
                <w:color w:val="000000"/>
                <w:sz w:val="17"/>
              </w:rPr>
              <w:t xml:space="preserve">602.59</w:t>
            </w:r>
          </w:p>
        </w:tc>
        <w:tc>
          <w:tcPr>
            <w:tcW w:w="1440" w:type="dxa"/>
            <w:tcBorders/>
            <w:vAlign w:val="center"/>
          </w:tcPr>
          <w:p>
            <w:pPr>
              <w:jc w:val="right"/>
            </w:pPr>
            <w:r>
              <w:rPr>
                <w:rFonts w:ascii="宋体" w:eastAsia="宋体" w:hAnsi="宋体" w:cs="宋体"/>
                <w:b w:val="0"/>
                <w:i w:val="0"/>
                <w:color w:val="000000"/>
                <w:sz w:val="17"/>
              </w:rPr>
              <w:t xml:space="preserve">602.59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文物</w:t>
            </w:r>
          </w:p>
        </w:tc>
        <w:tc>
          <w:tcPr>
            <w:tcW w:w="1440" w:type="dxa"/>
            <w:tcBorders/>
            <w:vAlign w:val="center"/>
          </w:tcPr>
          <w:p>
            <w:pPr>
              <w:jc w:val="right"/>
            </w:pPr>
            <w:r>
              <w:rPr>
                <w:rFonts w:ascii="宋体" w:eastAsia="宋体" w:hAnsi="宋体" w:cs="宋体"/>
                <w:b w:val="0"/>
                <w:i w:val="0"/>
                <w:color w:val="000000"/>
                <w:sz w:val="17"/>
              </w:rPr>
              <w:t xml:space="preserve">33.52</w:t>
            </w:r>
          </w:p>
        </w:tc>
        <w:tc>
          <w:tcPr>
            <w:tcW w:w="1440" w:type="dxa"/>
            <w:tcBorders/>
            <w:vAlign w:val="center"/>
          </w:tcPr>
          <w:p>
            <w:pPr>
              <w:jc w:val="right"/>
            </w:pPr>
            <w:r>
              <w:rPr>
                <w:rFonts w:ascii="宋体" w:eastAsia="宋体" w:hAnsi="宋体" w:cs="宋体"/>
                <w:b w:val="0"/>
                <w:i w:val="0"/>
                <w:color w:val="000000"/>
                <w:sz w:val="17"/>
              </w:rPr>
              <w:t xml:space="preserve">33.52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文物保护</w:t>
            </w:r>
          </w:p>
        </w:tc>
        <w:tc>
          <w:tcPr>
            <w:tcW w:w="1440" w:type="dxa"/>
            <w:tcBorders/>
            <w:vAlign w:val="center"/>
          </w:tcPr>
          <w:p>
            <w:pPr>
              <w:jc w:val="right"/>
            </w:pPr>
            <w:r>
              <w:rPr>
                <w:rFonts w:ascii="宋体" w:eastAsia="宋体" w:hAnsi="宋体" w:cs="宋体"/>
                <w:b w:val="0"/>
                <w:i w:val="0"/>
                <w:color w:val="000000"/>
                <w:sz w:val="17"/>
              </w:rPr>
              <w:t xml:space="preserve">33.52</w:t>
            </w:r>
          </w:p>
        </w:tc>
        <w:tc>
          <w:tcPr>
            <w:tcW w:w="1440" w:type="dxa"/>
            <w:tcBorders/>
            <w:vAlign w:val="center"/>
          </w:tcPr>
          <w:p>
            <w:pPr>
              <w:jc w:val="right"/>
            </w:pPr>
            <w:r>
              <w:rPr>
                <w:rFonts w:ascii="宋体" w:eastAsia="宋体" w:hAnsi="宋体" w:cs="宋体"/>
                <w:b w:val="0"/>
                <w:i w:val="0"/>
                <w:color w:val="000000"/>
                <w:sz w:val="17"/>
              </w:rPr>
              <w:t xml:space="preserve">33.52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352.91</w:t>
            </w:r>
          </w:p>
        </w:tc>
        <w:tc>
          <w:tcPr>
            <w:tcW w:w="1440" w:type="dxa"/>
            <w:tcBorders/>
            <w:vAlign w:val="center"/>
          </w:tcPr>
          <w:p>
            <w:pPr>
              <w:jc w:val="right"/>
            </w:pPr>
            <w:r>
              <w:rPr>
                <w:rFonts w:ascii="宋体" w:eastAsia="宋体" w:hAnsi="宋体" w:cs="宋体"/>
                <w:b w:val="0"/>
                <w:i w:val="0"/>
                <w:color w:val="000000"/>
                <w:sz w:val="17"/>
              </w:rPr>
              <w:t xml:space="preserve">352.91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309.90</w:t>
            </w:r>
          </w:p>
        </w:tc>
        <w:tc>
          <w:tcPr>
            <w:tcW w:w="1440" w:type="dxa"/>
            <w:tcBorders/>
            <w:vAlign w:val="center"/>
          </w:tcPr>
          <w:p>
            <w:pPr>
              <w:jc w:val="right"/>
            </w:pPr>
            <w:r>
              <w:rPr>
                <w:rFonts w:ascii="宋体" w:eastAsia="宋体" w:hAnsi="宋体" w:cs="宋体"/>
                <w:b w:val="0"/>
                <w:i w:val="0"/>
                <w:color w:val="000000"/>
                <w:sz w:val="17"/>
              </w:rPr>
              <w:t xml:space="preserve">309.90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248.64</w:t>
            </w:r>
          </w:p>
        </w:tc>
        <w:tc>
          <w:tcPr>
            <w:tcW w:w="1440" w:type="dxa"/>
            <w:tcBorders/>
            <w:vAlign w:val="center"/>
          </w:tcPr>
          <w:p>
            <w:pPr>
              <w:jc w:val="right"/>
            </w:pPr>
            <w:r>
              <w:rPr>
                <w:rFonts w:ascii="宋体" w:eastAsia="宋体" w:hAnsi="宋体" w:cs="宋体"/>
                <w:b w:val="0"/>
                <w:i w:val="0"/>
                <w:color w:val="000000"/>
                <w:sz w:val="17"/>
              </w:rPr>
              <w:t xml:space="preserve">248.64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61.26</w:t>
            </w:r>
          </w:p>
        </w:tc>
        <w:tc>
          <w:tcPr>
            <w:tcW w:w="1440" w:type="dxa"/>
            <w:tcBorders/>
            <w:vAlign w:val="center"/>
          </w:tcPr>
          <w:p>
            <w:pPr>
              <w:jc w:val="right"/>
            </w:pPr>
            <w:r>
              <w:rPr>
                <w:rFonts w:ascii="宋体" w:eastAsia="宋体" w:hAnsi="宋体" w:cs="宋体"/>
                <w:b w:val="0"/>
                <w:i w:val="0"/>
                <w:color w:val="000000"/>
                <w:sz w:val="17"/>
              </w:rPr>
              <w:t xml:space="preserve">61.26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71.77</w:t>
            </w:r>
          </w:p>
        </w:tc>
        <w:tc>
          <w:tcPr>
            <w:tcW w:w="1440" w:type="dxa"/>
            <w:tcBorders/>
            <w:vAlign w:val="center"/>
          </w:tcPr>
          <w:p>
            <w:pPr>
              <w:jc w:val="right"/>
            </w:pPr>
            <w:r>
              <w:rPr>
                <w:rFonts w:ascii="宋体" w:eastAsia="宋体" w:hAnsi="宋体" w:cs="宋体"/>
                <w:b w:val="0"/>
                <w:i w:val="0"/>
                <w:color w:val="000000"/>
                <w:sz w:val="17"/>
              </w:rPr>
              <w:t xml:space="preserve">71.77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71.77</w:t>
            </w:r>
          </w:p>
        </w:tc>
        <w:tc>
          <w:tcPr>
            <w:tcW w:w="1440" w:type="dxa"/>
            <w:tcBorders/>
            <w:vAlign w:val="center"/>
          </w:tcPr>
          <w:p>
            <w:pPr>
              <w:jc w:val="right"/>
            </w:pPr>
            <w:r>
              <w:rPr>
                <w:rFonts w:ascii="宋体" w:eastAsia="宋体" w:hAnsi="宋体" w:cs="宋体"/>
                <w:b w:val="0"/>
                <w:i w:val="0"/>
                <w:color w:val="000000"/>
                <w:sz w:val="17"/>
              </w:rPr>
              <w:t xml:space="preserve">71.77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38.34</w:t>
            </w:r>
          </w:p>
        </w:tc>
        <w:tc>
          <w:tcPr>
            <w:tcW w:w="1440" w:type="dxa"/>
            <w:tcBorders/>
            <w:vAlign w:val="center"/>
          </w:tcPr>
          <w:p>
            <w:pPr>
              <w:jc w:val="right"/>
            </w:pPr>
            <w:r>
              <w:rPr>
                <w:rFonts w:ascii="宋体" w:eastAsia="宋体" w:hAnsi="宋体" w:cs="宋体"/>
                <w:b w:val="0"/>
                <w:i w:val="0"/>
                <w:color w:val="000000"/>
                <w:sz w:val="17"/>
              </w:rPr>
              <w:t xml:space="preserve">38.34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33.43</w:t>
            </w:r>
          </w:p>
        </w:tc>
        <w:tc>
          <w:tcPr>
            <w:tcW w:w="1440" w:type="dxa"/>
            <w:tcBorders/>
            <w:vAlign w:val="center"/>
          </w:tcPr>
          <w:p>
            <w:pPr>
              <w:jc w:val="right"/>
            </w:pPr>
            <w:r>
              <w:rPr>
                <w:rFonts w:ascii="宋体" w:eastAsia="宋体" w:hAnsi="宋体" w:cs="宋体"/>
                <w:b w:val="0"/>
                <w:i w:val="0"/>
                <w:color w:val="000000"/>
                <w:sz w:val="17"/>
              </w:rPr>
              <w:t xml:space="preserve">33.43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3.65</w:t>
            </w:r>
          </w:p>
        </w:tc>
        <w:tc>
          <w:tcPr>
            <w:tcW w:w="1440" w:type="dxa"/>
            <w:tcBorders/>
            <w:vAlign w:val="center"/>
          </w:tcPr>
          <w:p>
            <w:pPr>
              <w:jc w:val="right"/>
            </w:pPr>
            <w:r>
              <w:rPr>
                <w:rFonts w:ascii="宋体" w:eastAsia="宋体" w:hAnsi="宋体" w:cs="宋体"/>
                <w:b w:val="0"/>
                <w:i w:val="0"/>
                <w:color w:val="000000"/>
                <w:sz w:val="17"/>
              </w:rPr>
              <w:t xml:space="preserve">3.65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3.65</w:t>
            </w:r>
          </w:p>
        </w:tc>
        <w:tc>
          <w:tcPr>
            <w:tcW w:w="1440" w:type="dxa"/>
            <w:tcBorders/>
            <w:vAlign w:val="center"/>
          </w:tcPr>
          <w:p>
            <w:pPr>
              <w:jc w:val="right"/>
            </w:pPr>
            <w:r>
              <w:rPr>
                <w:rFonts w:ascii="宋体" w:eastAsia="宋体" w:hAnsi="宋体" w:cs="宋体"/>
                <w:b w:val="0"/>
                <w:i w:val="0"/>
                <w:color w:val="000000"/>
                <w:sz w:val="17"/>
              </w:rPr>
              <w:t xml:space="preserve">3.65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55.32</w:t>
            </w:r>
          </w:p>
        </w:tc>
        <w:tc>
          <w:tcPr>
            <w:tcW w:w="1440" w:type="dxa"/>
            <w:tcBorders/>
            <w:vAlign w:val="center"/>
          </w:tcPr>
          <w:p>
            <w:pPr>
              <w:jc w:val="right"/>
            </w:pPr>
            <w:r>
              <w:rPr>
                <w:rFonts w:ascii="宋体" w:eastAsia="宋体" w:hAnsi="宋体" w:cs="宋体"/>
                <w:b w:val="0"/>
                <w:i w:val="0"/>
                <w:color w:val="000000"/>
                <w:sz w:val="17"/>
              </w:rPr>
              <w:t xml:space="preserve">55.32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55.32</w:t>
            </w:r>
          </w:p>
        </w:tc>
        <w:tc>
          <w:tcPr>
            <w:tcW w:w="1440" w:type="dxa"/>
            <w:tcBorders/>
            <w:vAlign w:val="center"/>
          </w:tcPr>
          <w:p>
            <w:pPr>
              <w:jc w:val="right"/>
            </w:pPr>
            <w:r>
              <w:rPr>
                <w:rFonts w:ascii="宋体" w:eastAsia="宋体" w:hAnsi="宋体" w:cs="宋体"/>
                <w:b w:val="0"/>
                <w:i w:val="0"/>
                <w:color w:val="000000"/>
                <w:sz w:val="17"/>
              </w:rPr>
              <w:t xml:space="preserve">55.32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55.32</w:t>
            </w:r>
          </w:p>
        </w:tc>
        <w:tc>
          <w:tcPr>
            <w:tcW w:w="1440" w:type="dxa"/>
            <w:tcBorders/>
            <w:vAlign w:val="center"/>
          </w:tcPr>
          <w:p>
            <w:pPr>
              <w:jc w:val="right"/>
            </w:pPr>
            <w:r>
              <w:rPr>
                <w:rFonts w:ascii="宋体" w:eastAsia="宋体" w:hAnsi="宋体" w:cs="宋体"/>
                <w:b w:val="0"/>
                <w:i w:val="0"/>
                <w:color w:val="000000"/>
                <w:sz w:val="17"/>
              </w:rPr>
              <w:t xml:space="preserve">55.32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2,384.28</w:t>
            </w:r>
          </w:p>
        </w:tc>
        <w:tc>
          <w:tcPr>
            <w:tcW w:w="1600" w:type="dxa"/>
            <w:tcBorders/>
            <w:vAlign w:val="center"/>
          </w:tcPr>
          <w:p>
            <w:pPr>
              <w:jc w:val="right"/>
            </w:pPr>
            <w:r>
              <w:rPr>
                <w:rFonts w:ascii="宋体" w:eastAsia="宋体" w:hAnsi="宋体" w:cs="宋体"/>
                <w:b/>
                <w:i w:val="0"/>
                <w:color w:val="000000"/>
                <w:sz w:val="19"/>
              </w:rPr>
              <w:t xml:space="preserve">1,519.38</w:t>
            </w:r>
          </w:p>
        </w:tc>
        <w:tc>
          <w:tcPr>
            <w:tcW w:w="1600" w:type="dxa"/>
            <w:tcBorders/>
            <w:vAlign w:val="center"/>
          </w:tcPr>
          <w:p>
            <w:pPr>
              <w:jc w:val="right"/>
            </w:pPr>
            <w:r>
              <w:rPr>
                <w:rFonts w:ascii="宋体" w:eastAsia="宋体" w:hAnsi="宋体" w:cs="宋体"/>
                <w:b/>
                <w:i w:val="0"/>
                <w:color w:val="000000"/>
                <w:sz w:val="19"/>
              </w:rPr>
              <w:t xml:space="preserve">864.90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62.10</w:t>
            </w:r>
          </w:p>
        </w:tc>
        <w:tc>
          <w:tcPr>
            <w:tcW w:w="1600" w:type="dxa"/>
            <w:tcBorders/>
            <w:vAlign w:val="center"/>
          </w:tcPr>
          <w:p>
            <w:pPr>
              <w:jc w:val="right"/>
            </w:pPr>
            <w:r>
              <w:rPr>
                <w:rFonts w:ascii="宋体" w:eastAsia="宋体" w:hAnsi="宋体" w:cs="宋体"/>
                <w:b w:val="0"/>
                <w:i w:val="0"/>
                <w:color w:val="000000"/>
                <w:sz w:val="19"/>
              </w:rPr>
              <w:t xml:space="preserve">62.10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56.19</w:t>
            </w:r>
          </w:p>
        </w:tc>
        <w:tc>
          <w:tcPr>
            <w:tcW w:w="1600" w:type="dxa"/>
            <w:tcBorders/>
            <w:vAlign w:val="center"/>
          </w:tcPr>
          <w:p>
            <w:pPr>
              <w:jc w:val="right"/>
            </w:pPr>
            <w:r>
              <w:rPr>
                <w:rFonts w:ascii="宋体" w:eastAsia="宋体" w:hAnsi="宋体" w:cs="宋体"/>
                <w:b w:val="0"/>
                <w:i w:val="0"/>
                <w:color w:val="000000"/>
                <w:sz w:val="19"/>
              </w:rPr>
              <w:t xml:space="preserve">56.19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56.19</w:t>
            </w:r>
          </w:p>
        </w:tc>
        <w:tc>
          <w:tcPr>
            <w:tcW w:w="1600" w:type="dxa"/>
            <w:tcBorders/>
            <w:vAlign w:val="center"/>
          </w:tcPr>
          <w:p>
            <w:pPr>
              <w:jc w:val="right"/>
            </w:pPr>
            <w:r>
              <w:rPr>
                <w:rFonts w:ascii="宋体" w:eastAsia="宋体" w:hAnsi="宋体" w:cs="宋体"/>
                <w:b w:val="0"/>
                <w:i w:val="0"/>
                <w:color w:val="000000"/>
                <w:sz w:val="19"/>
              </w:rPr>
              <w:t xml:space="preserve">56.19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1,838.53</w:t>
            </w:r>
          </w:p>
        </w:tc>
        <w:tc>
          <w:tcPr>
            <w:tcW w:w="1600" w:type="dxa"/>
            <w:tcBorders/>
            <w:vAlign w:val="center"/>
          </w:tcPr>
          <w:p>
            <w:pPr>
              <w:jc w:val="right"/>
            </w:pPr>
            <w:r>
              <w:rPr>
                <w:rFonts w:ascii="宋体" w:eastAsia="宋体" w:hAnsi="宋体" w:cs="宋体"/>
                <w:b w:val="0"/>
                <w:i w:val="0"/>
                <w:color w:val="000000"/>
                <w:sz w:val="19"/>
              </w:rPr>
              <w:t xml:space="preserve">977.28</w:t>
            </w:r>
          </w:p>
        </w:tc>
        <w:tc>
          <w:tcPr>
            <w:tcW w:w="1600" w:type="dxa"/>
            <w:tcBorders/>
            <w:vAlign w:val="center"/>
          </w:tcPr>
          <w:p>
            <w:pPr>
              <w:jc w:val="right"/>
            </w:pPr>
            <w:r>
              <w:rPr>
                <w:rFonts w:ascii="宋体" w:eastAsia="宋体" w:hAnsi="宋体" w:cs="宋体"/>
                <w:b w:val="0"/>
                <w:i w:val="0"/>
                <w:color w:val="000000"/>
                <w:sz w:val="19"/>
              </w:rPr>
              <w:t xml:space="preserve">861.25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w:t>
            </w:r>
          </w:p>
        </w:tc>
        <w:tc>
          <w:tcPr>
            <w:tcW w:w="1600" w:type="dxa"/>
            <w:tcBorders/>
            <w:vAlign w:val="center"/>
          </w:tcPr>
          <w:p>
            <w:pPr>
              <w:jc w:val="right"/>
            </w:pPr>
            <w:r>
              <w:rPr>
                <w:rFonts w:ascii="宋体" w:eastAsia="宋体" w:hAnsi="宋体" w:cs="宋体"/>
                <w:b w:val="0"/>
                <w:i w:val="0"/>
                <w:color w:val="000000"/>
                <w:sz w:val="19"/>
              </w:rPr>
              <w:t xml:space="preserve">1,805.01</w:t>
            </w:r>
          </w:p>
        </w:tc>
        <w:tc>
          <w:tcPr>
            <w:tcW w:w="1600" w:type="dxa"/>
            <w:tcBorders/>
            <w:vAlign w:val="center"/>
          </w:tcPr>
          <w:p>
            <w:pPr>
              <w:jc w:val="right"/>
            </w:pPr>
            <w:r>
              <w:rPr>
                <w:rFonts w:ascii="宋体" w:eastAsia="宋体" w:hAnsi="宋体" w:cs="宋体"/>
                <w:b w:val="0"/>
                <w:i w:val="0"/>
                <w:color w:val="000000"/>
                <w:sz w:val="19"/>
              </w:rPr>
              <w:t xml:space="preserve">977.28</w:t>
            </w:r>
          </w:p>
        </w:tc>
        <w:tc>
          <w:tcPr>
            <w:tcW w:w="1600" w:type="dxa"/>
            <w:tcBorders/>
            <w:vAlign w:val="center"/>
          </w:tcPr>
          <w:p>
            <w:pPr>
              <w:jc w:val="right"/>
            </w:pPr>
            <w:r>
              <w:rPr>
                <w:rFonts w:ascii="宋体" w:eastAsia="宋体" w:hAnsi="宋体" w:cs="宋体"/>
                <w:b w:val="0"/>
                <w:i w:val="0"/>
                <w:color w:val="000000"/>
                <w:sz w:val="19"/>
              </w:rPr>
              <w:t xml:space="preserve">827.73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1,187.34</w:t>
            </w:r>
          </w:p>
        </w:tc>
        <w:tc>
          <w:tcPr>
            <w:tcW w:w="1600" w:type="dxa"/>
            <w:tcBorders/>
            <w:vAlign w:val="center"/>
          </w:tcPr>
          <w:p>
            <w:pPr>
              <w:jc w:val="right"/>
            </w:pPr>
            <w:r>
              <w:rPr>
                <w:rFonts w:ascii="宋体" w:eastAsia="宋体" w:hAnsi="宋体" w:cs="宋体"/>
                <w:b w:val="0"/>
                <w:i w:val="0"/>
                <w:color w:val="000000"/>
                <w:sz w:val="19"/>
              </w:rPr>
              <w:t xml:space="preserve">977.28</w:t>
            </w:r>
          </w:p>
        </w:tc>
        <w:tc>
          <w:tcPr>
            <w:tcW w:w="1600" w:type="dxa"/>
            <w:tcBorders/>
            <w:vAlign w:val="center"/>
          </w:tcPr>
          <w:p>
            <w:pPr>
              <w:jc w:val="right"/>
            </w:pPr>
            <w:r>
              <w:rPr>
                <w:rFonts w:ascii="宋体" w:eastAsia="宋体" w:hAnsi="宋体" w:cs="宋体"/>
                <w:b w:val="0"/>
                <w:i w:val="0"/>
                <w:color w:val="000000"/>
                <w:sz w:val="19"/>
              </w:rPr>
              <w:t xml:space="preserve">210.06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文化创作与保护</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其他文化和旅游支出</w:t>
            </w:r>
          </w:p>
        </w:tc>
        <w:tc>
          <w:tcPr>
            <w:tcW w:w="1600" w:type="dxa"/>
            <w:tcBorders/>
            <w:vAlign w:val="center"/>
          </w:tcPr>
          <w:p>
            <w:pPr>
              <w:jc w:val="right"/>
            </w:pPr>
            <w:r>
              <w:rPr>
                <w:rFonts w:ascii="宋体" w:eastAsia="宋体" w:hAnsi="宋体" w:cs="宋体"/>
                <w:b w:val="0"/>
                <w:i w:val="0"/>
                <w:color w:val="000000"/>
                <w:sz w:val="19"/>
              </w:rPr>
              <w:t xml:space="preserve">602.59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602.59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文物</w:t>
            </w:r>
          </w:p>
        </w:tc>
        <w:tc>
          <w:tcPr>
            <w:tcW w:w="1600" w:type="dxa"/>
            <w:tcBorders/>
            <w:vAlign w:val="center"/>
          </w:tcPr>
          <w:p>
            <w:pPr>
              <w:jc w:val="right"/>
            </w:pPr>
            <w:r>
              <w:rPr>
                <w:rFonts w:ascii="宋体" w:eastAsia="宋体" w:hAnsi="宋体" w:cs="宋体"/>
                <w:b w:val="0"/>
                <w:i w:val="0"/>
                <w:color w:val="000000"/>
                <w:sz w:val="19"/>
              </w:rPr>
              <w:t xml:space="preserve">33.52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文物保护</w:t>
            </w:r>
          </w:p>
        </w:tc>
        <w:tc>
          <w:tcPr>
            <w:tcW w:w="1600" w:type="dxa"/>
            <w:tcBorders/>
            <w:vAlign w:val="center"/>
          </w:tcPr>
          <w:p>
            <w:pPr>
              <w:jc w:val="right"/>
            </w:pPr>
            <w:r>
              <w:rPr>
                <w:rFonts w:ascii="宋体" w:eastAsia="宋体" w:hAnsi="宋体" w:cs="宋体"/>
                <w:b w:val="0"/>
                <w:i w:val="0"/>
                <w:color w:val="000000"/>
                <w:sz w:val="19"/>
              </w:rPr>
              <w:t xml:space="preserve">33.52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352.91</w:t>
            </w:r>
          </w:p>
        </w:tc>
        <w:tc>
          <w:tcPr>
            <w:tcW w:w="1600" w:type="dxa"/>
            <w:tcBorders/>
            <w:vAlign w:val="center"/>
          </w:tcPr>
          <w:p>
            <w:pPr>
              <w:jc w:val="right"/>
            </w:pPr>
            <w:r>
              <w:rPr>
                <w:rFonts w:ascii="宋体" w:eastAsia="宋体" w:hAnsi="宋体" w:cs="宋体"/>
                <w:b w:val="0"/>
                <w:i w:val="0"/>
                <w:color w:val="000000"/>
                <w:sz w:val="19"/>
              </w:rPr>
              <w:t xml:space="preserve">352.91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309.90</w:t>
            </w:r>
          </w:p>
        </w:tc>
        <w:tc>
          <w:tcPr>
            <w:tcW w:w="1600" w:type="dxa"/>
            <w:tcBorders/>
            <w:vAlign w:val="center"/>
          </w:tcPr>
          <w:p>
            <w:pPr>
              <w:jc w:val="right"/>
            </w:pPr>
            <w:r>
              <w:rPr>
                <w:rFonts w:ascii="宋体" w:eastAsia="宋体" w:hAnsi="宋体" w:cs="宋体"/>
                <w:b w:val="0"/>
                <w:i w:val="0"/>
                <w:color w:val="000000"/>
                <w:sz w:val="19"/>
              </w:rPr>
              <w:t xml:space="preserve">309.90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248.64</w:t>
            </w:r>
          </w:p>
        </w:tc>
        <w:tc>
          <w:tcPr>
            <w:tcW w:w="1600" w:type="dxa"/>
            <w:tcBorders/>
            <w:vAlign w:val="center"/>
          </w:tcPr>
          <w:p>
            <w:pPr>
              <w:jc w:val="right"/>
            </w:pPr>
            <w:r>
              <w:rPr>
                <w:rFonts w:ascii="宋体" w:eastAsia="宋体" w:hAnsi="宋体" w:cs="宋体"/>
                <w:b w:val="0"/>
                <w:i w:val="0"/>
                <w:color w:val="000000"/>
                <w:sz w:val="19"/>
              </w:rPr>
              <w:t xml:space="preserve">248.64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61.26</w:t>
            </w:r>
          </w:p>
        </w:tc>
        <w:tc>
          <w:tcPr>
            <w:tcW w:w="1600" w:type="dxa"/>
            <w:tcBorders/>
            <w:vAlign w:val="center"/>
          </w:tcPr>
          <w:p>
            <w:pPr>
              <w:jc w:val="right"/>
            </w:pPr>
            <w:r>
              <w:rPr>
                <w:rFonts w:ascii="宋体" w:eastAsia="宋体" w:hAnsi="宋体" w:cs="宋体"/>
                <w:b w:val="0"/>
                <w:i w:val="0"/>
                <w:color w:val="000000"/>
                <w:sz w:val="19"/>
              </w:rPr>
              <w:t xml:space="preserve">61.26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71.77</w:t>
            </w:r>
          </w:p>
        </w:tc>
        <w:tc>
          <w:tcPr>
            <w:tcW w:w="1600" w:type="dxa"/>
            <w:tcBorders/>
            <w:vAlign w:val="center"/>
          </w:tcPr>
          <w:p>
            <w:pPr>
              <w:jc w:val="right"/>
            </w:pPr>
            <w:r>
              <w:rPr>
                <w:rFonts w:ascii="宋体" w:eastAsia="宋体" w:hAnsi="宋体" w:cs="宋体"/>
                <w:b w:val="0"/>
                <w:i w:val="0"/>
                <w:color w:val="000000"/>
                <w:sz w:val="19"/>
              </w:rPr>
              <w:t xml:space="preserve">71.77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71.77</w:t>
            </w:r>
          </w:p>
        </w:tc>
        <w:tc>
          <w:tcPr>
            <w:tcW w:w="1600" w:type="dxa"/>
            <w:tcBorders/>
            <w:vAlign w:val="center"/>
          </w:tcPr>
          <w:p>
            <w:pPr>
              <w:jc w:val="right"/>
            </w:pPr>
            <w:r>
              <w:rPr>
                <w:rFonts w:ascii="宋体" w:eastAsia="宋体" w:hAnsi="宋体" w:cs="宋体"/>
                <w:b w:val="0"/>
                <w:i w:val="0"/>
                <w:color w:val="000000"/>
                <w:sz w:val="19"/>
              </w:rPr>
              <w:t xml:space="preserve">71.77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38.34</w:t>
            </w:r>
          </w:p>
        </w:tc>
        <w:tc>
          <w:tcPr>
            <w:tcW w:w="1600" w:type="dxa"/>
            <w:tcBorders/>
            <w:vAlign w:val="center"/>
          </w:tcPr>
          <w:p>
            <w:pPr>
              <w:jc w:val="right"/>
            </w:pPr>
            <w:r>
              <w:rPr>
                <w:rFonts w:ascii="宋体" w:eastAsia="宋体" w:hAnsi="宋体" w:cs="宋体"/>
                <w:b w:val="0"/>
                <w:i w:val="0"/>
                <w:color w:val="000000"/>
                <w:sz w:val="19"/>
              </w:rPr>
              <w:t xml:space="preserve">38.34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33.43</w:t>
            </w:r>
          </w:p>
        </w:tc>
        <w:tc>
          <w:tcPr>
            <w:tcW w:w="1600" w:type="dxa"/>
            <w:tcBorders/>
            <w:vAlign w:val="center"/>
          </w:tcPr>
          <w:p>
            <w:pPr>
              <w:jc w:val="right"/>
            </w:pPr>
            <w:r>
              <w:rPr>
                <w:rFonts w:ascii="宋体" w:eastAsia="宋体" w:hAnsi="宋体" w:cs="宋体"/>
                <w:b w:val="0"/>
                <w:i w:val="0"/>
                <w:color w:val="000000"/>
                <w:sz w:val="19"/>
              </w:rPr>
              <w:t xml:space="preserve">33.43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3.65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3.65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55.32</w:t>
            </w:r>
          </w:p>
        </w:tc>
        <w:tc>
          <w:tcPr>
            <w:tcW w:w="1600" w:type="dxa"/>
            <w:tcBorders/>
            <w:vAlign w:val="center"/>
          </w:tcPr>
          <w:p>
            <w:pPr>
              <w:jc w:val="right"/>
            </w:pPr>
            <w:r>
              <w:rPr>
                <w:rFonts w:ascii="宋体" w:eastAsia="宋体" w:hAnsi="宋体" w:cs="宋体"/>
                <w:b w:val="0"/>
                <w:i w:val="0"/>
                <w:color w:val="000000"/>
                <w:sz w:val="19"/>
              </w:rPr>
              <w:t xml:space="preserve">55.32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55.32</w:t>
            </w:r>
          </w:p>
        </w:tc>
        <w:tc>
          <w:tcPr>
            <w:tcW w:w="1600" w:type="dxa"/>
            <w:tcBorders/>
            <w:vAlign w:val="center"/>
          </w:tcPr>
          <w:p>
            <w:pPr>
              <w:jc w:val="right"/>
            </w:pPr>
            <w:r>
              <w:rPr>
                <w:rFonts w:ascii="宋体" w:eastAsia="宋体" w:hAnsi="宋体" w:cs="宋体"/>
                <w:b w:val="0"/>
                <w:i w:val="0"/>
                <w:color w:val="000000"/>
                <w:sz w:val="19"/>
              </w:rPr>
              <w:t xml:space="preserve">55.32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55.32</w:t>
            </w:r>
          </w:p>
        </w:tc>
        <w:tc>
          <w:tcPr>
            <w:tcW w:w="1600" w:type="dxa"/>
            <w:tcBorders/>
            <w:vAlign w:val="center"/>
          </w:tcPr>
          <w:p>
            <w:pPr>
              <w:jc w:val="right"/>
            </w:pPr>
            <w:r>
              <w:rPr>
                <w:rFonts w:ascii="宋体" w:eastAsia="宋体" w:hAnsi="宋体" w:cs="宋体"/>
                <w:b w:val="0"/>
                <w:i w:val="0"/>
                <w:color w:val="000000"/>
                <w:sz w:val="19"/>
              </w:rPr>
              <w:t xml:space="preserve">55.32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2,174.23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62.10</w:t>
            </w:r>
          </w:p>
        </w:tc>
        <w:tc>
          <w:tcPr>
            <w:tcW w:w="1420" w:type="dxa"/>
            <w:tcBorders/>
            <w:vAlign w:val="center"/>
          </w:tcPr>
          <w:p>
            <w:pPr>
              <w:jc w:val="right"/>
            </w:pPr>
            <w:r>
              <w:rPr>
                <w:rFonts w:ascii="宋体" w:eastAsia="宋体" w:hAnsi="宋体" w:cs="宋体"/>
                <w:b w:val="0"/>
                <w:i w:val="0"/>
                <w:color w:val="000000"/>
                <w:sz w:val="18"/>
              </w:rPr>
              <w:t xml:space="preserve">62.10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1,838.53</w:t>
            </w:r>
          </w:p>
        </w:tc>
        <w:tc>
          <w:tcPr>
            <w:tcW w:w="1420" w:type="dxa"/>
            <w:tcBorders/>
            <w:vAlign w:val="center"/>
          </w:tcPr>
          <w:p>
            <w:pPr>
              <w:jc w:val="right"/>
            </w:pPr>
            <w:r>
              <w:rPr>
                <w:rFonts w:ascii="宋体" w:eastAsia="宋体" w:hAnsi="宋体" w:cs="宋体"/>
                <w:b w:val="0"/>
                <w:i w:val="0"/>
                <w:color w:val="000000"/>
                <w:sz w:val="18"/>
              </w:rPr>
              <w:t xml:space="preserve">1,838.53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352.91</w:t>
            </w:r>
          </w:p>
        </w:tc>
        <w:tc>
          <w:tcPr>
            <w:tcW w:w="1420" w:type="dxa"/>
            <w:tcBorders/>
            <w:vAlign w:val="center"/>
          </w:tcPr>
          <w:p>
            <w:pPr>
              <w:jc w:val="right"/>
            </w:pPr>
            <w:r>
              <w:rPr>
                <w:rFonts w:ascii="宋体" w:eastAsia="宋体" w:hAnsi="宋体" w:cs="宋体"/>
                <w:b w:val="0"/>
                <w:i w:val="0"/>
                <w:color w:val="000000"/>
                <w:sz w:val="18"/>
              </w:rPr>
              <w:t xml:space="preserve">352.91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71.77</w:t>
            </w:r>
          </w:p>
        </w:tc>
        <w:tc>
          <w:tcPr>
            <w:tcW w:w="1420" w:type="dxa"/>
            <w:tcBorders/>
            <w:vAlign w:val="center"/>
          </w:tcPr>
          <w:p>
            <w:pPr>
              <w:jc w:val="right"/>
            </w:pPr>
            <w:r>
              <w:rPr>
                <w:rFonts w:ascii="宋体" w:eastAsia="宋体" w:hAnsi="宋体" w:cs="宋体"/>
                <w:b w:val="0"/>
                <w:i w:val="0"/>
                <w:color w:val="000000"/>
                <w:sz w:val="18"/>
              </w:rPr>
              <w:t xml:space="preserve">71.77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3.65</w:t>
            </w:r>
          </w:p>
        </w:tc>
        <w:tc>
          <w:tcPr>
            <w:tcW w:w="1420" w:type="dxa"/>
            <w:tcBorders/>
            <w:vAlign w:val="center"/>
          </w:tcPr>
          <w:p>
            <w:pPr>
              <w:jc w:val="right"/>
            </w:pPr>
            <w:r>
              <w:rPr>
                <w:rFonts w:ascii="宋体" w:eastAsia="宋体" w:hAnsi="宋体" w:cs="宋体"/>
                <w:b w:val="0"/>
                <w:i w:val="0"/>
                <w:color w:val="000000"/>
                <w:sz w:val="18"/>
              </w:rPr>
              <w:t xml:space="preserve">3.65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55.32</w:t>
            </w:r>
          </w:p>
        </w:tc>
        <w:tc>
          <w:tcPr>
            <w:tcW w:w="1420" w:type="dxa"/>
            <w:tcBorders/>
            <w:vAlign w:val="center"/>
          </w:tcPr>
          <w:p>
            <w:pPr>
              <w:jc w:val="right"/>
            </w:pPr>
            <w:r>
              <w:rPr>
                <w:rFonts w:ascii="宋体" w:eastAsia="宋体" w:hAnsi="宋体" w:cs="宋体"/>
                <w:b w:val="0"/>
                <w:i w:val="0"/>
                <w:color w:val="000000"/>
                <w:sz w:val="18"/>
              </w:rPr>
              <w:t xml:space="preserve">55.32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2,174.23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2,384.28</w:t>
            </w:r>
          </w:p>
        </w:tc>
        <w:tc>
          <w:tcPr>
            <w:tcW w:w="1420" w:type="dxa"/>
            <w:tcBorders/>
            <w:vAlign w:val="center"/>
          </w:tcPr>
          <w:p>
            <w:pPr>
              <w:jc w:val="right"/>
            </w:pPr>
            <w:r>
              <w:rPr>
                <w:rFonts w:ascii="宋体" w:eastAsia="宋体" w:hAnsi="宋体" w:cs="宋体"/>
                <w:b w:val="0"/>
                <w:i w:val="0"/>
                <w:color w:val="000000"/>
                <w:sz w:val="18"/>
              </w:rPr>
              <w:t xml:space="preserve">2,384.28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210.06</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210.06</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2,384.28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2,384.28</w:t>
            </w:r>
          </w:p>
        </w:tc>
        <w:tc>
          <w:tcPr>
            <w:tcW w:w="1420" w:type="dxa"/>
            <w:tcBorders/>
            <w:vAlign w:val="center"/>
          </w:tcPr>
          <w:p>
            <w:pPr>
              <w:jc w:val="right"/>
            </w:pPr>
            <w:r>
              <w:rPr>
                <w:rFonts w:ascii="宋体" w:eastAsia="宋体" w:hAnsi="宋体" w:cs="宋体"/>
                <w:b w:val="0"/>
                <w:i w:val="0"/>
                <w:color w:val="000000"/>
                <w:sz w:val="18"/>
              </w:rPr>
              <w:t xml:space="preserve">2,384.28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2,384.28</w:t>
            </w:r>
          </w:p>
        </w:tc>
        <w:tc>
          <w:tcPr>
            <w:tcW w:w="2700" w:type="dxa"/>
            <w:tcBorders/>
            <w:vAlign w:val="center"/>
          </w:tcPr>
          <w:p>
            <w:pPr>
              <w:jc w:val="right"/>
            </w:pPr>
            <w:r>
              <w:rPr>
                <w:rFonts w:ascii="宋体" w:eastAsia="宋体" w:hAnsi="宋体" w:cs="宋体"/>
                <w:b/>
                <w:i w:val="0"/>
                <w:color w:val="000000"/>
                <w:sz w:val="25"/>
              </w:rPr>
              <w:t xml:space="preserve">1,519.38</w:t>
            </w:r>
          </w:p>
        </w:tc>
        <w:tc>
          <w:tcPr>
            <w:tcW w:w="2658" w:type="dxa"/>
            <w:tcBorders/>
            <w:vAlign w:val="center"/>
          </w:tcPr>
          <w:p>
            <w:pPr>
              <w:jc w:val="right"/>
            </w:pPr>
            <w:r>
              <w:rPr>
                <w:rFonts w:ascii="宋体" w:eastAsia="宋体" w:hAnsi="宋体" w:cs="宋体"/>
                <w:b/>
                <w:i w:val="0"/>
                <w:color w:val="000000"/>
                <w:sz w:val="25"/>
              </w:rPr>
              <w:t xml:space="preserve">864.90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62.10</w:t>
            </w:r>
          </w:p>
        </w:tc>
        <w:tc>
          <w:tcPr>
            <w:tcW w:w="2700" w:type="dxa"/>
            <w:tcBorders/>
            <w:vAlign w:val="center"/>
          </w:tcPr>
          <w:p>
            <w:pPr>
              <w:jc w:val="right"/>
            </w:pPr>
            <w:r>
              <w:rPr>
                <w:rFonts w:ascii="宋体" w:eastAsia="宋体" w:hAnsi="宋体" w:cs="宋体"/>
                <w:b w:val="0"/>
                <w:i w:val="0"/>
                <w:color w:val="000000"/>
                <w:sz w:val="25"/>
              </w:rPr>
              <w:t xml:space="preserve">62.10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56.19</w:t>
            </w:r>
          </w:p>
        </w:tc>
        <w:tc>
          <w:tcPr>
            <w:tcW w:w="2700" w:type="dxa"/>
            <w:tcBorders/>
            <w:vAlign w:val="center"/>
          </w:tcPr>
          <w:p>
            <w:pPr>
              <w:jc w:val="right"/>
            </w:pPr>
            <w:r>
              <w:rPr>
                <w:rFonts w:ascii="宋体" w:eastAsia="宋体" w:hAnsi="宋体" w:cs="宋体"/>
                <w:b w:val="0"/>
                <w:i w:val="0"/>
                <w:color w:val="000000"/>
                <w:sz w:val="25"/>
              </w:rPr>
              <w:t xml:space="preserve">56.19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56.19</w:t>
            </w:r>
          </w:p>
        </w:tc>
        <w:tc>
          <w:tcPr>
            <w:tcW w:w="2700" w:type="dxa"/>
            <w:tcBorders/>
            <w:vAlign w:val="center"/>
          </w:tcPr>
          <w:p>
            <w:pPr>
              <w:jc w:val="right"/>
            </w:pPr>
            <w:r>
              <w:rPr>
                <w:rFonts w:ascii="宋体" w:eastAsia="宋体" w:hAnsi="宋体" w:cs="宋体"/>
                <w:b w:val="0"/>
                <w:i w:val="0"/>
                <w:color w:val="000000"/>
                <w:sz w:val="25"/>
              </w:rPr>
              <w:t xml:space="preserve">56.19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1,838.53</w:t>
            </w:r>
          </w:p>
        </w:tc>
        <w:tc>
          <w:tcPr>
            <w:tcW w:w="2700" w:type="dxa"/>
            <w:tcBorders/>
            <w:vAlign w:val="center"/>
          </w:tcPr>
          <w:p>
            <w:pPr>
              <w:jc w:val="right"/>
            </w:pPr>
            <w:r>
              <w:rPr>
                <w:rFonts w:ascii="宋体" w:eastAsia="宋体" w:hAnsi="宋体" w:cs="宋体"/>
                <w:b w:val="0"/>
                <w:i w:val="0"/>
                <w:color w:val="000000"/>
                <w:sz w:val="25"/>
              </w:rPr>
              <w:t xml:space="preserve">977.28</w:t>
            </w:r>
          </w:p>
        </w:tc>
        <w:tc>
          <w:tcPr>
            <w:tcW w:w="2658" w:type="dxa"/>
            <w:tcBorders/>
            <w:vAlign w:val="center"/>
          </w:tcPr>
          <w:p>
            <w:pPr>
              <w:jc w:val="right"/>
            </w:pPr>
            <w:r>
              <w:rPr>
                <w:rFonts w:ascii="宋体" w:eastAsia="宋体" w:hAnsi="宋体" w:cs="宋体"/>
                <w:b w:val="0"/>
                <w:i w:val="0"/>
                <w:color w:val="000000"/>
                <w:sz w:val="25"/>
              </w:rPr>
              <w:t xml:space="preserve">861.25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w:t>
            </w:r>
          </w:p>
        </w:tc>
        <w:tc>
          <w:tcPr>
            <w:tcW w:w="2700" w:type="dxa"/>
            <w:tcBorders/>
            <w:vAlign w:val="center"/>
          </w:tcPr>
          <w:p>
            <w:pPr>
              <w:jc w:val="right"/>
            </w:pPr>
            <w:r>
              <w:rPr>
                <w:rFonts w:ascii="宋体" w:eastAsia="宋体" w:hAnsi="宋体" w:cs="宋体"/>
                <w:b w:val="0"/>
                <w:i w:val="0"/>
                <w:color w:val="000000"/>
                <w:sz w:val="25"/>
              </w:rPr>
              <w:t xml:space="preserve">1,805.01</w:t>
            </w:r>
          </w:p>
        </w:tc>
        <w:tc>
          <w:tcPr>
            <w:tcW w:w="2700" w:type="dxa"/>
            <w:tcBorders/>
            <w:vAlign w:val="center"/>
          </w:tcPr>
          <w:p>
            <w:pPr>
              <w:jc w:val="right"/>
            </w:pPr>
            <w:r>
              <w:rPr>
                <w:rFonts w:ascii="宋体" w:eastAsia="宋体" w:hAnsi="宋体" w:cs="宋体"/>
                <w:b w:val="0"/>
                <w:i w:val="0"/>
                <w:color w:val="000000"/>
                <w:sz w:val="25"/>
              </w:rPr>
              <w:t xml:space="preserve">977.28</w:t>
            </w:r>
          </w:p>
        </w:tc>
        <w:tc>
          <w:tcPr>
            <w:tcW w:w="2658" w:type="dxa"/>
            <w:tcBorders/>
            <w:vAlign w:val="center"/>
          </w:tcPr>
          <w:p>
            <w:pPr>
              <w:jc w:val="right"/>
            </w:pPr>
            <w:r>
              <w:rPr>
                <w:rFonts w:ascii="宋体" w:eastAsia="宋体" w:hAnsi="宋体" w:cs="宋体"/>
                <w:b w:val="0"/>
                <w:i w:val="0"/>
                <w:color w:val="000000"/>
                <w:sz w:val="25"/>
              </w:rPr>
              <w:t xml:space="preserve">827.73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1,187.34</w:t>
            </w:r>
          </w:p>
        </w:tc>
        <w:tc>
          <w:tcPr>
            <w:tcW w:w="2700" w:type="dxa"/>
            <w:tcBorders/>
            <w:vAlign w:val="center"/>
          </w:tcPr>
          <w:p>
            <w:pPr>
              <w:jc w:val="right"/>
            </w:pPr>
            <w:r>
              <w:rPr>
                <w:rFonts w:ascii="宋体" w:eastAsia="宋体" w:hAnsi="宋体" w:cs="宋体"/>
                <w:b w:val="0"/>
                <w:i w:val="0"/>
                <w:color w:val="000000"/>
                <w:sz w:val="25"/>
              </w:rPr>
              <w:t xml:space="preserve">977.28</w:t>
            </w:r>
          </w:p>
        </w:tc>
        <w:tc>
          <w:tcPr>
            <w:tcW w:w="2658" w:type="dxa"/>
            <w:tcBorders/>
            <w:vAlign w:val="center"/>
          </w:tcPr>
          <w:p>
            <w:pPr>
              <w:jc w:val="right"/>
            </w:pPr>
            <w:r>
              <w:rPr>
                <w:rFonts w:ascii="宋体" w:eastAsia="宋体" w:hAnsi="宋体" w:cs="宋体"/>
                <w:b w:val="0"/>
                <w:i w:val="0"/>
                <w:color w:val="000000"/>
                <w:sz w:val="25"/>
              </w:rPr>
              <w:t xml:space="preserve">210.06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文化创作与保护</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其他文化和旅游支出</w:t>
            </w:r>
          </w:p>
        </w:tc>
        <w:tc>
          <w:tcPr>
            <w:tcW w:w="2700" w:type="dxa"/>
            <w:tcBorders/>
            <w:vAlign w:val="center"/>
          </w:tcPr>
          <w:p>
            <w:pPr>
              <w:jc w:val="right"/>
            </w:pPr>
            <w:r>
              <w:rPr>
                <w:rFonts w:ascii="宋体" w:eastAsia="宋体" w:hAnsi="宋体" w:cs="宋体"/>
                <w:b w:val="0"/>
                <w:i w:val="0"/>
                <w:color w:val="000000"/>
                <w:sz w:val="25"/>
              </w:rPr>
              <w:t xml:space="preserve">602.59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602.59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文物</w:t>
            </w:r>
          </w:p>
        </w:tc>
        <w:tc>
          <w:tcPr>
            <w:tcW w:w="2700" w:type="dxa"/>
            <w:tcBorders/>
            <w:vAlign w:val="center"/>
          </w:tcPr>
          <w:p>
            <w:pPr>
              <w:jc w:val="right"/>
            </w:pPr>
            <w:r>
              <w:rPr>
                <w:rFonts w:ascii="宋体" w:eastAsia="宋体" w:hAnsi="宋体" w:cs="宋体"/>
                <w:b w:val="0"/>
                <w:i w:val="0"/>
                <w:color w:val="000000"/>
                <w:sz w:val="25"/>
              </w:rPr>
              <w:t xml:space="preserve">33.52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33.52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文物保护</w:t>
            </w:r>
          </w:p>
        </w:tc>
        <w:tc>
          <w:tcPr>
            <w:tcW w:w="2700" w:type="dxa"/>
            <w:tcBorders/>
            <w:vAlign w:val="center"/>
          </w:tcPr>
          <w:p>
            <w:pPr>
              <w:jc w:val="right"/>
            </w:pPr>
            <w:r>
              <w:rPr>
                <w:rFonts w:ascii="宋体" w:eastAsia="宋体" w:hAnsi="宋体" w:cs="宋体"/>
                <w:b w:val="0"/>
                <w:i w:val="0"/>
                <w:color w:val="000000"/>
                <w:sz w:val="25"/>
              </w:rPr>
              <w:t xml:space="preserve">33.52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33.52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352.91</w:t>
            </w:r>
          </w:p>
        </w:tc>
        <w:tc>
          <w:tcPr>
            <w:tcW w:w="2700" w:type="dxa"/>
            <w:tcBorders/>
            <w:vAlign w:val="center"/>
          </w:tcPr>
          <w:p>
            <w:pPr>
              <w:jc w:val="right"/>
            </w:pPr>
            <w:r>
              <w:rPr>
                <w:rFonts w:ascii="宋体" w:eastAsia="宋体" w:hAnsi="宋体" w:cs="宋体"/>
                <w:b w:val="0"/>
                <w:i w:val="0"/>
                <w:color w:val="000000"/>
                <w:sz w:val="25"/>
              </w:rPr>
              <w:t xml:space="preserve">352.91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309.90</w:t>
            </w:r>
          </w:p>
        </w:tc>
        <w:tc>
          <w:tcPr>
            <w:tcW w:w="2700" w:type="dxa"/>
            <w:tcBorders/>
            <w:vAlign w:val="center"/>
          </w:tcPr>
          <w:p>
            <w:pPr>
              <w:jc w:val="right"/>
            </w:pPr>
            <w:r>
              <w:rPr>
                <w:rFonts w:ascii="宋体" w:eastAsia="宋体" w:hAnsi="宋体" w:cs="宋体"/>
                <w:b w:val="0"/>
                <w:i w:val="0"/>
                <w:color w:val="000000"/>
                <w:sz w:val="25"/>
              </w:rPr>
              <w:t xml:space="preserve">309.90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248.64</w:t>
            </w:r>
          </w:p>
        </w:tc>
        <w:tc>
          <w:tcPr>
            <w:tcW w:w="2700" w:type="dxa"/>
            <w:tcBorders/>
            <w:vAlign w:val="center"/>
          </w:tcPr>
          <w:p>
            <w:pPr>
              <w:jc w:val="right"/>
            </w:pPr>
            <w:r>
              <w:rPr>
                <w:rFonts w:ascii="宋体" w:eastAsia="宋体" w:hAnsi="宋体" w:cs="宋体"/>
                <w:b w:val="0"/>
                <w:i w:val="0"/>
                <w:color w:val="000000"/>
                <w:sz w:val="25"/>
              </w:rPr>
              <w:t xml:space="preserve">248.64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61.26</w:t>
            </w:r>
          </w:p>
        </w:tc>
        <w:tc>
          <w:tcPr>
            <w:tcW w:w="2700" w:type="dxa"/>
            <w:tcBorders/>
            <w:vAlign w:val="center"/>
          </w:tcPr>
          <w:p>
            <w:pPr>
              <w:jc w:val="right"/>
            </w:pPr>
            <w:r>
              <w:rPr>
                <w:rFonts w:ascii="宋体" w:eastAsia="宋体" w:hAnsi="宋体" w:cs="宋体"/>
                <w:b w:val="0"/>
                <w:i w:val="0"/>
                <w:color w:val="000000"/>
                <w:sz w:val="25"/>
              </w:rPr>
              <w:t xml:space="preserve">61.26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71.77</w:t>
            </w:r>
          </w:p>
        </w:tc>
        <w:tc>
          <w:tcPr>
            <w:tcW w:w="2700" w:type="dxa"/>
            <w:tcBorders/>
            <w:vAlign w:val="center"/>
          </w:tcPr>
          <w:p>
            <w:pPr>
              <w:jc w:val="right"/>
            </w:pPr>
            <w:r>
              <w:rPr>
                <w:rFonts w:ascii="宋体" w:eastAsia="宋体" w:hAnsi="宋体" w:cs="宋体"/>
                <w:b w:val="0"/>
                <w:i w:val="0"/>
                <w:color w:val="000000"/>
                <w:sz w:val="25"/>
              </w:rPr>
              <w:t xml:space="preserve">71.77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71.77</w:t>
            </w:r>
          </w:p>
        </w:tc>
        <w:tc>
          <w:tcPr>
            <w:tcW w:w="2700" w:type="dxa"/>
            <w:tcBorders/>
            <w:vAlign w:val="center"/>
          </w:tcPr>
          <w:p>
            <w:pPr>
              <w:jc w:val="right"/>
            </w:pPr>
            <w:r>
              <w:rPr>
                <w:rFonts w:ascii="宋体" w:eastAsia="宋体" w:hAnsi="宋体" w:cs="宋体"/>
                <w:b w:val="0"/>
                <w:i w:val="0"/>
                <w:color w:val="000000"/>
                <w:sz w:val="25"/>
              </w:rPr>
              <w:t xml:space="preserve">71.77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38.34</w:t>
            </w:r>
          </w:p>
        </w:tc>
        <w:tc>
          <w:tcPr>
            <w:tcW w:w="2700" w:type="dxa"/>
            <w:tcBorders/>
            <w:vAlign w:val="center"/>
          </w:tcPr>
          <w:p>
            <w:pPr>
              <w:jc w:val="right"/>
            </w:pPr>
            <w:r>
              <w:rPr>
                <w:rFonts w:ascii="宋体" w:eastAsia="宋体" w:hAnsi="宋体" w:cs="宋体"/>
                <w:b w:val="0"/>
                <w:i w:val="0"/>
                <w:color w:val="000000"/>
                <w:sz w:val="25"/>
              </w:rPr>
              <w:t xml:space="preserve">38.34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33.43</w:t>
            </w:r>
          </w:p>
        </w:tc>
        <w:tc>
          <w:tcPr>
            <w:tcW w:w="2700" w:type="dxa"/>
            <w:tcBorders/>
            <w:vAlign w:val="center"/>
          </w:tcPr>
          <w:p>
            <w:pPr>
              <w:jc w:val="right"/>
            </w:pPr>
            <w:r>
              <w:rPr>
                <w:rFonts w:ascii="宋体" w:eastAsia="宋体" w:hAnsi="宋体" w:cs="宋体"/>
                <w:b w:val="0"/>
                <w:i w:val="0"/>
                <w:color w:val="000000"/>
                <w:sz w:val="25"/>
              </w:rPr>
              <w:t xml:space="preserve">33.43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3.65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3.65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55.32</w:t>
            </w:r>
          </w:p>
        </w:tc>
        <w:tc>
          <w:tcPr>
            <w:tcW w:w="2700" w:type="dxa"/>
            <w:tcBorders/>
            <w:vAlign w:val="center"/>
          </w:tcPr>
          <w:p>
            <w:pPr>
              <w:jc w:val="right"/>
            </w:pPr>
            <w:r>
              <w:rPr>
                <w:rFonts w:ascii="宋体" w:eastAsia="宋体" w:hAnsi="宋体" w:cs="宋体"/>
                <w:b w:val="0"/>
                <w:i w:val="0"/>
                <w:color w:val="000000"/>
                <w:sz w:val="25"/>
              </w:rPr>
              <w:t xml:space="preserve">55.32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55.32</w:t>
            </w:r>
          </w:p>
        </w:tc>
        <w:tc>
          <w:tcPr>
            <w:tcW w:w="2700" w:type="dxa"/>
            <w:tcBorders/>
            <w:vAlign w:val="center"/>
          </w:tcPr>
          <w:p>
            <w:pPr>
              <w:jc w:val="right"/>
            </w:pPr>
            <w:r>
              <w:rPr>
                <w:rFonts w:ascii="宋体" w:eastAsia="宋体" w:hAnsi="宋体" w:cs="宋体"/>
                <w:b w:val="0"/>
                <w:i w:val="0"/>
                <w:color w:val="000000"/>
                <w:sz w:val="25"/>
              </w:rPr>
              <w:t xml:space="preserve">55.32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55.32</w:t>
            </w:r>
          </w:p>
        </w:tc>
        <w:tc>
          <w:tcPr>
            <w:tcW w:w="2700" w:type="dxa"/>
            <w:tcBorders/>
            <w:vAlign w:val="center"/>
          </w:tcPr>
          <w:p>
            <w:pPr>
              <w:jc w:val="right"/>
            </w:pPr>
            <w:r>
              <w:rPr>
                <w:rFonts w:ascii="宋体" w:eastAsia="宋体" w:hAnsi="宋体" w:cs="宋体"/>
                <w:b w:val="0"/>
                <w:i w:val="0"/>
                <w:color w:val="000000"/>
                <w:sz w:val="25"/>
              </w:rPr>
              <w:t xml:space="preserve">55.32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1,087.45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137.63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238.70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13.02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269.09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0.84</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390.93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1.59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1.59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61.26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4.78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38.34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33.43</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12.35</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15.04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55.32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292.71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1.62</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38.35</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1.30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210.29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43.02</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1.06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0.68</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9.18</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5.91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8.17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8.00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43.88</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12.49</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1,380.17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139.22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单位：许昌市文化广电和旅游局（本级）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2384.28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增加471.71万元，增长24.66%</w:t>
      </w:r>
      <w:r>
        <w:rPr>
          <w:rFonts w:ascii="仿宋" w:eastAsia="仿宋" w:hAnsi="仿宋" w:cs="仿宋" w:hint="eastAsia"/>
          <w:kern w:val="0"/>
          <w:sz w:val="32"/>
          <w:szCs w:val="32"/>
          <w:lang w:val="en-US" w:eastAsia="zh-CN"/>
        </w:rPr>
        <w:t xml:space="preserve">。主要原因是一般公共预算财政拨款项目收入增加。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2174.23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财政拨款收入2174.23万元，占100.00%；上级补助收入0.00万元，占0.00%；事业收入0.00万元，占0.00%；经营收入0.00万元，占0.00%；附属单位上缴收入0.00万元，占0.00%；其他收入0.00万元，占0.00%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2384.28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基本支出1519.38万元，占63.72%；项目支出864.90万元，占36.28%；上缴上级支出0.00万元，占0.00%；经营支出0.00万元，占0.00%；对附属单位补助支出0.00万元，占0.00%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2384.28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增加518.61万元，增长27.80%</w:t>
      </w:r>
      <w:r>
        <w:rPr>
          <w:rFonts w:ascii="仿宋" w:eastAsia="仿宋" w:hAnsi="仿宋" w:cs="仿宋" w:hint="eastAsia"/>
          <w:kern w:val="0"/>
          <w:sz w:val="32"/>
          <w:szCs w:val="32"/>
          <w:lang w:val="en-US" w:eastAsia="zh-CN"/>
        </w:rPr>
        <w:t xml:space="preserve">。主要原因是一般公共预算财政拨款项目收入和项目支出增多。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2384.28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增加518.61万元，增长27.80%</w:t>
      </w:r>
      <w:r>
        <w:rPr>
          <w:rFonts w:ascii="仿宋" w:eastAsia="仿宋" w:hAnsi="仿宋" w:cs="仿宋" w:hint="eastAsia"/>
          <w:kern w:val="0"/>
          <w:sz w:val="32"/>
          <w:szCs w:val="32"/>
          <w:lang w:val="en-US" w:eastAsia="zh-CN"/>
        </w:rPr>
        <w:t xml:space="preserve">。主要原因是一般公共预算财政拨款项目支出增加。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2384.28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62.10万元，占2.60%；文化旅游体育与传媒支出（类）1838.53万元，占77.11%；社会保障和就业支出（类）352.91万元，占14.80%；卫生健康支出（类）71.77万元，占3.01%；农林水支出（类）3.65万元，占0.15%；住房保障支出（类）55.32万元，占2.33%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2745.32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2384.28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86.85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年初预算数为5.91万元，决算数5.91万元,完成年初预算的100.00%，决算数与年初预算数不存在差异。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年初预算数为10.40万元，决算数56.19万元,完成年初预算的540.29%，决算数与年初预算数存在差异的主要原因是根据实际情况支付相关经费，追加工作经费预算，保障相关工作资金。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3.文化旅游体育与传媒支出（类）文化和旅游（款）行政运行（项）</w:t>
      </w:r>
      <w:r>
        <w:rPr>
          <w:rFonts w:ascii="仿宋" w:eastAsia="仿宋" w:hAnsi="仿宋" w:cs="仿宋" w:hint="default"/>
          <w:kern w:val="2"/>
          <w:sz w:val="32"/>
          <w:szCs w:val="32"/>
          <w:lang w:val="en-US" w:eastAsia="zh-CN"/>
        </w:rPr>
        <w:t xml:space="preserve">年初预算数为985.09万元，决算数1187.34万元,完成年初预算的120.53%，决算数与年初预算数存在差异的主要原因是根据实际情况支付相关经费，追加工作经费预算，保障相关工作资金。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4.文化旅游体育与传媒支出（类）文化和旅游（款）一般行政管理事务（项）</w:t>
      </w:r>
      <w:r>
        <w:rPr>
          <w:rFonts w:ascii="仿宋" w:eastAsia="仿宋" w:hAnsi="仿宋" w:cs="仿宋" w:hint="default"/>
          <w:kern w:val="2"/>
          <w:sz w:val="32"/>
          <w:szCs w:val="32"/>
          <w:lang w:val="en-US" w:eastAsia="zh-CN"/>
        </w:rPr>
        <w:t xml:space="preserve">年初预算数为0.00万元，决算数2.59万元,决算数与年初预算数存在差异的主要原因是无该项目预算，根据实际工作需要，追加工作经费。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5.文化旅游体育与传媒支出（类）文化和旅游（款）文化创作与保护（项）</w:t>
      </w:r>
      <w:r>
        <w:rPr>
          <w:rFonts w:ascii="仿宋" w:eastAsia="仿宋" w:hAnsi="仿宋" w:cs="仿宋" w:hint="default"/>
          <w:kern w:val="2"/>
          <w:sz w:val="32"/>
          <w:szCs w:val="32"/>
          <w:lang w:val="en-US" w:eastAsia="zh-CN"/>
        </w:rPr>
        <w:t xml:space="preserve">年初预算数为0.00万元，决算数12.50万元,决算数与年初预算数存在差异的主要原因是无该项目预算，根据实际工作需要，追加工作经费。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6.文化旅游体育与传媒支出（类）文化和旅游（款）其他文化和旅游支出（项）</w:t>
      </w:r>
      <w:r>
        <w:rPr>
          <w:rFonts w:ascii="仿宋" w:eastAsia="仿宋" w:hAnsi="仿宋" w:cs="仿宋" w:hint="default"/>
          <w:kern w:val="2"/>
          <w:sz w:val="32"/>
          <w:szCs w:val="32"/>
          <w:lang w:val="en-US" w:eastAsia="zh-CN"/>
        </w:rPr>
        <w:t xml:space="preserve">年初预算数为1189.61万元，决算数602.59万元,完成年初预算的50.65%，决算数与年初预算数存在差异的主要原因是根据工作开展实际情况进行支付。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7.文化旅游体育与传媒支出（类）文物（款）文物保护（项）</w:t>
      </w:r>
      <w:r>
        <w:rPr>
          <w:rFonts w:ascii="仿宋" w:eastAsia="仿宋" w:hAnsi="仿宋" w:cs="仿宋" w:hint="default"/>
          <w:kern w:val="2"/>
          <w:sz w:val="32"/>
          <w:szCs w:val="32"/>
          <w:lang w:val="en-US" w:eastAsia="zh-CN"/>
        </w:rPr>
        <w:t xml:space="preserve">年初预算数为0.00万元，决算数33.52万元,决算数与年初预算数存在差异的主要原因是无该项目预算，根据实际工作需要，追加工作经费。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年初预算数为194.25万元，决算数248.64万元,完成年初预算的128.00%，决算数与年初预算数存在差异的主要原因是根据实际情况支付相关经费，追加工作经费预算，保障相关工作资金。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年初预算数为68.46万元，决算数61.26万元,完成年初预算的89.48%，决算数与年初预算数存在差异的主要原因是单位人员变动，根据实际情况支付相关经费。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10.社会保障和就业支出（类）抚恤（款）死亡抚恤（项）</w:t>
      </w:r>
      <w:r>
        <w:rPr>
          <w:rFonts w:ascii="仿宋" w:eastAsia="仿宋" w:hAnsi="仿宋" w:cs="仿宋" w:hint="default"/>
          <w:kern w:val="2"/>
          <w:sz w:val="32"/>
          <w:szCs w:val="32"/>
          <w:lang w:val="en-US" w:eastAsia="zh-CN"/>
        </w:rPr>
        <w:t xml:space="preserve">年初预算数为0.00万元，决算数43.02万元,决算数与年初预算数存在差异的主要原因是无该项目预算，根据实际工作需要，追加工作经费。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11.卫生健康支出（类）行政事业单位医疗（款）行政单位医疗（项）</w:t>
      </w:r>
      <w:r>
        <w:rPr>
          <w:rFonts w:ascii="仿宋" w:eastAsia="仿宋" w:hAnsi="仿宋" w:cs="仿宋" w:hint="default"/>
          <w:kern w:val="2"/>
          <w:sz w:val="32"/>
          <w:szCs w:val="32"/>
          <w:lang w:val="en-US" w:eastAsia="zh-CN"/>
        </w:rPr>
        <w:t xml:space="preserve">年初预算数为35.33万元，决算数38.34万元,完成年初预算的108.52%，决算数与年初预算数存在差异的主要原因是根据实际情况支付相关经费，追加工作经费预算，保障相关工作资金。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12.卫生健康支出（类）行政事业单位医疗（款）公务员医疗补助（项）</w:t>
      </w:r>
      <w:r>
        <w:rPr>
          <w:rFonts w:ascii="仿宋" w:eastAsia="仿宋" w:hAnsi="仿宋" w:cs="仿宋" w:hint="default"/>
          <w:kern w:val="2"/>
          <w:sz w:val="32"/>
          <w:szCs w:val="32"/>
          <w:lang w:val="en-US" w:eastAsia="zh-CN"/>
        </w:rPr>
        <w:t xml:space="preserve">年初预算数为38.97万元，决算数33.43万元,完成年初预算的85.78%，决算数与年初预算数存在差异的主要原因是单位人员变动，根据实际情况支付相关经费。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年初预算数为0.00万元，决算数0.90万元,决算数与年初预算数存在差异的主要原因是无该项目预算，根据实际工作需要，追加工作经费。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年初预算数为0.00万元，决算数2.75万元,决算数与年初预算数存在差异的主要原因是无该项目预算，根据实际工作需要，追加工作经费。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15.住房保障支出（类）住房改革支出（款）住房公积金（项）</w:t>
      </w:r>
      <w:r>
        <w:rPr>
          <w:rFonts w:ascii="仿宋" w:eastAsia="仿宋" w:hAnsi="仿宋" w:cs="仿宋" w:hint="default"/>
          <w:kern w:val="2"/>
          <w:sz w:val="32"/>
          <w:szCs w:val="32"/>
          <w:lang w:val="en-US" w:eastAsia="zh-CN"/>
        </w:rPr>
        <w:t xml:space="preserve">年初预算数为67.29万元，决算数55.32万元,完成年初预算的82.21%，决算数与年初预算数存在差异的主要原因是单位人员变动，根据实际情况支付相关经费。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1519.38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其中：人员经费1380.17万元，主要包括：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公用经费139.22万元，主要包括：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主要用于机要文件交换、应急公务出行和日常车辆燃料费、维修费、过桥过路费、保险费等支出。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2023年度机关运行经费支出139.22万元，</w:t>
      </w:r>
      <w:r>
        <w:rPr>
          <w:rFonts w:ascii="仿宋" w:eastAsia="仿宋" w:hAnsi="仿宋" w:cs="仿宋" w:hint="eastAsia"/>
          <w:kern w:val="0"/>
          <w:sz w:val="32"/>
          <w:szCs w:val="32"/>
          <w:lang w:val="en-US" w:eastAsia="zh-CN"/>
        </w:rPr>
        <w:t xml:space="preserve">较2022年度增长1.86万元，</w:t>
      </w:r>
      <w:r>
        <w:rPr>
          <w:rFonts w:ascii="仿宋" w:eastAsia="仿宋" w:hAnsi="仿宋" w:cs="仿宋" w:hint="eastAsia"/>
          <w:kern w:val="0"/>
          <w:sz w:val="32"/>
          <w:szCs w:val="32"/>
          <w:lang w:val="en-US" w:eastAsia="zh-CN"/>
        </w:rPr>
        <w:t xml:space="preserve">增长1.35%，</w:t>
      </w:r>
      <w:r>
        <w:rPr>
          <w:rFonts w:ascii="仿宋" w:eastAsia="仿宋" w:hAnsi="仿宋" w:cs="仿宋" w:hint="eastAsia"/>
          <w:kern w:val="0"/>
          <w:sz w:val="32"/>
          <w:szCs w:val="32"/>
          <w:lang w:val="en-US" w:eastAsia="zh-CN"/>
        </w:rPr>
        <w:t xml:space="preserve">主要原因是根据实际情况支付相关经费，追加工作经费预算，保障相关工作资金。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13818.17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98.49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整体绩效围绕抓好硬件设施完善提升、抓好人才队伍建设、抓好群众文化活动、抓好打造品牌文化活动、抓好重点改革任务的完成，合理有效地完成了总目标和主要任务</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基于项目预期目标的实现程度，我单位对2023年度单位预算项目支出（含单位参与分配的转移支付项目）开展绩效自评，涉及项目6个，项目金额384.61万元。其中：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（1）拨付文体客厅成列展览工程（一期）费用项目170.11万元，自评得分100分，等级为“优”，预算执行率100%，完成年初工作目标，完成文旅客厅成列展览工程（一期）项目，助推文旅产业发展。</w:t>
        <w:br/>
        <w:t xml:space="preserve">    （2）文旅促进发展费项目50万元，自评得分80分，等级为“良”，预算执行率0%，未完成年初工作目标，原因是经费未下达，需待后续资金到位后再开展工作。</w:t>
        <w:br/>
        <w:t xml:space="preserve">    （3）国家非物质文化遗产保护专项资金12.5万元，自评得分100分，等级为“优”，预算执行率100%，完成年初工作目标，用于补助代表性传承人开展授徒、传艺、交流等传承活动。</w:t>
        <w:br/>
        <w:t xml:space="preserve">    （4）2022年中央支持公共文化服务体系建设-公共文化云项目100万元，自评得分100分，等级为“优”，预算执行率100%，完成年初工作目标，完成公共文化云项目建设。</w:t>
        <w:br/>
        <w:t xml:space="preserve">    （5）2021年10月-2022年9月市区河湖水系考核奖励2万元，自评得分80分，等级为“良”，预算执行率0%，未完成年初工作目标，原因是经费未下达，需待后续资金到位后再开展工作。</w:t>
        <w:br/>
        <w:t xml:space="preserve">    （6）2023省级文物保护专项资金项目50万元，自评得分96.7分，等级为“优”，预算执行率67.04%，未完成年初工作目标。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从项目绩效自评情况来看，项目目标和指标基本完成，文化广电和旅游服务水平逐步提高。</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794"/>
        <w:gridCol w:w="920"/>
        <w:gridCol w:w="706"/>
        <w:gridCol w:w="580"/>
        <w:gridCol w:w="1588"/>
        <w:gridCol w:w="982"/>
        <w:gridCol w:w="1273"/>
        <w:gridCol w:w="567"/>
        <w:gridCol w:w="529"/>
        <w:gridCol w:w="693"/>
        <w:gridCol w:w="706"/>
        <w:gridCol w:w="567"/>
      </w:tblGrid>
      <w:tr>
        <w:trPr>
          <w:trHeight w:hRule="exact" w:val="362"/>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部门整体自评表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300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9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部门整体支出情况</w:t>
            </w: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9105.09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13818.17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10562.39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76.44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8.49</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9105.09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12138.6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9451.81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77.87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1679.57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1110.58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66.12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w:t>
            </w: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85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文化广电和旅游工作：负责全市文化、文物、广播电视和旅游工作，指导管理全市文艺事业、非物质文化遗产保护、公共文化、旅游事业发展，指导管理全市文物和考古、博物馆、纪念馆工作，管理全市性重大文化和旅游活动，负责全市广播电视机构行业监管、推进信息化标准化建设。进一步深化文化市场综合行政执法改革，切实加大文化市场、新闻出版、文物、旅游市场综合行政执法力度。做好市领导交办的重要工作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合理有效的完成了年度总目标和主要任务。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年度主要任务</w:t>
            </w: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主要内容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715"/>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做好文化广电和旅游工作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保障全市文化、文物、广播电视和旅游工作正常开展保障全市文化广电和旅游工作正常运行，做好市领导交办的重要工作任务，保障市区文化、新闻出版、旅游市场繁荣稳定，提升执法队伍整体素质和行业形象，做好许昌市文化旅游市场推广宣传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做好公共文化服务工作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组织群众文化艺术活动，提供文化活动场所免费开放、文艺演出、非物质文化遗产整理收集展示宣传。积极推进智慧阅读空间服务，积极开展优质服务工作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做好文物保护工作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依托文物资源对外参观服务，促进许昌经济文化发展，清理、修复保护馆藏文物，交办各类文化活动，传承和弘扬历史文化遗产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旅游工作完成率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公共文化服务工作完成率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文物保护工作完成率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舞台艺术繁荣发展实现率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重大文化活动实现率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文物保护项目实现率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6"/>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文化艺术事业繁荣发展增速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社会组织满意度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0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98.49</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604"/>
        <w:gridCol w:w="715"/>
        <w:gridCol w:w="838"/>
        <w:gridCol w:w="776"/>
        <w:gridCol w:w="665"/>
        <w:gridCol w:w="1208"/>
        <w:gridCol w:w="776"/>
        <w:gridCol w:w="665"/>
        <w:gridCol w:w="776"/>
        <w:gridCol w:w="776"/>
        <w:gridCol w:w="665"/>
        <w:gridCol w:w="665"/>
        <w:gridCol w:w="776"/>
      </w:tblGrid>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拨付文体客厅成列展览工程（一期）费用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拨付文体客厅成列展览工程（一期）费用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群众参观天数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城市宣传力度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强</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按计划完成情况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文化社会效益率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文旅促进发展费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推动文化旅游高质量发展，进一步激发文化和旅游消费潜力，加快乡村旅游发展，提升我市文化和旅游消费质量水平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无经费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旅游服务天数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旅游质量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国家非物质文化遗产保护专项资金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tab/>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用于补助代表性传承人开展授徒、传艺、交流等传承活动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各项支出不超预算总额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开展非遗助力乡村振兴活动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提供丰富的文化活动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丰富</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开展各项工作的及时性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宣传非物质文化遗产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丰富</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服务对象的满意度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2022年中央支持公共文化服务体系建设-公共文化云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2022年中央支持公共文化服务体系建设-公共文化云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活动举办天数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活动举办质量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按期完成情况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2021年10月-2022年9月市区河湖水系考核奖励</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2021年10月-2022年9月市区河湖水系考核奖励</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财政未安排此项资金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水系保护天数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水质监测质量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按期完成情况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2023省级文物保护专项资金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33.52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67.04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6.7</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33.52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67.04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提升文物保护水平，提升群众对文物保护的满意度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资金使用完成67.04%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33.52万元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文物保护天数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文物保护质量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按时完成情况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96.7</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74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