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许昌市政府投资项目代建制工作中心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许昌市政府投资项目代建制工作中心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许昌市政府投资项目代建制工作中心概况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（一）为市政府投资项目监管提供协调服务。</w:t>
        <w:br/>
        <w:t xml:space="preserve">    （二）政府投资项目监督管理保障 政府委托投资项目监督检查  全市政府投资项目代建制组织实施。</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许昌市政府投资项目代建制工作中心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综合科、管理科、工程科 </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许昌市政府投资项目代建制工作中心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1.许昌市政府投资项目代建制工作中心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100.16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0.48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6.40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83.02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4.95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100.16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100.16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100.16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100.16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100.16</w:t>
            </w:r>
          </w:p>
        </w:tc>
        <w:tc>
          <w:tcPr>
            <w:tcW w:w="1440" w:type="dxa"/>
            <w:tcBorders/>
            <w:vAlign w:val="center"/>
          </w:tcPr>
          <w:p>
            <w:pPr>
              <w:jc w:val="right"/>
            </w:pPr>
            <w:r>
              <w:rPr>
                <w:rFonts w:ascii="宋体" w:eastAsia="宋体" w:hAnsi="宋体" w:cs="宋体"/>
                <w:b/>
                <w:i w:val="0"/>
                <w:color w:val="000000"/>
                <w:sz w:val="17"/>
              </w:rPr>
              <w:t xml:space="preserve">100.16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0.48</w:t>
            </w:r>
          </w:p>
        </w:tc>
        <w:tc>
          <w:tcPr>
            <w:tcW w:w="1440" w:type="dxa"/>
            <w:tcBorders/>
            <w:vAlign w:val="center"/>
          </w:tcPr>
          <w:p>
            <w:pPr>
              <w:jc w:val="right"/>
            </w:pPr>
            <w:r>
              <w:rPr>
                <w:rFonts w:ascii="宋体" w:eastAsia="宋体" w:hAnsi="宋体" w:cs="宋体"/>
                <w:b w:val="0"/>
                <w:i w:val="0"/>
                <w:color w:val="000000"/>
                <w:sz w:val="17"/>
              </w:rPr>
              <w:t xml:space="preserve">0.48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0.48</w:t>
            </w:r>
          </w:p>
        </w:tc>
        <w:tc>
          <w:tcPr>
            <w:tcW w:w="1440" w:type="dxa"/>
            <w:tcBorders/>
            <w:vAlign w:val="center"/>
          </w:tcPr>
          <w:p>
            <w:pPr>
              <w:jc w:val="right"/>
            </w:pPr>
            <w:r>
              <w:rPr>
                <w:rFonts w:ascii="宋体" w:eastAsia="宋体" w:hAnsi="宋体" w:cs="宋体"/>
                <w:b w:val="0"/>
                <w:i w:val="0"/>
                <w:color w:val="000000"/>
                <w:sz w:val="17"/>
              </w:rPr>
              <w:t xml:space="preserve">0.48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0.48</w:t>
            </w:r>
          </w:p>
        </w:tc>
        <w:tc>
          <w:tcPr>
            <w:tcW w:w="1440" w:type="dxa"/>
            <w:tcBorders/>
            <w:vAlign w:val="center"/>
          </w:tcPr>
          <w:p>
            <w:pPr>
              <w:jc w:val="right"/>
            </w:pPr>
            <w:r>
              <w:rPr>
                <w:rFonts w:ascii="宋体" w:eastAsia="宋体" w:hAnsi="宋体" w:cs="宋体"/>
                <w:b w:val="0"/>
                <w:i w:val="0"/>
                <w:color w:val="000000"/>
                <w:sz w:val="17"/>
              </w:rPr>
              <w:t xml:space="preserve">0.48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6.40</w:t>
            </w:r>
          </w:p>
        </w:tc>
        <w:tc>
          <w:tcPr>
            <w:tcW w:w="1440" w:type="dxa"/>
            <w:tcBorders/>
            <w:vAlign w:val="center"/>
          </w:tcPr>
          <w:p>
            <w:pPr>
              <w:jc w:val="right"/>
            </w:pPr>
            <w:r>
              <w:rPr>
                <w:rFonts w:ascii="宋体" w:eastAsia="宋体" w:hAnsi="宋体" w:cs="宋体"/>
                <w:b w:val="0"/>
                <w:i w:val="0"/>
                <w:color w:val="000000"/>
                <w:sz w:val="17"/>
              </w:rPr>
              <w:t xml:space="preserve">6.40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6.40</w:t>
            </w:r>
          </w:p>
        </w:tc>
        <w:tc>
          <w:tcPr>
            <w:tcW w:w="1440" w:type="dxa"/>
            <w:tcBorders/>
            <w:vAlign w:val="center"/>
          </w:tcPr>
          <w:p>
            <w:pPr>
              <w:jc w:val="right"/>
            </w:pPr>
            <w:r>
              <w:rPr>
                <w:rFonts w:ascii="宋体" w:eastAsia="宋体" w:hAnsi="宋体" w:cs="宋体"/>
                <w:b w:val="0"/>
                <w:i w:val="0"/>
                <w:color w:val="000000"/>
                <w:sz w:val="17"/>
              </w:rPr>
              <w:t xml:space="preserve">6.40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1.08</w:t>
            </w:r>
          </w:p>
        </w:tc>
        <w:tc>
          <w:tcPr>
            <w:tcW w:w="1440" w:type="dxa"/>
            <w:tcBorders/>
            <w:vAlign w:val="center"/>
          </w:tcPr>
          <w:p>
            <w:pPr>
              <w:jc w:val="right"/>
            </w:pPr>
            <w:r>
              <w:rPr>
                <w:rFonts w:ascii="宋体" w:eastAsia="宋体" w:hAnsi="宋体" w:cs="宋体"/>
                <w:b w:val="0"/>
                <w:i w:val="0"/>
                <w:color w:val="000000"/>
                <w:sz w:val="17"/>
              </w:rPr>
              <w:t xml:space="preserve">1.08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5.31</w:t>
            </w:r>
          </w:p>
        </w:tc>
        <w:tc>
          <w:tcPr>
            <w:tcW w:w="1440" w:type="dxa"/>
            <w:tcBorders/>
            <w:vAlign w:val="center"/>
          </w:tcPr>
          <w:p>
            <w:pPr>
              <w:jc w:val="right"/>
            </w:pPr>
            <w:r>
              <w:rPr>
                <w:rFonts w:ascii="宋体" w:eastAsia="宋体" w:hAnsi="宋体" w:cs="宋体"/>
                <w:b w:val="0"/>
                <w:i w:val="0"/>
                <w:color w:val="000000"/>
                <w:sz w:val="17"/>
              </w:rPr>
              <w:t xml:space="preserve">5.31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5.31</w:t>
            </w:r>
          </w:p>
        </w:tc>
        <w:tc>
          <w:tcPr>
            <w:tcW w:w="1440" w:type="dxa"/>
            <w:tcBorders/>
            <w:vAlign w:val="center"/>
          </w:tcPr>
          <w:p>
            <w:pPr>
              <w:jc w:val="right"/>
            </w:pPr>
            <w:r>
              <w:rPr>
                <w:rFonts w:ascii="宋体" w:eastAsia="宋体" w:hAnsi="宋体" w:cs="宋体"/>
                <w:b w:val="0"/>
                <w:i w:val="0"/>
                <w:color w:val="000000"/>
                <w:sz w:val="17"/>
              </w:rPr>
              <w:t xml:space="preserve">5.31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2.52</w:t>
            </w:r>
          </w:p>
        </w:tc>
        <w:tc>
          <w:tcPr>
            <w:tcW w:w="1440" w:type="dxa"/>
            <w:tcBorders/>
            <w:vAlign w:val="center"/>
          </w:tcPr>
          <w:p>
            <w:pPr>
              <w:jc w:val="right"/>
            </w:pPr>
            <w:r>
              <w:rPr>
                <w:rFonts w:ascii="宋体" w:eastAsia="宋体" w:hAnsi="宋体" w:cs="宋体"/>
                <w:b w:val="0"/>
                <w:i w:val="0"/>
                <w:color w:val="000000"/>
                <w:sz w:val="17"/>
              </w:rPr>
              <w:t xml:space="preserve">2.52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2.80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83.02</w:t>
            </w:r>
          </w:p>
        </w:tc>
        <w:tc>
          <w:tcPr>
            <w:tcW w:w="1440" w:type="dxa"/>
            <w:tcBorders/>
            <w:vAlign w:val="center"/>
          </w:tcPr>
          <w:p>
            <w:pPr>
              <w:jc w:val="right"/>
            </w:pPr>
            <w:r>
              <w:rPr>
                <w:rFonts w:ascii="宋体" w:eastAsia="宋体" w:hAnsi="宋体" w:cs="宋体"/>
                <w:b w:val="0"/>
                <w:i w:val="0"/>
                <w:color w:val="000000"/>
                <w:sz w:val="17"/>
              </w:rPr>
              <w:t xml:space="preserve">83.02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83.02</w:t>
            </w:r>
          </w:p>
        </w:tc>
        <w:tc>
          <w:tcPr>
            <w:tcW w:w="1440" w:type="dxa"/>
            <w:tcBorders/>
            <w:vAlign w:val="center"/>
          </w:tcPr>
          <w:p>
            <w:pPr>
              <w:jc w:val="right"/>
            </w:pPr>
            <w:r>
              <w:rPr>
                <w:rFonts w:ascii="宋体" w:eastAsia="宋体" w:hAnsi="宋体" w:cs="宋体"/>
                <w:b w:val="0"/>
                <w:i w:val="0"/>
                <w:color w:val="000000"/>
                <w:sz w:val="17"/>
              </w:rPr>
              <w:t xml:space="preserve">83.02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83.02</w:t>
            </w:r>
          </w:p>
        </w:tc>
        <w:tc>
          <w:tcPr>
            <w:tcW w:w="1440" w:type="dxa"/>
            <w:tcBorders/>
            <w:vAlign w:val="center"/>
          </w:tcPr>
          <w:p>
            <w:pPr>
              <w:jc w:val="right"/>
            </w:pPr>
            <w:r>
              <w:rPr>
                <w:rFonts w:ascii="宋体" w:eastAsia="宋体" w:hAnsi="宋体" w:cs="宋体"/>
                <w:b w:val="0"/>
                <w:i w:val="0"/>
                <w:color w:val="000000"/>
                <w:sz w:val="17"/>
              </w:rPr>
              <w:t xml:space="preserve">83.02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4.95</w:t>
            </w:r>
          </w:p>
        </w:tc>
        <w:tc>
          <w:tcPr>
            <w:tcW w:w="1440" w:type="dxa"/>
            <w:tcBorders/>
            <w:vAlign w:val="center"/>
          </w:tcPr>
          <w:p>
            <w:pPr>
              <w:jc w:val="right"/>
            </w:pPr>
            <w:r>
              <w:rPr>
                <w:rFonts w:ascii="宋体" w:eastAsia="宋体" w:hAnsi="宋体" w:cs="宋体"/>
                <w:b w:val="0"/>
                <w:i w:val="0"/>
                <w:color w:val="000000"/>
                <w:sz w:val="17"/>
              </w:rPr>
              <w:t xml:space="preserve">4.95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4.95</w:t>
            </w:r>
          </w:p>
        </w:tc>
        <w:tc>
          <w:tcPr>
            <w:tcW w:w="1440" w:type="dxa"/>
            <w:tcBorders/>
            <w:vAlign w:val="center"/>
          </w:tcPr>
          <w:p>
            <w:pPr>
              <w:jc w:val="right"/>
            </w:pPr>
            <w:r>
              <w:rPr>
                <w:rFonts w:ascii="宋体" w:eastAsia="宋体" w:hAnsi="宋体" w:cs="宋体"/>
                <w:b w:val="0"/>
                <w:i w:val="0"/>
                <w:color w:val="000000"/>
                <w:sz w:val="17"/>
              </w:rPr>
              <w:t xml:space="preserve">4.95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4.95</w:t>
            </w:r>
          </w:p>
        </w:tc>
        <w:tc>
          <w:tcPr>
            <w:tcW w:w="1440" w:type="dxa"/>
            <w:tcBorders/>
            <w:vAlign w:val="center"/>
          </w:tcPr>
          <w:p>
            <w:pPr>
              <w:jc w:val="right"/>
            </w:pPr>
            <w:r>
              <w:rPr>
                <w:rFonts w:ascii="宋体" w:eastAsia="宋体" w:hAnsi="宋体" w:cs="宋体"/>
                <w:b w:val="0"/>
                <w:i w:val="0"/>
                <w:color w:val="000000"/>
                <w:sz w:val="17"/>
              </w:rPr>
              <w:t xml:space="preserve">4.95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100.16</w:t>
            </w:r>
          </w:p>
        </w:tc>
        <w:tc>
          <w:tcPr>
            <w:tcW w:w="1600" w:type="dxa"/>
            <w:tcBorders/>
            <w:vAlign w:val="center"/>
          </w:tcPr>
          <w:p>
            <w:pPr>
              <w:jc w:val="right"/>
            </w:pPr>
            <w:r>
              <w:rPr>
                <w:rFonts w:ascii="宋体" w:eastAsia="宋体" w:hAnsi="宋体" w:cs="宋体"/>
                <w:b/>
                <w:i w:val="0"/>
                <w:color w:val="000000"/>
                <w:sz w:val="19"/>
              </w:rPr>
              <w:t xml:space="preserve">100.16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0.48</w:t>
            </w:r>
          </w:p>
        </w:tc>
        <w:tc>
          <w:tcPr>
            <w:tcW w:w="1600" w:type="dxa"/>
            <w:tcBorders/>
            <w:vAlign w:val="center"/>
          </w:tcPr>
          <w:p>
            <w:pPr>
              <w:jc w:val="right"/>
            </w:pPr>
            <w:r>
              <w:rPr>
                <w:rFonts w:ascii="宋体" w:eastAsia="宋体" w:hAnsi="宋体" w:cs="宋体"/>
                <w:b w:val="0"/>
                <w:i w:val="0"/>
                <w:color w:val="000000"/>
                <w:sz w:val="19"/>
              </w:rPr>
              <w:t xml:space="preserve">0.48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0.48</w:t>
            </w:r>
          </w:p>
        </w:tc>
        <w:tc>
          <w:tcPr>
            <w:tcW w:w="1600" w:type="dxa"/>
            <w:tcBorders/>
            <w:vAlign w:val="center"/>
          </w:tcPr>
          <w:p>
            <w:pPr>
              <w:jc w:val="right"/>
            </w:pPr>
            <w:r>
              <w:rPr>
                <w:rFonts w:ascii="宋体" w:eastAsia="宋体" w:hAnsi="宋体" w:cs="宋体"/>
                <w:b w:val="0"/>
                <w:i w:val="0"/>
                <w:color w:val="000000"/>
                <w:sz w:val="19"/>
              </w:rPr>
              <w:t xml:space="preserve">0.48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0.48</w:t>
            </w:r>
          </w:p>
        </w:tc>
        <w:tc>
          <w:tcPr>
            <w:tcW w:w="1600" w:type="dxa"/>
            <w:tcBorders/>
            <w:vAlign w:val="center"/>
          </w:tcPr>
          <w:p>
            <w:pPr>
              <w:jc w:val="right"/>
            </w:pPr>
            <w:r>
              <w:rPr>
                <w:rFonts w:ascii="宋体" w:eastAsia="宋体" w:hAnsi="宋体" w:cs="宋体"/>
                <w:b w:val="0"/>
                <w:i w:val="0"/>
                <w:color w:val="000000"/>
                <w:sz w:val="19"/>
              </w:rPr>
              <w:t xml:space="preserve">0.48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6.40</w:t>
            </w:r>
          </w:p>
        </w:tc>
        <w:tc>
          <w:tcPr>
            <w:tcW w:w="1600" w:type="dxa"/>
            <w:tcBorders/>
            <w:vAlign w:val="center"/>
          </w:tcPr>
          <w:p>
            <w:pPr>
              <w:jc w:val="right"/>
            </w:pPr>
            <w:r>
              <w:rPr>
                <w:rFonts w:ascii="宋体" w:eastAsia="宋体" w:hAnsi="宋体" w:cs="宋体"/>
                <w:b w:val="0"/>
                <w:i w:val="0"/>
                <w:color w:val="000000"/>
                <w:sz w:val="19"/>
              </w:rPr>
              <w:t xml:space="preserve">6.40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6.40</w:t>
            </w:r>
          </w:p>
        </w:tc>
        <w:tc>
          <w:tcPr>
            <w:tcW w:w="1600" w:type="dxa"/>
            <w:tcBorders/>
            <w:vAlign w:val="center"/>
          </w:tcPr>
          <w:p>
            <w:pPr>
              <w:jc w:val="right"/>
            </w:pPr>
            <w:r>
              <w:rPr>
                <w:rFonts w:ascii="宋体" w:eastAsia="宋体" w:hAnsi="宋体" w:cs="宋体"/>
                <w:b w:val="0"/>
                <w:i w:val="0"/>
                <w:color w:val="000000"/>
                <w:sz w:val="19"/>
              </w:rPr>
              <w:t xml:space="preserve">6.40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1.08</w:t>
            </w:r>
          </w:p>
        </w:tc>
        <w:tc>
          <w:tcPr>
            <w:tcW w:w="1600" w:type="dxa"/>
            <w:tcBorders/>
            <w:vAlign w:val="center"/>
          </w:tcPr>
          <w:p>
            <w:pPr>
              <w:jc w:val="right"/>
            </w:pPr>
            <w:r>
              <w:rPr>
                <w:rFonts w:ascii="宋体" w:eastAsia="宋体" w:hAnsi="宋体" w:cs="宋体"/>
                <w:b w:val="0"/>
                <w:i w:val="0"/>
                <w:color w:val="000000"/>
                <w:sz w:val="19"/>
              </w:rPr>
              <w:t xml:space="preserve">1.08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5.31</w:t>
            </w:r>
          </w:p>
        </w:tc>
        <w:tc>
          <w:tcPr>
            <w:tcW w:w="1600" w:type="dxa"/>
            <w:tcBorders/>
            <w:vAlign w:val="center"/>
          </w:tcPr>
          <w:p>
            <w:pPr>
              <w:jc w:val="right"/>
            </w:pPr>
            <w:r>
              <w:rPr>
                <w:rFonts w:ascii="宋体" w:eastAsia="宋体" w:hAnsi="宋体" w:cs="宋体"/>
                <w:b w:val="0"/>
                <w:i w:val="0"/>
                <w:color w:val="000000"/>
                <w:sz w:val="19"/>
              </w:rPr>
              <w:t xml:space="preserve">5.31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5.31</w:t>
            </w:r>
          </w:p>
        </w:tc>
        <w:tc>
          <w:tcPr>
            <w:tcW w:w="1600" w:type="dxa"/>
            <w:tcBorders/>
            <w:vAlign w:val="center"/>
          </w:tcPr>
          <w:p>
            <w:pPr>
              <w:jc w:val="right"/>
            </w:pPr>
            <w:r>
              <w:rPr>
                <w:rFonts w:ascii="宋体" w:eastAsia="宋体" w:hAnsi="宋体" w:cs="宋体"/>
                <w:b w:val="0"/>
                <w:i w:val="0"/>
                <w:color w:val="000000"/>
                <w:sz w:val="19"/>
              </w:rPr>
              <w:t xml:space="preserve">5.31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2.52</w:t>
            </w:r>
          </w:p>
        </w:tc>
        <w:tc>
          <w:tcPr>
            <w:tcW w:w="1600" w:type="dxa"/>
            <w:tcBorders/>
            <w:vAlign w:val="center"/>
          </w:tcPr>
          <w:p>
            <w:pPr>
              <w:jc w:val="right"/>
            </w:pPr>
            <w:r>
              <w:rPr>
                <w:rFonts w:ascii="宋体" w:eastAsia="宋体" w:hAnsi="宋体" w:cs="宋体"/>
                <w:b w:val="0"/>
                <w:i w:val="0"/>
                <w:color w:val="000000"/>
                <w:sz w:val="19"/>
              </w:rPr>
              <w:t xml:space="preserve">2.52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2.80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83.02</w:t>
            </w:r>
          </w:p>
        </w:tc>
        <w:tc>
          <w:tcPr>
            <w:tcW w:w="1600" w:type="dxa"/>
            <w:tcBorders/>
            <w:vAlign w:val="center"/>
          </w:tcPr>
          <w:p>
            <w:pPr>
              <w:jc w:val="right"/>
            </w:pPr>
            <w:r>
              <w:rPr>
                <w:rFonts w:ascii="宋体" w:eastAsia="宋体" w:hAnsi="宋体" w:cs="宋体"/>
                <w:b w:val="0"/>
                <w:i w:val="0"/>
                <w:color w:val="000000"/>
                <w:sz w:val="19"/>
              </w:rPr>
              <w:t xml:space="preserve">83.02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83.02</w:t>
            </w:r>
          </w:p>
        </w:tc>
        <w:tc>
          <w:tcPr>
            <w:tcW w:w="1600" w:type="dxa"/>
            <w:tcBorders/>
            <w:vAlign w:val="center"/>
          </w:tcPr>
          <w:p>
            <w:pPr>
              <w:jc w:val="right"/>
            </w:pPr>
            <w:r>
              <w:rPr>
                <w:rFonts w:ascii="宋体" w:eastAsia="宋体" w:hAnsi="宋体" w:cs="宋体"/>
                <w:b w:val="0"/>
                <w:i w:val="0"/>
                <w:color w:val="000000"/>
                <w:sz w:val="19"/>
              </w:rPr>
              <w:t xml:space="preserve">83.02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83.02</w:t>
            </w:r>
          </w:p>
        </w:tc>
        <w:tc>
          <w:tcPr>
            <w:tcW w:w="1600" w:type="dxa"/>
            <w:tcBorders/>
            <w:vAlign w:val="center"/>
          </w:tcPr>
          <w:p>
            <w:pPr>
              <w:jc w:val="right"/>
            </w:pPr>
            <w:r>
              <w:rPr>
                <w:rFonts w:ascii="宋体" w:eastAsia="宋体" w:hAnsi="宋体" w:cs="宋体"/>
                <w:b w:val="0"/>
                <w:i w:val="0"/>
                <w:color w:val="000000"/>
                <w:sz w:val="19"/>
              </w:rPr>
              <w:t xml:space="preserve">83.02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4.95</w:t>
            </w:r>
          </w:p>
        </w:tc>
        <w:tc>
          <w:tcPr>
            <w:tcW w:w="1600" w:type="dxa"/>
            <w:tcBorders/>
            <w:vAlign w:val="center"/>
          </w:tcPr>
          <w:p>
            <w:pPr>
              <w:jc w:val="right"/>
            </w:pPr>
            <w:r>
              <w:rPr>
                <w:rFonts w:ascii="宋体" w:eastAsia="宋体" w:hAnsi="宋体" w:cs="宋体"/>
                <w:b w:val="0"/>
                <w:i w:val="0"/>
                <w:color w:val="000000"/>
                <w:sz w:val="19"/>
              </w:rPr>
              <w:t xml:space="preserve">4.95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4.95</w:t>
            </w:r>
          </w:p>
        </w:tc>
        <w:tc>
          <w:tcPr>
            <w:tcW w:w="1600" w:type="dxa"/>
            <w:tcBorders/>
            <w:vAlign w:val="center"/>
          </w:tcPr>
          <w:p>
            <w:pPr>
              <w:jc w:val="right"/>
            </w:pPr>
            <w:r>
              <w:rPr>
                <w:rFonts w:ascii="宋体" w:eastAsia="宋体" w:hAnsi="宋体" w:cs="宋体"/>
                <w:b w:val="0"/>
                <w:i w:val="0"/>
                <w:color w:val="000000"/>
                <w:sz w:val="19"/>
              </w:rPr>
              <w:t xml:space="preserve">4.95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4.95</w:t>
            </w:r>
          </w:p>
        </w:tc>
        <w:tc>
          <w:tcPr>
            <w:tcW w:w="1600" w:type="dxa"/>
            <w:tcBorders/>
            <w:vAlign w:val="center"/>
          </w:tcPr>
          <w:p>
            <w:pPr>
              <w:jc w:val="right"/>
            </w:pPr>
            <w:r>
              <w:rPr>
                <w:rFonts w:ascii="宋体" w:eastAsia="宋体" w:hAnsi="宋体" w:cs="宋体"/>
                <w:b w:val="0"/>
                <w:i w:val="0"/>
                <w:color w:val="000000"/>
                <w:sz w:val="19"/>
              </w:rPr>
              <w:t xml:space="preserve">4.95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0.48</w:t>
            </w:r>
          </w:p>
        </w:tc>
        <w:tc>
          <w:tcPr>
            <w:tcW w:w="1420" w:type="dxa"/>
            <w:tcBorders/>
            <w:vAlign w:val="center"/>
          </w:tcPr>
          <w:p>
            <w:pPr>
              <w:jc w:val="right"/>
            </w:pPr>
            <w:r>
              <w:rPr>
                <w:rFonts w:ascii="宋体" w:eastAsia="宋体" w:hAnsi="宋体" w:cs="宋体"/>
                <w:b w:val="0"/>
                <w:i w:val="0"/>
                <w:color w:val="000000"/>
                <w:sz w:val="18"/>
              </w:rPr>
              <w:t xml:space="preserve">0.48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6.40</w:t>
            </w:r>
          </w:p>
        </w:tc>
        <w:tc>
          <w:tcPr>
            <w:tcW w:w="1420" w:type="dxa"/>
            <w:tcBorders/>
            <w:vAlign w:val="center"/>
          </w:tcPr>
          <w:p>
            <w:pPr>
              <w:jc w:val="right"/>
            </w:pPr>
            <w:r>
              <w:rPr>
                <w:rFonts w:ascii="宋体" w:eastAsia="宋体" w:hAnsi="宋体" w:cs="宋体"/>
                <w:b w:val="0"/>
                <w:i w:val="0"/>
                <w:color w:val="000000"/>
                <w:sz w:val="18"/>
              </w:rPr>
              <w:t xml:space="preserve">6.40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5.31</w:t>
            </w:r>
          </w:p>
        </w:tc>
        <w:tc>
          <w:tcPr>
            <w:tcW w:w="1420" w:type="dxa"/>
            <w:tcBorders/>
            <w:vAlign w:val="center"/>
          </w:tcPr>
          <w:p>
            <w:pPr>
              <w:jc w:val="right"/>
            </w:pPr>
            <w:r>
              <w:rPr>
                <w:rFonts w:ascii="宋体" w:eastAsia="宋体" w:hAnsi="宋体" w:cs="宋体"/>
                <w:b w:val="0"/>
                <w:i w:val="0"/>
                <w:color w:val="000000"/>
                <w:sz w:val="18"/>
              </w:rPr>
              <w:t xml:space="preserve">5.31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83.02</w:t>
            </w:r>
          </w:p>
        </w:tc>
        <w:tc>
          <w:tcPr>
            <w:tcW w:w="1420" w:type="dxa"/>
            <w:tcBorders/>
            <w:vAlign w:val="center"/>
          </w:tcPr>
          <w:p>
            <w:pPr>
              <w:jc w:val="right"/>
            </w:pPr>
            <w:r>
              <w:rPr>
                <w:rFonts w:ascii="宋体" w:eastAsia="宋体" w:hAnsi="宋体" w:cs="宋体"/>
                <w:b w:val="0"/>
                <w:i w:val="0"/>
                <w:color w:val="000000"/>
                <w:sz w:val="18"/>
              </w:rPr>
              <w:t xml:space="preserve">83.02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4.95</w:t>
            </w:r>
          </w:p>
        </w:tc>
        <w:tc>
          <w:tcPr>
            <w:tcW w:w="1420" w:type="dxa"/>
            <w:tcBorders/>
            <w:vAlign w:val="center"/>
          </w:tcPr>
          <w:p>
            <w:pPr>
              <w:jc w:val="right"/>
            </w:pPr>
            <w:r>
              <w:rPr>
                <w:rFonts w:ascii="宋体" w:eastAsia="宋体" w:hAnsi="宋体" w:cs="宋体"/>
                <w:b w:val="0"/>
                <w:i w:val="0"/>
                <w:color w:val="000000"/>
                <w:sz w:val="18"/>
              </w:rPr>
              <w:t xml:space="preserve">4.95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1420" w:type="dxa"/>
            <w:tcBorders/>
            <w:vAlign w:val="center"/>
          </w:tcPr>
          <w:p>
            <w:pPr>
              <w:jc w:val="right"/>
            </w:pPr>
            <w:r>
              <w:rPr>
                <w:rFonts w:ascii="宋体" w:eastAsia="宋体" w:hAnsi="宋体" w:cs="宋体"/>
                <w:b w:val="0"/>
                <w:i w:val="0"/>
                <w:color w:val="000000"/>
                <w:sz w:val="18"/>
              </w:rPr>
              <w:t xml:space="preserve">100.16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100.16</w:t>
            </w:r>
          </w:p>
        </w:tc>
        <w:tc>
          <w:tcPr>
            <w:tcW w:w="2700" w:type="dxa"/>
            <w:tcBorders/>
            <w:vAlign w:val="center"/>
          </w:tcPr>
          <w:p>
            <w:pPr>
              <w:jc w:val="right"/>
            </w:pPr>
            <w:r>
              <w:rPr>
                <w:rFonts w:ascii="宋体" w:eastAsia="宋体" w:hAnsi="宋体" w:cs="宋体"/>
                <w:b/>
                <w:i w:val="0"/>
                <w:color w:val="000000"/>
                <w:sz w:val="25"/>
              </w:rPr>
              <w:t xml:space="preserve">100.16</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0.48</w:t>
            </w:r>
          </w:p>
        </w:tc>
        <w:tc>
          <w:tcPr>
            <w:tcW w:w="2700" w:type="dxa"/>
            <w:tcBorders/>
            <w:vAlign w:val="center"/>
          </w:tcPr>
          <w:p>
            <w:pPr>
              <w:jc w:val="right"/>
            </w:pPr>
            <w:r>
              <w:rPr>
                <w:rFonts w:ascii="宋体" w:eastAsia="宋体" w:hAnsi="宋体" w:cs="宋体"/>
                <w:b w:val="0"/>
                <w:i w:val="0"/>
                <w:color w:val="000000"/>
                <w:sz w:val="25"/>
              </w:rPr>
              <w:t xml:space="preserve">0.48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0.48</w:t>
            </w:r>
          </w:p>
        </w:tc>
        <w:tc>
          <w:tcPr>
            <w:tcW w:w="2700" w:type="dxa"/>
            <w:tcBorders/>
            <w:vAlign w:val="center"/>
          </w:tcPr>
          <w:p>
            <w:pPr>
              <w:jc w:val="right"/>
            </w:pPr>
            <w:r>
              <w:rPr>
                <w:rFonts w:ascii="宋体" w:eastAsia="宋体" w:hAnsi="宋体" w:cs="宋体"/>
                <w:b w:val="0"/>
                <w:i w:val="0"/>
                <w:color w:val="000000"/>
                <w:sz w:val="25"/>
              </w:rPr>
              <w:t xml:space="preserve">0.48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0.48</w:t>
            </w:r>
          </w:p>
        </w:tc>
        <w:tc>
          <w:tcPr>
            <w:tcW w:w="2700" w:type="dxa"/>
            <w:tcBorders/>
            <w:vAlign w:val="center"/>
          </w:tcPr>
          <w:p>
            <w:pPr>
              <w:jc w:val="right"/>
            </w:pPr>
            <w:r>
              <w:rPr>
                <w:rFonts w:ascii="宋体" w:eastAsia="宋体" w:hAnsi="宋体" w:cs="宋体"/>
                <w:b w:val="0"/>
                <w:i w:val="0"/>
                <w:color w:val="000000"/>
                <w:sz w:val="25"/>
              </w:rPr>
              <w:t xml:space="preserve">0.48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6.40</w:t>
            </w:r>
          </w:p>
        </w:tc>
        <w:tc>
          <w:tcPr>
            <w:tcW w:w="2700" w:type="dxa"/>
            <w:tcBorders/>
            <w:vAlign w:val="center"/>
          </w:tcPr>
          <w:p>
            <w:pPr>
              <w:jc w:val="right"/>
            </w:pPr>
            <w:r>
              <w:rPr>
                <w:rFonts w:ascii="宋体" w:eastAsia="宋体" w:hAnsi="宋体" w:cs="宋体"/>
                <w:b w:val="0"/>
                <w:i w:val="0"/>
                <w:color w:val="000000"/>
                <w:sz w:val="25"/>
              </w:rPr>
              <w:t xml:space="preserve">6.40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6.40</w:t>
            </w:r>
          </w:p>
        </w:tc>
        <w:tc>
          <w:tcPr>
            <w:tcW w:w="2700" w:type="dxa"/>
            <w:tcBorders/>
            <w:vAlign w:val="center"/>
          </w:tcPr>
          <w:p>
            <w:pPr>
              <w:jc w:val="right"/>
            </w:pPr>
            <w:r>
              <w:rPr>
                <w:rFonts w:ascii="宋体" w:eastAsia="宋体" w:hAnsi="宋体" w:cs="宋体"/>
                <w:b w:val="0"/>
                <w:i w:val="0"/>
                <w:color w:val="000000"/>
                <w:sz w:val="25"/>
              </w:rPr>
              <w:t xml:space="preserve">6.40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1.08</w:t>
            </w:r>
          </w:p>
        </w:tc>
        <w:tc>
          <w:tcPr>
            <w:tcW w:w="2700" w:type="dxa"/>
            <w:tcBorders/>
            <w:vAlign w:val="center"/>
          </w:tcPr>
          <w:p>
            <w:pPr>
              <w:jc w:val="right"/>
            </w:pPr>
            <w:r>
              <w:rPr>
                <w:rFonts w:ascii="宋体" w:eastAsia="宋体" w:hAnsi="宋体" w:cs="宋体"/>
                <w:b w:val="0"/>
                <w:i w:val="0"/>
                <w:color w:val="000000"/>
                <w:sz w:val="25"/>
              </w:rPr>
              <w:t xml:space="preserve">1.08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5.31</w:t>
            </w:r>
          </w:p>
        </w:tc>
        <w:tc>
          <w:tcPr>
            <w:tcW w:w="2700" w:type="dxa"/>
            <w:tcBorders/>
            <w:vAlign w:val="center"/>
          </w:tcPr>
          <w:p>
            <w:pPr>
              <w:jc w:val="right"/>
            </w:pPr>
            <w:r>
              <w:rPr>
                <w:rFonts w:ascii="宋体" w:eastAsia="宋体" w:hAnsi="宋体" w:cs="宋体"/>
                <w:b w:val="0"/>
                <w:i w:val="0"/>
                <w:color w:val="000000"/>
                <w:sz w:val="25"/>
              </w:rPr>
              <w:t xml:space="preserve">5.31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5.31</w:t>
            </w:r>
          </w:p>
        </w:tc>
        <w:tc>
          <w:tcPr>
            <w:tcW w:w="2700" w:type="dxa"/>
            <w:tcBorders/>
            <w:vAlign w:val="center"/>
          </w:tcPr>
          <w:p>
            <w:pPr>
              <w:jc w:val="right"/>
            </w:pPr>
            <w:r>
              <w:rPr>
                <w:rFonts w:ascii="宋体" w:eastAsia="宋体" w:hAnsi="宋体" w:cs="宋体"/>
                <w:b w:val="0"/>
                <w:i w:val="0"/>
                <w:color w:val="000000"/>
                <w:sz w:val="25"/>
              </w:rPr>
              <w:t xml:space="preserve">5.31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2.52</w:t>
            </w:r>
          </w:p>
        </w:tc>
        <w:tc>
          <w:tcPr>
            <w:tcW w:w="2700" w:type="dxa"/>
            <w:tcBorders/>
            <w:vAlign w:val="center"/>
          </w:tcPr>
          <w:p>
            <w:pPr>
              <w:jc w:val="right"/>
            </w:pPr>
            <w:r>
              <w:rPr>
                <w:rFonts w:ascii="宋体" w:eastAsia="宋体" w:hAnsi="宋体" w:cs="宋体"/>
                <w:b w:val="0"/>
                <w:i w:val="0"/>
                <w:color w:val="000000"/>
                <w:sz w:val="25"/>
              </w:rPr>
              <w:t xml:space="preserve">2.52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700" w:type="dxa"/>
            <w:tcBorders/>
            <w:vAlign w:val="center"/>
          </w:tcPr>
          <w:p>
            <w:pPr>
              <w:jc w:val="right"/>
            </w:pPr>
            <w:r>
              <w:rPr>
                <w:rFonts w:ascii="宋体" w:eastAsia="宋体" w:hAnsi="宋体" w:cs="宋体"/>
                <w:b w:val="0"/>
                <w:i w:val="0"/>
                <w:color w:val="000000"/>
                <w:sz w:val="25"/>
              </w:rPr>
              <w:t xml:space="preserve">2.80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83.02</w:t>
            </w:r>
          </w:p>
        </w:tc>
        <w:tc>
          <w:tcPr>
            <w:tcW w:w="2700" w:type="dxa"/>
            <w:tcBorders/>
            <w:vAlign w:val="center"/>
          </w:tcPr>
          <w:p>
            <w:pPr>
              <w:jc w:val="right"/>
            </w:pPr>
            <w:r>
              <w:rPr>
                <w:rFonts w:ascii="宋体" w:eastAsia="宋体" w:hAnsi="宋体" w:cs="宋体"/>
                <w:b w:val="0"/>
                <w:i w:val="0"/>
                <w:color w:val="000000"/>
                <w:sz w:val="25"/>
              </w:rPr>
              <w:t xml:space="preserve">83.02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83.02</w:t>
            </w:r>
          </w:p>
        </w:tc>
        <w:tc>
          <w:tcPr>
            <w:tcW w:w="2700" w:type="dxa"/>
            <w:tcBorders/>
            <w:vAlign w:val="center"/>
          </w:tcPr>
          <w:p>
            <w:pPr>
              <w:jc w:val="right"/>
            </w:pPr>
            <w:r>
              <w:rPr>
                <w:rFonts w:ascii="宋体" w:eastAsia="宋体" w:hAnsi="宋体" w:cs="宋体"/>
                <w:b w:val="0"/>
                <w:i w:val="0"/>
                <w:color w:val="000000"/>
                <w:sz w:val="25"/>
              </w:rPr>
              <w:t xml:space="preserve">83.02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83.02</w:t>
            </w:r>
          </w:p>
        </w:tc>
        <w:tc>
          <w:tcPr>
            <w:tcW w:w="2700" w:type="dxa"/>
            <w:tcBorders/>
            <w:vAlign w:val="center"/>
          </w:tcPr>
          <w:p>
            <w:pPr>
              <w:jc w:val="right"/>
            </w:pPr>
            <w:r>
              <w:rPr>
                <w:rFonts w:ascii="宋体" w:eastAsia="宋体" w:hAnsi="宋体" w:cs="宋体"/>
                <w:b w:val="0"/>
                <w:i w:val="0"/>
                <w:color w:val="000000"/>
                <w:sz w:val="25"/>
              </w:rPr>
              <w:t xml:space="preserve">83.02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4.95</w:t>
            </w:r>
          </w:p>
        </w:tc>
        <w:tc>
          <w:tcPr>
            <w:tcW w:w="2700" w:type="dxa"/>
            <w:tcBorders/>
            <w:vAlign w:val="center"/>
          </w:tcPr>
          <w:p>
            <w:pPr>
              <w:jc w:val="right"/>
            </w:pPr>
            <w:r>
              <w:rPr>
                <w:rFonts w:ascii="宋体" w:eastAsia="宋体" w:hAnsi="宋体" w:cs="宋体"/>
                <w:b w:val="0"/>
                <w:i w:val="0"/>
                <w:color w:val="000000"/>
                <w:sz w:val="25"/>
              </w:rPr>
              <w:t xml:space="preserve">4.95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4.95</w:t>
            </w:r>
          </w:p>
        </w:tc>
        <w:tc>
          <w:tcPr>
            <w:tcW w:w="2700" w:type="dxa"/>
            <w:tcBorders/>
            <w:vAlign w:val="center"/>
          </w:tcPr>
          <w:p>
            <w:pPr>
              <w:jc w:val="right"/>
            </w:pPr>
            <w:r>
              <w:rPr>
                <w:rFonts w:ascii="宋体" w:eastAsia="宋体" w:hAnsi="宋体" w:cs="宋体"/>
                <w:b w:val="0"/>
                <w:i w:val="0"/>
                <w:color w:val="000000"/>
                <w:sz w:val="25"/>
              </w:rPr>
              <w:t xml:space="preserve">4.95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4.95</w:t>
            </w:r>
          </w:p>
        </w:tc>
        <w:tc>
          <w:tcPr>
            <w:tcW w:w="2700" w:type="dxa"/>
            <w:tcBorders/>
            <w:vAlign w:val="center"/>
          </w:tcPr>
          <w:p>
            <w:pPr>
              <w:jc w:val="right"/>
            </w:pPr>
            <w:r>
              <w:rPr>
                <w:rFonts w:ascii="宋体" w:eastAsia="宋体" w:hAnsi="宋体" w:cs="宋体"/>
                <w:b w:val="0"/>
                <w:i w:val="0"/>
                <w:color w:val="000000"/>
                <w:sz w:val="25"/>
              </w:rPr>
              <w:t xml:space="preserve">4.95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89.91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9.18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21.09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0.46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17.90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34.87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5.32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2.52</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2.80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4.95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0.42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1.08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1.08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4.09</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2.36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0.57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90.99</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9.18</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单位：许昌市政府投资项目代建制工作中心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0.57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0.57</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100.16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减少11.85万元，下降10.58%</w:t>
      </w:r>
      <w:r>
        <w:rPr>
          <w:rFonts w:ascii="仿宋" w:eastAsia="仿宋" w:hAnsi="仿宋" w:cs="仿宋" w:hint="eastAsia"/>
          <w:kern w:val="0"/>
          <w:sz w:val="32"/>
          <w:szCs w:val="32"/>
          <w:lang w:val="en-US" w:eastAsia="zh-CN"/>
        </w:rPr>
        <w:t xml:space="preserve">。主要原因是本年度退休1人，收支相应减少。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100.16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财政拨款收入100.16万元，占100.00%；上级补助收入0.00万元，占0.00%；事业收入0.00万元，占0.00%；经营收入0.00万元，占0.00%；附属单位上缴收入0.00万元，占0.00%；其他收入0.00万元，占0.00%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100.16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基本支出100.16万元，占100.00%；项目支出0.00万元，占0.00%；上缴上级支出0.00万元，占0.00%；经营支出0.00万元，占0.00%；对附属单位补助支出0.00万元，占0.00%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100.16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减少11.85万元，下降10.58%</w:t>
      </w:r>
      <w:r>
        <w:rPr>
          <w:rFonts w:ascii="仿宋" w:eastAsia="仿宋" w:hAnsi="仿宋" w:cs="仿宋" w:hint="eastAsia"/>
          <w:kern w:val="0"/>
          <w:sz w:val="32"/>
          <w:szCs w:val="32"/>
          <w:lang w:val="en-US" w:eastAsia="zh-CN"/>
        </w:rPr>
        <w:t xml:space="preserve">。主要原因是本年度退休1人，收支相应减少。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100.16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减少11.85万元，下降10.58%</w:t>
      </w:r>
      <w:r>
        <w:rPr>
          <w:rFonts w:ascii="仿宋" w:eastAsia="仿宋" w:hAnsi="仿宋" w:cs="仿宋" w:hint="eastAsia"/>
          <w:kern w:val="0"/>
          <w:sz w:val="32"/>
          <w:szCs w:val="32"/>
          <w:lang w:val="en-US" w:eastAsia="zh-CN"/>
        </w:rPr>
        <w:t xml:space="preserve">。主要原因是本年度退休1人，收支相应减少。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100.16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一般公共服务支出（类）0.48万元，占0.48%；社会保障和就业支出（类）6.40万元，占6.39%；卫生健康支出（类）5.31万元，占5.30%；城乡社区支出（类）83.02万元，占82.89%；住房保障支出（类）4.95万元，占4.94%</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101.01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100.16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99.16</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年初预算数为0.48万元，决算数0.48万元,完成年初预算的100.00%，决算数与年初预算数不存在差异。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年初预算数为0.00万元，决算数1.08万元,决算数与年初预算数存在差异的主要原因是本年度退休1人，年初无预算。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年初预算数为5.78万元，决算数5.32万元,完成年初预算的92.04%，决算数与年初预算数存在差异的主要原因是本年度退休1人，经费支出相应减少。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年初预算数为2.98万元，决算数2.52万元,完成年初预算的84.56%，决算数与年初预算数存在差异的主要原因是本年度退休1人，经费支出相应减少。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5.卫生健康支出（类）行政事业单位医疗（款）公务员医疗补助（项）</w:t>
      </w:r>
      <w:r>
        <w:rPr>
          <w:rFonts w:ascii="仿宋" w:eastAsia="仿宋" w:hAnsi="仿宋" w:cs="仿宋" w:hint="default"/>
          <w:kern w:val="2"/>
          <w:sz w:val="32"/>
          <w:szCs w:val="32"/>
          <w:lang w:val="en-US" w:eastAsia="zh-CN"/>
        </w:rPr>
        <w:t xml:space="preserve">年初预算数为3.31万元，决算数2.80万元,完成年初预算的84.59%，决算数与年初预算数存在差异的主要原因是本年度退休1人，经费支出相应减少。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6.城乡社区支出（类）城乡社区管理事务（款）行政运行（项）</w:t>
      </w:r>
      <w:r>
        <w:rPr>
          <w:rFonts w:ascii="仿宋" w:eastAsia="仿宋" w:hAnsi="仿宋" w:cs="仿宋" w:hint="default"/>
          <w:kern w:val="2"/>
          <w:sz w:val="32"/>
          <w:szCs w:val="32"/>
          <w:lang w:val="en-US" w:eastAsia="zh-CN"/>
        </w:rPr>
        <w:t xml:space="preserve">年初预算数为82.78万元，决算数83.02万元,完成年初预算的100.29%，决算数与年初预算数存在差异的主要原因是追加人员经费。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年初预算数为5.67万元，决算数4.95万元,完成年初预算的87.30%，决算数与年初预算数存在差异的主要原因是本年度退休1人，经费支出相应减少。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100.16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其中：人员经费90.99万元，主要包括：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公用经费9.18万元，主要包括：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0.57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0.57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主要用于日常车辆保险、维修。</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100.16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好</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本单位在工作目标管理、整体工作、重点工作、目标实现方面完成了年初绩效设定目标；在预算管理、财务管理、资产管理、运行成本控制方面真实完整反映年初绩效目标。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70"/>
        <w:gridCol w:w="370"/>
        <w:gridCol w:w="1233"/>
        <w:gridCol w:w="1617"/>
        <w:gridCol w:w="1219"/>
        <w:gridCol w:w="1247"/>
        <w:gridCol w:w="1302"/>
        <w:gridCol w:w="466"/>
        <w:gridCol w:w="1014"/>
        <w:gridCol w:w="1068"/>
      </w:tblGrid>
      <w:tr>
        <w:trPr>
          <w:trHeight w:hRule="exact" w:val="207"/>
          <w:jc w:val="center"/>
        </w:trPr>
        <w:tc>
          <w:tcPr>
            <w:tcW w:w="370"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5"/>
              </w:rPr>
              <w:t xml:space="preserve">附件2</w:t>
            </w:r>
          </w:p>
        </w:tc>
        <w:tc>
          <w:tcPr>
            <w:tcW w:w="370" w:type="dxa"/>
            <w:shd w:val="clear" w:color="auto" w:fill="auto"/>
            <w:vAlign w:val="bottom"/>
          </w:tcPr>
          <w:p>
            <w:pPr>
              <w:snapToGrid w:val="0"/>
              <w:spacing w:before="0" w:beforeAutospacing="0" w:after="0" w:afterAutospacing="0" w:line="240" w:lineRule="auto"/>
            </w:pPr>
          </w:p>
        </w:tc>
        <w:tc>
          <w:tcPr>
            <w:tcW w:w="1233" w:type="dxa"/>
            <w:shd w:val="clear" w:color="auto" w:fill="auto"/>
            <w:vAlign w:val="bottom"/>
          </w:tcPr>
          <w:p>
            <w:pPr>
              <w:snapToGrid w:val="0"/>
              <w:spacing w:before="0" w:beforeAutospacing="0" w:after="0" w:afterAutospacing="0" w:line="240" w:lineRule="auto"/>
            </w:pPr>
          </w:p>
        </w:tc>
        <w:tc>
          <w:tcPr>
            <w:tcW w:w="1617" w:type="dxa"/>
            <w:shd w:val="clear" w:color="auto" w:fill="auto"/>
            <w:vAlign w:val="bottom"/>
          </w:tcPr>
          <w:p>
            <w:pPr>
              <w:snapToGrid w:val="0"/>
              <w:spacing w:before="0" w:beforeAutospacing="0" w:after="0" w:afterAutospacing="0" w:line="240" w:lineRule="auto"/>
            </w:pPr>
          </w:p>
        </w:tc>
        <w:tc>
          <w:tcPr>
            <w:tcW w:w="1219" w:type="dxa"/>
            <w:shd w:val="clear" w:color="auto" w:fill="auto"/>
            <w:vAlign w:val="bottom"/>
          </w:tcPr>
          <w:p>
            <w:pPr>
              <w:snapToGrid w:val="0"/>
              <w:spacing w:before="0" w:beforeAutospacing="0" w:after="0" w:afterAutospacing="0" w:line="240" w:lineRule="auto"/>
            </w:pPr>
          </w:p>
        </w:tc>
        <w:tc>
          <w:tcPr>
            <w:tcW w:w="1247" w:type="dxa"/>
            <w:shd w:val="clear" w:color="auto" w:fill="auto"/>
            <w:vAlign w:val="bottom"/>
          </w:tcPr>
          <w:p>
            <w:pPr>
              <w:snapToGrid w:val="0"/>
              <w:spacing w:before="0" w:beforeAutospacing="0" w:after="0" w:afterAutospacing="0" w:line="240" w:lineRule="auto"/>
            </w:pPr>
          </w:p>
        </w:tc>
        <w:tc>
          <w:tcPr>
            <w:tcW w:w="1302" w:type="dxa"/>
            <w:shd w:val="clear" w:color="auto" w:fill="auto"/>
            <w:vAlign w:val="bottom"/>
          </w:tcPr>
          <w:p>
            <w:pPr>
              <w:snapToGrid w:val="0"/>
              <w:spacing w:before="0" w:beforeAutospacing="0" w:after="0" w:afterAutospacing="0" w:line="240" w:lineRule="auto"/>
            </w:pPr>
          </w:p>
        </w:tc>
        <w:tc>
          <w:tcPr>
            <w:tcW w:w="466" w:type="dxa"/>
            <w:shd w:val="clear" w:color="auto" w:fill="auto"/>
            <w:vAlign w:val="bottom"/>
          </w:tcPr>
          <w:p>
            <w:pPr>
              <w:snapToGrid w:val="0"/>
              <w:spacing w:before="0" w:beforeAutospacing="0" w:after="0" w:afterAutospacing="0" w:line="240" w:lineRule="auto"/>
            </w:pPr>
          </w:p>
        </w:tc>
        <w:tc>
          <w:tcPr>
            <w:tcW w:w="1014" w:type="dxa"/>
            <w:shd w:val="clear" w:color="auto" w:fill="auto"/>
            <w:vAlign w:val="bottom"/>
          </w:tcPr>
          <w:p>
            <w:pPr>
              <w:snapToGrid w:val="0"/>
              <w:spacing w:before="0" w:beforeAutospacing="0" w:after="0" w:afterAutospacing="0" w:line="240" w:lineRule="auto"/>
            </w:pPr>
          </w:p>
        </w:tc>
        <w:tc>
          <w:tcPr>
            <w:tcW w:w="1068" w:type="dxa"/>
            <w:shd w:val="clear" w:color="auto" w:fill="auto"/>
            <w:vAlign w:val="bottom"/>
          </w:tcPr>
          <w:p>
            <w:pPr>
              <w:snapToGrid w:val="0"/>
              <w:spacing w:before="0" w:beforeAutospacing="0" w:after="0" w:afterAutospacing="0" w:line="240" w:lineRule="auto"/>
            </w:pPr>
          </w:p>
        </w:tc>
      </w:tr>
      <w:tr>
        <w:trPr>
          <w:trHeight w:hRule="exact" w:val="373"/>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部门整体自评表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0"/>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（2023年度）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0"/>
          <w:jc w:val="center"/>
        </w:trPr>
        <w:tc>
          <w:tcPr>
            <w:tcW w:w="370"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             </w:t>
            </w:r>
          </w:p>
        </w:tc>
        <w:tc>
          <w:tcPr>
            <w:tcW w:w="370"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3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61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1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6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2"/>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082"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肖磊     2965070</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6"/>
          <w:jc w:val="center"/>
        </w:trPr>
        <w:tc>
          <w:tcPr>
            <w:tcW w:w="1973"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33"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许昌市政府投资项目代建制工作中心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6"/>
          <w:jc w:val="center"/>
        </w:trPr>
        <w:tc>
          <w:tcPr>
            <w:tcW w:w="1973"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33"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7"/>
          <w:jc w:val="center"/>
        </w:trPr>
        <w:tc>
          <w:tcPr>
            <w:tcW w:w="74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2"/>
              </w:rPr>
              <w:t xml:space="preserve">年初预算数</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2"/>
              </w:rPr>
              <w:t xml:space="preserve">全年预算数</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全年执行数</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分值</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预算执行率</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得分</w:t>
            </w:r>
          </w:p>
        </w:tc>
      </w:tr>
      <w:tr>
        <w:trPr>
          <w:trHeight w:hRule="exact" w:val="166"/>
          <w:jc w:val="center"/>
        </w:trPr>
        <w:tc>
          <w:tcPr>
            <w:tcW w:w="74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85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101.01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100.16</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100.16</w:t>
            </w:r>
          </w:p>
        </w:tc>
        <w:tc>
          <w:tcPr>
            <w:tcW w:w="46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1</w:t>
            </w:r>
          </w:p>
        </w:tc>
        <w:tc>
          <w:tcPr>
            <w:tcW w:w="1068"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r>
      <w:tr>
        <w:trPr>
          <w:trHeight w:hRule="exact" w:val="197"/>
          <w:jc w:val="center"/>
        </w:trPr>
        <w:tc>
          <w:tcPr>
            <w:tcW w:w="74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资金来源</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政府预算资金</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101.01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100.16</w:t>
            </w: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100.16</w:t>
            </w:r>
          </w:p>
        </w:tc>
        <w:tc>
          <w:tcPr>
            <w:tcW w:w="46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2"/>
              </w:rPr>
              <w:t xml:space="preserve">1</w:t>
            </w:r>
          </w:p>
        </w:tc>
        <w:tc>
          <w:tcPr>
            <w:tcW w:w="106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7"/>
          <w:jc w:val="center"/>
        </w:trPr>
        <w:tc>
          <w:tcPr>
            <w:tcW w:w="74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  财政专户管理资金</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66"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68"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7"/>
          <w:jc w:val="center"/>
        </w:trPr>
        <w:tc>
          <w:tcPr>
            <w:tcW w:w="74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单位资金</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6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68"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7"/>
          <w:jc w:val="center"/>
        </w:trPr>
        <w:tc>
          <w:tcPr>
            <w:tcW w:w="74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31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42"/>
          <w:jc w:val="center"/>
        </w:trPr>
        <w:tc>
          <w:tcPr>
            <w:tcW w:w="74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目标名称</w:t>
            </w:r>
          </w:p>
        </w:tc>
        <w:tc>
          <w:tcPr>
            <w:tcW w:w="40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5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91"/>
          <w:jc w:val="center"/>
        </w:trPr>
        <w:tc>
          <w:tcPr>
            <w:tcW w:w="74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提高政府投资项目代建协调服务工作</w:t>
            </w:r>
          </w:p>
        </w:tc>
        <w:tc>
          <w:tcPr>
            <w:tcW w:w="40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为市政府投资项目监管提供协调服务。政府投资项目监督管理保障 政府委托投资项目监督检查 全市政府投资项目代建制组织实施。</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5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为政府投资项目提供完善的协调服务目标完成良好。</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32"/>
          <w:jc w:val="center"/>
        </w:trPr>
        <w:tc>
          <w:tcPr>
            <w:tcW w:w="74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2"/>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任务名称</w:t>
            </w:r>
          </w:p>
        </w:tc>
        <w:tc>
          <w:tcPr>
            <w:tcW w:w="40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5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98"/>
          <w:jc w:val="center"/>
        </w:trPr>
        <w:tc>
          <w:tcPr>
            <w:tcW w:w="74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提高政府投资项目代建协调服务工作</w:t>
            </w:r>
          </w:p>
        </w:tc>
        <w:tc>
          <w:tcPr>
            <w:tcW w:w="408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根据单位职责，完成各项代建工作任务;做好代建项目完工验收、移交工作。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5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各项代建任务均已完成。</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28"/>
          <w:jc w:val="center"/>
        </w:trPr>
        <w:tc>
          <w:tcPr>
            <w:tcW w:w="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一级指标</w:t>
            </w:r>
          </w:p>
        </w:tc>
        <w:tc>
          <w:tcPr>
            <w:tcW w:w="37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分值</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二级指标</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三级指标</w:t>
            </w:r>
          </w:p>
        </w:tc>
        <w:tc>
          <w:tcPr>
            <w:tcW w:w="12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年度指标值</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指标值说明</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实际完成值</w:t>
            </w:r>
          </w:p>
        </w:tc>
        <w:tc>
          <w:tcPr>
            <w:tcW w:w="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分值</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得分</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偏差原因分析及改进措施</w:t>
            </w:r>
          </w:p>
        </w:tc>
      </w:tr>
      <w:tr>
        <w:trPr>
          <w:trHeight w:hRule="exact" w:val="228"/>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1"/>
          <w:jc w:val="center"/>
        </w:trPr>
        <w:tc>
          <w:tcPr>
            <w:tcW w:w="37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投入管理指标</w:t>
            </w:r>
          </w:p>
        </w:tc>
        <w:tc>
          <w:tcPr>
            <w:tcW w:w="37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30</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2"/>
              </w:rPr>
              <w:t xml:space="preserve">工作目标管理</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年度履职目标相关性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相关</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相关</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0"/>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2"/>
              </w:rPr>
              <w:t xml:space="preserve">工作任务科学性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科学</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科学</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1"/>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2"/>
              </w:rPr>
              <w:t xml:space="preserve">绩效指标合理性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合理</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合理</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77"/>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预算和财务管理</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预算编制完整性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完整</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完整</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3"/>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专项资金细化率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≥90%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≥90%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7"/>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预算调整率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0.0084</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77"/>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结转结余率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≤20%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2"/>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“三公经费”控制率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0.57</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56"/>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政府采购执行率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2"/>
              </w:rPr>
              <w:t xml:space="preserve">≥80%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3"/>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决算真实性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真实</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真实</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7"/>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资金使用合规性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合规</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合规</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5"/>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管理制度健全性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健全</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健全</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4"/>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预决算信息公开性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公开</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公开</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8"/>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资产管理规范性</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规范</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规范</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25"/>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绩效管理</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绩效监控完成率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2"/>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绩效自评完成率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8"/>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部门绩效评价完成率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4"/>
          <w:jc w:val="center"/>
        </w:trPr>
        <w:tc>
          <w:tcPr>
            <w:tcW w:w="37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评价结果应用率</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56"/>
          <w:jc w:val="center"/>
        </w:trPr>
        <w:tc>
          <w:tcPr>
            <w:tcW w:w="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产出指标</w:t>
            </w:r>
          </w:p>
        </w:tc>
        <w:tc>
          <w:tcPr>
            <w:tcW w:w="37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25</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重点工作任务完成</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2"/>
              </w:rPr>
              <w:t xml:space="preserve">市重点代建项目科普教育基地收尾工作</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98%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99%</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15</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94"/>
          <w:jc w:val="center"/>
        </w:trPr>
        <w:tc>
          <w:tcPr>
            <w:tcW w:w="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履职目标实现</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2"/>
              </w:rPr>
              <w:t xml:space="preserve">市重点代建项目科普教育基地完成移交收尾工作</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2"/>
              </w:rPr>
              <w:t xml:space="preserve">100%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32"/>
          <w:jc w:val="center"/>
        </w:trPr>
        <w:tc>
          <w:tcPr>
            <w:tcW w:w="37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效益指标</w:t>
            </w:r>
          </w:p>
        </w:tc>
        <w:tc>
          <w:tcPr>
            <w:tcW w:w="37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35</w:t>
            </w:r>
          </w:p>
        </w:tc>
        <w:tc>
          <w:tcPr>
            <w:tcW w:w="1233"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履职效益</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经济效益</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2"/>
              </w:rPr>
              <w:t xml:space="preserve">保障</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2"/>
              </w:rPr>
              <w:t xml:space="preserve">保障</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3"/>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社会效益</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2"/>
              </w:rPr>
              <w:t xml:space="preserve">保障</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2"/>
              </w:rPr>
              <w:t xml:space="preserve">保障</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3"/>
          <w:jc w:val="center"/>
        </w:trPr>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满意度</w:t>
            </w: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社会公众满意度</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4"/>
              </w:rPr>
              <w:t xml:space="preserve">≥95%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4"/>
              </w:rPr>
              <w:t xml:space="preserve">≥90%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需加强沟通，提高服务。</w:t>
            </w:r>
          </w:p>
        </w:tc>
      </w:tr>
      <w:tr>
        <w:trPr>
          <w:trHeight w:hRule="exact" w:val="332"/>
          <w:jc w:val="center"/>
        </w:trPr>
        <w:tc>
          <w:tcPr>
            <w:tcW w:w="37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服务对象满意度</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4"/>
              </w:rPr>
              <w:t xml:space="preserve">≥95%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30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4"/>
              </w:rPr>
              <w:t xml:space="preserve">≥90%</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9.5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2"/>
              </w:rPr>
              <w:t xml:space="preserve">需加强沟通，提高服务。</w:t>
            </w:r>
          </w:p>
        </w:tc>
      </w:tr>
      <w:tr>
        <w:trPr>
          <w:trHeight w:hRule="exact" w:val="415"/>
          <w:jc w:val="center"/>
        </w:trPr>
        <w:tc>
          <w:tcPr>
            <w:tcW w:w="73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总分（100分）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100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99</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891"/>
          <w:jc w:val="center"/>
        </w:trPr>
        <w:tc>
          <w:tcPr>
            <w:tcW w:w="990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2"/>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73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