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default"/>
          <w:kern w:val="2"/>
          <w:sz w:val="44"/>
          <w:szCs w:val="44"/>
          <w:lang w:val="en-US"/>
        </w:rPr>
      </w:pPr>
      <w:r>
        <w:rPr>
          <w:rFonts w:ascii="黑体" w:eastAsia="黑体" w:hAnsi="宋体" w:cs="黑体" w:hint="eastAsia"/>
          <w:kern w:val="2"/>
          <w:sz w:val="44"/>
          <w:szCs w:val="44"/>
          <w:lang w:val="en-US" w:eastAsia="zh-CN"/>
        </w:rPr>
        <w:t xml:space="preserve">许昌市政务服务和大数据管理局</w:t>
      </w:r>
      <w:r>
        <w:rPr>
          <w:rFonts w:ascii="黑体" w:eastAsia="黑体" w:hAnsi="宋体" w:cs="黑体" w:hint="eastAsia"/>
          <w:kern w:val="2"/>
          <w:sz w:val="44"/>
          <w:szCs w:val="44"/>
          <w:lang w:val="en-US" w:eastAsia="zh-CN"/>
        </w:rPr>
        <w:t xml:space="preserve">部门决算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许昌市政务服务和大数据管理局</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部门职责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许昌市政务服务和大数据管理局概况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（一）统筹推进全市“数字政府”建设，拟订建设规划和年度建设计划并组织实施。</w:t>
        <w:br/>
        <w:t xml:space="preserve">    （二）统筹推进全市“一网通办”前提下“最多跑一次”改革工作。</w:t>
        <w:br/>
        <w:t xml:space="preserve">    （三）统筹市级政务信息系统建设规划，提出项目建设具体意见。</w:t>
        <w:br/>
        <w:t xml:space="preserve">    （四）统筹管理政务云平台、政务服务平台和电子政务外网等。</w:t>
        <w:br/>
        <w:t xml:space="preserve">    （五）统筹推进全市政务服务和数据管理体系建设，指导各地区各部门政务服务和数据管理机构开展工作。</w:t>
        <w:br/>
        <w:t xml:space="preserve">    （六）组织协调全市政务服务环境优化和评价工作，负责市级政务服务质量的监督管理。</w:t>
        <w:br/>
        <w:t xml:space="preserve">    （七）负责全市行政审批改革、审批服务便民化相关工作，负责全市政务服务事项目录管理和标准化建设。</w:t>
        <w:br/>
        <w:t xml:space="preserve">    （八）统筹全市数据资源管理和建设工作。组织推动大数据、物联网、人工智能领域的研究、开发、应用和对外合作交流。承担大数据人才队伍建设工作。协调服务大数据产业发展。</w:t>
        <w:br/>
        <w:t xml:space="preserve">    （九）统筹全市电子政务基础设施、信息系统、数据资源等安全保障工作，负责“数字政府”平台安全技术和运营体系建设，监督管理市级信息系统和数据库。</w:t>
        <w:br/>
        <w:t xml:space="preserve">    （十）统筹协调服务以第五代移动通信（以下简称“5G”）为代表的大数据、物联网、人工智能等新一代信息技术产业发展。</w:t>
        <w:br/>
        <w:t xml:space="preserve">    （十一）完成市委、市政府交办的其他任务。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许昌市政务服务和大数据管理局</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6</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办公室、政务服务管理科、审批改革协调科、服务环境监察科、数据资源管理科、信息技术产业科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许昌市政务服务和大数据管理局</w:t>
      </w:r>
      <w:r>
        <w:rPr>
          <w:rFonts w:ascii="仿宋" w:eastAsia="仿宋" w:hAnsi="仿宋" w:cs="仿宋" w:hint="eastAsia"/>
          <w:kern w:val="0"/>
          <w:sz w:val="32"/>
          <w:szCs w:val="32"/>
          <w:lang w:val="en-US" w:eastAsia="zh-CN"/>
        </w:rPr>
        <w:t xml:space="preserve">部门决算包括：本级决算（1个）</w:t>
      </w:r>
      <w:r>
        <w:rPr>
          <w:rFonts w:ascii="仿宋" w:eastAsia="仿宋" w:hAnsi="仿宋" w:cs="仿宋" w:hint="eastAsia"/>
          <w:kern w:val="0"/>
          <w:sz w:val="32"/>
          <w:szCs w:val="32"/>
          <w:lang w:val="en-US" w:eastAsia="zh-CN"/>
        </w:rPr>
        <w:t xml:space="preserve">、所属单位决算（1个）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本决算为汇总决算，</w:t>
      </w:r>
      <w:r>
        <w:rPr>
          <w:rFonts w:ascii="仿宋" w:eastAsia="仿宋" w:hAnsi="仿宋" w:cs="仿宋" w:hint="eastAsia"/>
          <w:kern w:val="0"/>
          <w:sz w:val="32"/>
          <w:szCs w:val="32"/>
          <w:lang w:val="en-US" w:eastAsia="zh-CN"/>
        </w:rPr>
        <w:t xml:space="preserve">纳入本部门2023年度部门决算编制范围的单位共</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二级预算单位有:</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1.许昌市政务服务和大数据管理局（本级）</w:t>
        <w:br/>
        <w:t xml:space="preserve">    2.许昌市信息中心</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_GB2312" w:eastAsia="仿宋_GB2312" w:hAnsi="宋体" w:cs="仿宋_GB2312" w:hint="eastAsia"/>
          <w:kern w:val="0"/>
          <w:sz w:val="32"/>
          <w:szCs w:val="32"/>
          <w:lang w:val="en-US" w:eastAsia="zh-CN"/>
        </w:rPr>
      </w:pPr>
    </w:p>
    <w:p>
      <w:pPr>
        <w:bidi w:val="0"/>
        <w:rPr>
          <w:rFonts w:hint="eastAsia"/>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2023年度部门决算表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部门：许昌市政务服务和大数据管理局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1,000.39</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961.28</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0.01</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72.67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33.11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2.50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39.08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1,000.40</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1,108.64</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108.27</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0.03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1,108.67</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1,108.67</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注：1.本表反映部门本年度的总收支和年末结转结余情况。</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部门：许昌市政务服务和大数据管理局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1,000.40</w:t>
            </w:r>
          </w:p>
        </w:tc>
        <w:tc>
          <w:tcPr>
            <w:tcW w:w="1440" w:type="dxa"/>
            <w:tcBorders/>
            <w:vAlign w:val="center"/>
          </w:tcPr>
          <w:p>
            <w:pPr>
              <w:jc w:val="right"/>
            </w:pPr>
            <w:r>
              <w:rPr>
                <w:rFonts w:ascii="宋体" w:eastAsia="宋体" w:hAnsi="宋体" w:cs="宋体"/>
                <w:b/>
                <w:i w:val="0"/>
                <w:color w:val="000000"/>
                <w:sz w:val="17"/>
              </w:rPr>
              <w:t xml:space="preserve">1,000.39</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0.01</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853.04</w:t>
            </w:r>
          </w:p>
        </w:tc>
        <w:tc>
          <w:tcPr>
            <w:tcW w:w="1440" w:type="dxa"/>
            <w:tcBorders/>
            <w:vAlign w:val="center"/>
          </w:tcPr>
          <w:p>
            <w:pPr>
              <w:jc w:val="right"/>
            </w:pPr>
            <w:r>
              <w:rPr>
                <w:rFonts w:ascii="宋体" w:eastAsia="宋体" w:hAnsi="宋体" w:cs="宋体"/>
                <w:b w:val="0"/>
                <w:i w:val="0"/>
                <w:color w:val="000000"/>
                <w:sz w:val="17"/>
              </w:rPr>
              <w:t xml:space="preserve">853.03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0.01</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人大事务</w:t>
            </w:r>
          </w:p>
        </w:tc>
        <w:tc>
          <w:tcPr>
            <w:tcW w:w="1440" w:type="dxa"/>
            <w:tcBorders/>
            <w:vAlign w:val="center"/>
          </w:tcPr>
          <w:p>
            <w:pPr>
              <w:jc w:val="right"/>
            </w:pPr>
            <w:r>
              <w:rPr>
                <w:rFonts w:ascii="宋体" w:eastAsia="宋体" w:hAnsi="宋体" w:cs="宋体"/>
                <w:b w:val="0"/>
                <w:i w:val="0"/>
                <w:color w:val="000000"/>
                <w:sz w:val="17"/>
              </w:rPr>
              <w:t xml:space="preserve">13.90</w:t>
            </w:r>
          </w:p>
        </w:tc>
        <w:tc>
          <w:tcPr>
            <w:tcW w:w="1440" w:type="dxa"/>
            <w:tcBorders/>
            <w:vAlign w:val="center"/>
          </w:tcPr>
          <w:p>
            <w:pPr>
              <w:jc w:val="right"/>
            </w:pPr>
            <w:r>
              <w:rPr>
                <w:rFonts w:ascii="宋体" w:eastAsia="宋体" w:hAnsi="宋体" w:cs="宋体"/>
                <w:b w:val="0"/>
                <w:i w:val="0"/>
                <w:color w:val="000000"/>
                <w:sz w:val="17"/>
              </w:rPr>
              <w:t xml:space="preserve">13.90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13.90</w:t>
            </w:r>
          </w:p>
        </w:tc>
        <w:tc>
          <w:tcPr>
            <w:tcW w:w="1440" w:type="dxa"/>
            <w:tcBorders/>
            <w:vAlign w:val="center"/>
          </w:tcPr>
          <w:p>
            <w:pPr>
              <w:jc w:val="right"/>
            </w:pPr>
            <w:r>
              <w:rPr>
                <w:rFonts w:ascii="宋体" w:eastAsia="宋体" w:hAnsi="宋体" w:cs="宋体"/>
                <w:b w:val="0"/>
                <w:i w:val="0"/>
                <w:color w:val="000000"/>
                <w:sz w:val="17"/>
              </w:rPr>
              <w:t xml:space="preserve">13.90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政府办公厅（室）及相关机构事务</w:t>
            </w:r>
          </w:p>
        </w:tc>
        <w:tc>
          <w:tcPr>
            <w:tcW w:w="1440" w:type="dxa"/>
            <w:tcBorders/>
            <w:vAlign w:val="center"/>
          </w:tcPr>
          <w:p>
            <w:pPr>
              <w:jc w:val="right"/>
            </w:pPr>
            <w:r>
              <w:rPr>
                <w:rFonts w:ascii="宋体" w:eastAsia="宋体" w:hAnsi="宋体" w:cs="宋体"/>
                <w:b w:val="0"/>
                <w:i w:val="0"/>
                <w:color w:val="000000"/>
                <w:sz w:val="17"/>
              </w:rPr>
              <w:t xml:space="preserve">712.86</w:t>
            </w:r>
          </w:p>
        </w:tc>
        <w:tc>
          <w:tcPr>
            <w:tcW w:w="1440" w:type="dxa"/>
            <w:tcBorders/>
            <w:vAlign w:val="center"/>
          </w:tcPr>
          <w:p>
            <w:pPr>
              <w:jc w:val="right"/>
            </w:pPr>
            <w:r>
              <w:rPr>
                <w:rFonts w:ascii="宋体" w:eastAsia="宋体" w:hAnsi="宋体" w:cs="宋体"/>
                <w:b w:val="0"/>
                <w:i w:val="0"/>
                <w:color w:val="000000"/>
                <w:sz w:val="17"/>
              </w:rPr>
              <w:t xml:space="preserve">712.85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0.01</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2010301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475.24</w:t>
            </w:r>
          </w:p>
        </w:tc>
        <w:tc>
          <w:tcPr>
            <w:tcW w:w="1440" w:type="dxa"/>
            <w:tcBorders/>
            <w:vAlign w:val="center"/>
          </w:tcPr>
          <w:p>
            <w:pPr>
              <w:jc w:val="right"/>
            </w:pPr>
            <w:r>
              <w:rPr>
                <w:rFonts w:ascii="宋体" w:eastAsia="宋体" w:hAnsi="宋体" w:cs="宋体"/>
                <w:b w:val="0"/>
                <w:i w:val="0"/>
                <w:color w:val="000000"/>
                <w:sz w:val="17"/>
              </w:rPr>
              <w:t xml:space="preserve">475.23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0.01</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2010302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40.60</w:t>
            </w:r>
          </w:p>
        </w:tc>
        <w:tc>
          <w:tcPr>
            <w:tcW w:w="1440" w:type="dxa"/>
            <w:tcBorders/>
            <w:vAlign w:val="center"/>
          </w:tcPr>
          <w:p>
            <w:pPr>
              <w:jc w:val="right"/>
            </w:pPr>
            <w:r>
              <w:rPr>
                <w:rFonts w:ascii="宋体" w:eastAsia="宋体" w:hAnsi="宋体" w:cs="宋体"/>
                <w:b w:val="0"/>
                <w:i w:val="0"/>
                <w:color w:val="000000"/>
                <w:sz w:val="17"/>
              </w:rPr>
              <w:t xml:space="preserve">40.60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2010350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事业运行</w:t>
            </w:r>
          </w:p>
        </w:tc>
        <w:tc>
          <w:tcPr>
            <w:tcW w:w="1440" w:type="dxa"/>
            <w:tcBorders/>
            <w:vAlign w:val="center"/>
          </w:tcPr>
          <w:p>
            <w:pPr>
              <w:jc w:val="right"/>
            </w:pPr>
            <w:r>
              <w:rPr>
                <w:rFonts w:ascii="宋体" w:eastAsia="宋体" w:hAnsi="宋体" w:cs="宋体"/>
                <w:b w:val="0"/>
                <w:i w:val="0"/>
                <w:color w:val="000000"/>
                <w:sz w:val="17"/>
              </w:rPr>
              <w:t xml:space="preserve">197.02</w:t>
            </w:r>
          </w:p>
        </w:tc>
        <w:tc>
          <w:tcPr>
            <w:tcW w:w="1440" w:type="dxa"/>
            <w:tcBorders/>
            <w:vAlign w:val="center"/>
          </w:tcPr>
          <w:p>
            <w:pPr>
              <w:jc w:val="right"/>
            </w:pPr>
            <w:r>
              <w:rPr>
                <w:rFonts w:ascii="宋体" w:eastAsia="宋体" w:hAnsi="宋体" w:cs="宋体"/>
                <w:b w:val="0"/>
                <w:i w:val="0"/>
                <w:color w:val="000000"/>
                <w:sz w:val="17"/>
              </w:rPr>
              <w:t xml:space="preserve">197.02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3.47</w:t>
            </w:r>
          </w:p>
        </w:tc>
        <w:tc>
          <w:tcPr>
            <w:tcW w:w="1440" w:type="dxa"/>
            <w:tcBorders/>
            <w:vAlign w:val="center"/>
          </w:tcPr>
          <w:p>
            <w:pPr>
              <w:jc w:val="right"/>
            </w:pPr>
            <w:r>
              <w:rPr>
                <w:rFonts w:ascii="宋体" w:eastAsia="宋体" w:hAnsi="宋体" w:cs="宋体"/>
                <w:b w:val="0"/>
                <w:i w:val="0"/>
                <w:color w:val="000000"/>
                <w:sz w:val="17"/>
              </w:rPr>
              <w:t xml:space="preserve">3.47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3.47</w:t>
            </w:r>
          </w:p>
        </w:tc>
        <w:tc>
          <w:tcPr>
            <w:tcW w:w="1440" w:type="dxa"/>
            <w:tcBorders/>
            <w:vAlign w:val="center"/>
          </w:tcPr>
          <w:p>
            <w:pPr>
              <w:jc w:val="right"/>
            </w:pPr>
            <w:r>
              <w:rPr>
                <w:rFonts w:ascii="宋体" w:eastAsia="宋体" w:hAnsi="宋体" w:cs="宋体"/>
                <w:b w:val="0"/>
                <w:i w:val="0"/>
                <w:color w:val="000000"/>
                <w:sz w:val="17"/>
              </w:rPr>
              <w:t xml:space="preserve">3.47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122.81</w:t>
            </w:r>
          </w:p>
        </w:tc>
        <w:tc>
          <w:tcPr>
            <w:tcW w:w="1440" w:type="dxa"/>
            <w:tcBorders/>
            <w:vAlign w:val="center"/>
          </w:tcPr>
          <w:p>
            <w:pPr>
              <w:jc w:val="right"/>
            </w:pPr>
            <w:r>
              <w:rPr>
                <w:rFonts w:ascii="宋体" w:eastAsia="宋体" w:hAnsi="宋体" w:cs="宋体"/>
                <w:b w:val="0"/>
                <w:i w:val="0"/>
                <w:color w:val="000000"/>
                <w:sz w:val="17"/>
              </w:rPr>
              <w:t xml:space="preserve">122.81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122.81</w:t>
            </w:r>
          </w:p>
        </w:tc>
        <w:tc>
          <w:tcPr>
            <w:tcW w:w="1440" w:type="dxa"/>
            <w:tcBorders/>
            <w:vAlign w:val="center"/>
          </w:tcPr>
          <w:p>
            <w:pPr>
              <w:jc w:val="right"/>
            </w:pPr>
            <w:r>
              <w:rPr>
                <w:rFonts w:ascii="宋体" w:eastAsia="宋体" w:hAnsi="宋体" w:cs="宋体"/>
                <w:b w:val="0"/>
                <w:i w:val="0"/>
                <w:color w:val="000000"/>
                <w:sz w:val="17"/>
              </w:rPr>
              <w:t xml:space="preserve">122.81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72.67</w:t>
            </w:r>
          </w:p>
        </w:tc>
        <w:tc>
          <w:tcPr>
            <w:tcW w:w="1440" w:type="dxa"/>
            <w:tcBorders/>
            <w:vAlign w:val="center"/>
          </w:tcPr>
          <w:p>
            <w:pPr>
              <w:jc w:val="right"/>
            </w:pPr>
            <w:r>
              <w:rPr>
                <w:rFonts w:ascii="宋体" w:eastAsia="宋体" w:hAnsi="宋体" w:cs="宋体"/>
                <w:b w:val="0"/>
                <w:i w:val="0"/>
                <w:color w:val="000000"/>
                <w:sz w:val="17"/>
              </w:rPr>
              <w:t xml:space="preserve">72.67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72.67</w:t>
            </w:r>
          </w:p>
        </w:tc>
        <w:tc>
          <w:tcPr>
            <w:tcW w:w="1440" w:type="dxa"/>
            <w:tcBorders/>
            <w:vAlign w:val="center"/>
          </w:tcPr>
          <w:p>
            <w:pPr>
              <w:jc w:val="right"/>
            </w:pPr>
            <w:r>
              <w:rPr>
                <w:rFonts w:ascii="宋体" w:eastAsia="宋体" w:hAnsi="宋体" w:cs="宋体"/>
                <w:b w:val="0"/>
                <w:i w:val="0"/>
                <w:color w:val="000000"/>
                <w:sz w:val="17"/>
              </w:rPr>
              <w:t xml:space="preserve">72.67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31.77</w:t>
            </w:r>
          </w:p>
        </w:tc>
        <w:tc>
          <w:tcPr>
            <w:tcW w:w="1440" w:type="dxa"/>
            <w:tcBorders/>
            <w:vAlign w:val="center"/>
          </w:tcPr>
          <w:p>
            <w:pPr>
              <w:jc w:val="right"/>
            </w:pPr>
            <w:r>
              <w:rPr>
                <w:rFonts w:ascii="宋体" w:eastAsia="宋体" w:hAnsi="宋体" w:cs="宋体"/>
                <w:b w:val="0"/>
                <w:i w:val="0"/>
                <w:color w:val="000000"/>
                <w:sz w:val="17"/>
              </w:rPr>
              <w:t xml:space="preserve">31.77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40.90</w:t>
            </w:r>
          </w:p>
        </w:tc>
        <w:tc>
          <w:tcPr>
            <w:tcW w:w="1440" w:type="dxa"/>
            <w:tcBorders/>
            <w:vAlign w:val="center"/>
          </w:tcPr>
          <w:p>
            <w:pPr>
              <w:jc w:val="right"/>
            </w:pPr>
            <w:r>
              <w:rPr>
                <w:rFonts w:ascii="宋体" w:eastAsia="宋体" w:hAnsi="宋体" w:cs="宋体"/>
                <w:b w:val="0"/>
                <w:i w:val="0"/>
                <w:color w:val="000000"/>
                <w:sz w:val="17"/>
              </w:rPr>
              <w:t xml:space="preserve">40.90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33.11</w:t>
            </w:r>
          </w:p>
        </w:tc>
        <w:tc>
          <w:tcPr>
            <w:tcW w:w="1440" w:type="dxa"/>
            <w:tcBorders/>
            <w:vAlign w:val="center"/>
          </w:tcPr>
          <w:p>
            <w:pPr>
              <w:jc w:val="right"/>
            </w:pPr>
            <w:r>
              <w:rPr>
                <w:rFonts w:ascii="宋体" w:eastAsia="宋体" w:hAnsi="宋体" w:cs="宋体"/>
                <w:b w:val="0"/>
                <w:i w:val="0"/>
                <w:color w:val="000000"/>
                <w:sz w:val="17"/>
              </w:rPr>
              <w:t xml:space="preserve">33.11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33.11</w:t>
            </w:r>
          </w:p>
        </w:tc>
        <w:tc>
          <w:tcPr>
            <w:tcW w:w="1440" w:type="dxa"/>
            <w:tcBorders/>
            <w:vAlign w:val="center"/>
          </w:tcPr>
          <w:p>
            <w:pPr>
              <w:jc w:val="right"/>
            </w:pPr>
            <w:r>
              <w:rPr>
                <w:rFonts w:ascii="宋体" w:eastAsia="宋体" w:hAnsi="宋体" w:cs="宋体"/>
                <w:b w:val="0"/>
                <w:i w:val="0"/>
                <w:color w:val="000000"/>
                <w:sz w:val="17"/>
              </w:rPr>
              <w:t xml:space="preserve">33.11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12.31</w:t>
            </w:r>
          </w:p>
        </w:tc>
        <w:tc>
          <w:tcPr>
            <w:tcW w:w="1440" w:type="dxa"/>
            <w:tcBorders/>
            <w:vAlign w:val="center"/>
          </w:tcPr>
          <w:p>
            <w:pPr>
              <w:jc w:val="right"/>
            </w:pPr>
            <w:r>
              <w:rPr>
                <w:rFonts w:ascii="宋体" w:eastAsia="宋体" w:hAnsi="宋体" w:cs="宋体"/>
                <w:b w:val="0"/>
                <w:i w:val="0"/>
                <w:color w:val="000000"/>
                <w:sz w:val="17"/>
              </w:rPr>
              <w:t xml:space="preserve">12.31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7.13</w:t>
            </w:r>
          </w:p>
        </w:tc>
        <w:tc>
          <w:tcPr>
            <w:tcW w:w="1440" w:type="dxa"/>
            <w:tcBorders/>
            <w:vAlign w:val="center"/>
          </w:tcPr>
          <w:p>
            <w:pPr>
              <w:jc w:val="right"/>
            </w:pPr>
            <w:r>
              <w:rPr>
                <w:rFonts w:ascii="宋体" w:eastAsia="宋体" w:hAnsi="宋体" w:cs="宋体"/>
                <w:b w:val="0"/>
                <w:i w:val="0"/>
                <w:color w:val="000000"/>
                <w:sz w:val="17"/>
              </w:rPr>
              <w:t xml:space="preserve">7.13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13.67</w:t>
            </w:r>
          </w:p>
        </w:tc>
        <w:tc>
          <w:tcPr>
            <w:tcW w:w="1440" w:type="dxa"/>
            <w:tcBorders/>
            <w:vAlign w:val="center"/>
          </w:tcPr>
          <w:p>
            <w:pPr>
              <w:jc w:val="right"/>
            </w:pPr>
            <w:r>
              <w:rPr>
                <w:rFonts w:ascii="宋体" w:eastAsia="宋体" w:hAnsi="宋体" w:cs="宋体"/>
                <w:b w:val="0"/>
                <w:i w:val="0"/>
                <w:color w:val="000000"/>
                <w:sz w:val="17"/>
              </w:rPr>
              <w:t xml:space="preserve">13.67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39.08</w:t>
            </w:r>
          </w:p>
        </w:tc>
        <w:tc>
          <w:tcPr>
            <w:tcW w:w="1440" w:type="dxa"/>
            <w:tcBorders/>
            <w:vAlign w:val="center"/>
          </w:tcPr>
          <w:p>
            <w:pPr>
              <w:jc w:val="right"/>
            </w:pPr>
            <w:r>
              <w:rPr>
                <w:rFonts w:ascii="宋体" w:eastAsia="宋体" w:hAnsi="宋体" w:cs="宋体"/>
                <w:b w:val="0"/>
                <w:i w:val="0"/>
                <w:color w:val="000000"/>
                <w:sz w:val="17"/>
              </w:rPr>
              <w:t xml:space="preserve">39.08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39.08</w:t>
            </w:r>
          </w:p>
        </w:tc>
        <w:tc>
          <w:tcPr>
            <w:tcW w:w="1440" w:type="dxa"/>
            <w:tcBorders/>
            <w:vAlign w:val="center"/>
          </w:tcPr>
          <w:p>
            <w:pPr>
              <w:jc w:val="right"/>
            </w:pPr>
            <w:r>
              <w:rPr>
                <w:rFonts w:ascii="宋体" w:eastAsia="宋体" w:hAnsi="宋体" w:cs="宋体"/>
                <w:b w:val="0"/>
                <w:i w:val="0"/>
                <w:color w:val="000000"/>
                <w:sz w:val="17"/>
              </w:rPr>
              <w:t xml:space="preserve">39.08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39.08</w:t>
            </w:r>
          </w:p>
        </w:tc>
        <w:tc>
          <w:tcPr>
            <w:tcW w:w="1440" w:type="dxa"/>
            <w:tcBorders/>
            <w:vAlign w:val="center"/>
          </w:tcPr>
          <w:p>
            <w:pPr>
              <w:jc w:val="right"/>
            </w:pPr>
            <w:r>
              <w:rPr>
                <w:rFonts w:ascii="宋体" w:eastAsia="宋体" w:hAnsi="宋体" w:cs="宋体"/>
                <w:b w:val="0"/>
                <w:i w:val="0"/>
                <w:color w:val="000000"/>
                <w:sz w:val="17"/>
              </w:rPr>
              <w:t xml:space="preserve">39.08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部门：许昌市政务服务和大数据管理局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1,108.64</w:t>
            </w:r>
          </w:p>
        </w:tc>
        <w:tc>
          <w:tcPr>
            <w:tcW w:w="1600" w:type="dxa"/>
            <w:tcBorders/>
            <w:vAlign w:val="center"/>
          </w:tcPr>
          <w:p>
            <w:pPr>
              <w:jc w:val="right"/>
            </w:pPr>
            <w:r>
              <w:rPr>
                <w:rFonts w:ascii="宋体" w:eastAsia="宋体" w:hAnsi="宋体" w:cs="宋体"/>
                <w:b/>
                <w:i w:val="0"/>
                <w:color w:val="000000"/>
                <w:sz w:val="19"/>
              </w:rPr>
              <w:t xml:space="preserve">864.68</w:t>
            </w:r>
          </w:p>
        </w:tc>
        <w:tc>
          <w:tcPr>
            <w:tcW w:w="1600" w:type="dxa"/>
            <w:tcBorders/>
            <w:vAlign w:val="center"/>
          </w:tcPr>
          <w:p>
            <w:pPr>
              <w:jc w:val="right"/>
            </w:pPr>
            <w:r>
              <w:rPr>
                <w:rFonts w:ascii="宋体" w:eastAsia="宋体" w:hAnsi="宋体" w:cs="宋体"/>
                <w:b/>
                <w:i w:val="0"/>
                <w:color w:val="000000"/>
                <w:sz w:val="19"/>
              </w:rPr>
              <w:t xml:space="preserve">243.96</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961.28</w:t>
            </w:r>
          </w:p>
        </w:tc>
        <w:tc>
          <w:tcPr>
            <w:tcW w:w="1600" w:type="dxa"/>
            <w:tcBorders/>
            <w:vAlign w:val="center"/>
          </w:tcPr>
          <w:p>
            <w:pPr>
              <w:jc w:val="right"/>
            </w:pPr>
            <w:r>
              <w:rPr>
                <w:rFonts w:ascii="宋体" w:eastAsia="宋体" w:hAnsi="宋体" w:cs="宋体"/>
                <w:b w:val="0"/>
                <w:i w:val="0"/>
                <w:color w:val="000000"/>
                <w:sz w:val="19"/>
              </w:rPr>
              <w:t xml:space="preserve">719.82</w:t>
            </w:r>
          </w:p>
        </w:tc>
        <w:tc>
          <w:tcPr>
            <w:tcW w:w="1600" w:type="dxa"/>
            <w:tcBorders/>
            <w:vAlign w:val="center"/>
          </w:tcPr>
          <w:p>
            <w:pPr>
              <w:jc w:val="right"/>
            </w:pPr>
            <w:r>
              <w:rPr>
                <w:rFonts w:ascii="宋体" w:eastAsia="宋体" w:hAnsi="宋体" w:cs="宋体"/>
                <w:b w:val="0"/>
                <w:i w:val="0"/>
                <w:color w:val="000000"/>
                <w:sz w:val="19"/>
              </w:rPr>
              <w:t xml:space="preserve">241.46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人大事务</w:t>
            </w:r>
          </w:p>
        </w:tc>
        <w:tc>
          <w:tcPr>
            <w:tcW w:w="1600" w:type="dxa"/>
            <w:tcBorders/>
            <w:vAlign w:val="center"/>
          </w:tcPr>
          <w:p>
            <w:pPr>
              <w:jc w:val="right"/>
            </w:pPr>
            <w:r>
              <w:rPr>
                <w:rFonts w:ascii="宋体" w:eastAsia="宋体" w:hAnsi="宋体" w:cs="宋体"/>
                <w:b w:val="0"/>
                <w:i w:val="0"/>
                <w:color w:val="000000"/>
                <w:sz w:val="19"/>
              </w:rPr>
              <w:t xml:space="preserve">13.90</w:t>
            </w:r>
          </w:p>
        </w:tc>
        <w:tc>
          <w:tcPr>
            <w:tcW w:w="1600" w:type="dxa"/>
            <w:tcBorders/>
            <w:vAlign w:val="center"/>
          </w:tcPr>
          <w:p>
            <w:pPr>
              <w:jc w:val="right"/>
            </w:pPr>
            <w:r>
              <w:rPr>
                <w:rFonts w:ascii="宋体" w:eastAsia="宋体" w:hAnsi="宋体" w:cs="宋体"/>
                <w:b w:val="0"/>
                <w:i w:val="0"/>
                <w:color w:val="000000"/>
                <w:sz w:val="19"/>
              </w:rPr>
              <w:t xml:space="preserve">13.90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13.90</w:t>
            </w:r>
          </w:p>
        </w:tc>
        <w:tc>
          <w:tcPr>
            <w:tcW w:w="1600" w:type="dxa"/>
            <w:tcBorders/>
            <w:vAlign w:val="center"/>
          </w:tcPr>
          <w:p>
            <w:pPr>
              <w:jc w:val="right"/>
            </w:pPr>
            <w:r>
              <w:rPr>
                <w:rFonts w:ascii="宋体" w:eastAsia="宋体" w:hAnsi="宋体" w:cs="宋体"/>
                <w:b w:val="0"/>
                <w:i w:val="0"/>
                <w:color w:val="000000"/>
                <w:sz w:val="19"/>
              </w:rPr>
              <w:t xml:space="preserve">13.90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政府办公厅（室）及相关机构事务</w:t>
            </w:r>
          </w:p>
        </w:tc>
        <w:tc>
          <w:tcPr>
            <w:tcW w:w="1600" w:type="dxa"/>
            <w:tcBorders/>
            <w:vAlign w:val="center"/>
          </w:tcPr>
          <w:p>
            <w:pPr>
              <w:jc w:val="right"/>
            </w:pPr>
            <w:r>
              <w:rPr>
                <w:rFonts w:ascii="宋体" w:eastAsia="宋体" w:hAnsi="宋体" w:cs="宋体"/>
                <w:b w:val="0"/>
                <w:i w:val="0"/>
                <w:color w:val="000000"/>
                <w:sz w:val="19"/>
              </w:rPr>
              <w:t xml:space="preserve">821.10</w:t>
            </w:r>
          </w:p>
        </w:tc>
        <w:tc>
          <w:tcPr>
            <w:tcW w:w="1600" w:type="dxa"/>
            <w:tcBorders/>
            <w:vAlign w:val="center"/>
          </w:tcPr>
          <w:p>
            <w:pPr>
              <w:jc w:val="right"/>
            </w:pPr>
            <w:r>
              <w:rPr>
                <w:rFonts w:ascii="宋体" w:eastAsia="宋体" w:hAnsi="宋体" w:cs="宋体"/>
                <w:b w:val="0"/>
                <w:i w:val="0"/>
                <w:color w:val="000000"/>
                <w:sz w:val="19"/>
              </w:rPr>
              <w:t xml:space="preserve">672.25</w:t>
            </w:r>
          </w:p>
        </w:tc>
        <w:tc>
          <w:tcPr>
            <w:tcW w:w="1600" w:type="dxa"/>
            <w:tcBorders/>
            <w:vAlign w:val="center"/>
          </w:tcPr>
          <w:p>
            <w:pPr>
              <w:jc w:val="right"/>
            </w:pPr>
            <w:r>
              <w:rPr>
                <w:rFonts w:ascii="宋体" w:eastAsia="宋体" w:hAnsi="宋体" w:cs="宋体"/>
                <w:b w:val="0"/>
                <w:i w:val="0"/>
                <w:color w:val="000000"/>
                <w:sz w:val="19"/>
              </w:rPr>
              <w:t xml:space="preserve">148.85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2010301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475.23</w:t>
            </w:r>
          </w:p>
        </w:tc>
        <w:tc>
          <w:tcPr>
            <w:tcW w:w="1600" w:type="dxa"/>
            <w:tcBorders/>
            <w:vAlign w:val="center"/>
          </w:tcPr>
          <w:p>
            <w:pPr>
              <w:jc w:val="right"/>
            </w:pPr>
            <w:r>
              <w:rPr>
                <w:rFonts w:ascii="宋体" w:eastAsia="宋体" w:hAnsi="宋体" w:cs="宋体"/>
                <w:b w:val="0"/>
                <w:i w:val="0"/>
                <w:color w:val="000000"/>
                <w:sz w:val="19"/>
              </w:rPr>
              <w:t xml:space="preserve">475.23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2010302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142.74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142.74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2010350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事业运行</w:t>
            </w:r>
          </w:p>
        </w:tc>
        <w:tc>
          <w:tcPr>
            <w:tcW w:w="1600" w:type="dxa"/>
            <w:tcBorders/>
            <w:vAlign w:val="center"/>
          </w:tcPr>
          <w:p>
            <w:pPr>
              <w:jc w:val="right"/>
            </w:pPr>
            <w:r>
              <w:rPr>
                <w:rFonts w:ascii="宋体" w:eastAsia="宋体" w:hAnsi="宋体" w:cs="宋体"/>
                <w:b w:val="0"/>
                <w:i w:val="0"/>
                <w:color w:val="000000"/>
                <w:sz w:val="19"/>
              </w:rPr>
              <w:t xml:space="preserve">203.13</w:t>
            </w:r>
          </w:p>
        </w:tc>
        <w:tc>
          <w:tcPr>
            <w:tcW w:w="1600" w:type="dxa"/>
            <w:tcBorders/>
            <w:vAlign w:val="center"/>
          </w:tcPr>
          <w:p>
            <w:pPr>
              <w:jc w:val="right"/>
            </w:pPr>
            <w:r>
              <w:rPr>
                <w:rFonts w:ascii="宋体" w:eastAsia="宋体" w:hAnsi="宋体" w:cs="宋体"/>
                <w:b w:val="0"/>
                <w:i w:val="0"/>
                <w:color w:val="000000"/>
                <w:sz w:val="19"/>
              </w:rPr>
              <w:t xml:space="preserve">197.02</w:t>
            </w:r>
          </w:p>
        </w:tc>
        <w:tc>
          <w:tcPr>
            <w:tcW w:w="1600" w:type="dxa"/>
            <w:tcBorders/>
            <w:vAlign w:val="center"/>
          </w:tcPr>
          <w:p>
            <w:pPr>
              <w:jc w:val="right"/>
            </w:pPr>
            <w:r>
              <w:rPr>
                <w:rFonts w:ascii="宋体" w:eastAsia="宋体" w:hAnsi="宋体" w:cs="宋体"/>
                <w:b w:val="0"/>
                <w:i w:val="0"/>
                <w:color w:val="000000"/>
                <w:sz w:val="19"/>
              </w:rPr>
              <w:t xml:space="preserve">6.11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3.47</w:t>
            </w:r>
          </w:p>
        </w:tc>
        <w:tc>
          <w:tcPr>
            <w:tcW w:w="1600" w:type="dxa"/>
            <w:tcBorders/>
            <w:vAlign w:val="center"/>
          </w:tcPr>
          <w:p>
            <w:pPr>
              <w:jc w:val="right"/>
            </w:pPr>
            <w:r>
              <w:rPr>
                <w:rFonts w:ascii="宋体" w:eastAsia="宋体" w:hAnsi="宋体" w:cs="宋体"/>
                <w:b w:val="0"/>
                <w:i w:val="0"/>
                <w:color w:val="000000"/>
                <w:sz w:val="19"/>
              </w:rPr>
              <w:t xml:space="preserve">3.47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3.47</w:t>
            </w:r>
          </w:p>
        </w:tc>
        <w:tc>
          <w:tcPr>
            <w:tcW w:w="1600" w:type="dxa"/>
            <w:tcBorders/>
            <w:vAlign w:val="center"/>
          </w:tcPr>
          <w:p>
            <w:pPr>
              <w:jc w:val="right"/>
            </w:pPr>
            <w:r>
              <w:rPr>
                <w:rFonts w:ascii="宋体" w:eastAsia="宋体" w:hAnsi="宋体" w:cs="宋体"/>
                <w:b w:val="0"/>
                <w:i w:val="0"/>
                <w:color w:val="000000"/>
                <w:sz w:val="19"/>
              </w:rPr>
              <w:t xml:space="preserve">3.47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122.81</w:t>
            </w:r>
          </w:p>
        </w:tc>
        <w:tc>
          <w:tcPr>
            <w:tcW w:w="1600" w:type="dxa"/>
            <w:tcBorders/>
            <w:vAlign w:val="center"/>
          </w:tcPr>
          <w:p>
            <w:pPr>
              <w:jc w:val="right"/>
            </w:pPr>
            <w:r>
              <w:rPr>
                <w:rFonts w:ascii="宋体" w:eastAsia="宋体" w:hAnsi="宋体" w:cs="宋体"/>
                <w:b w:val="0"/>
                <w:i w:val="0"/>
                <w:color w:val="000000"/>
                <w:sz w:val="19"/>
              </w:rPr>
              <w:t xml:space="preserve">30.20</w:t>
            </w:r>
          </w:p>
        </w:tc>
        <w:tc>
          <w:tcPr>
            <w:tcW w:w="1600" w:type="dxa"/>
            <w:tcBorders/>
            <w:vAlign w:val="center"/>
          </w:tcPr>
          <w:p>
            <w:pPr>
              <w:jc w:val="right"/>
            </w:pPr>
            <w:r>
              <w:rPr>
                <w:rFonts w:ascii="宋体" w:eastAsia="宋体" w:hAnsi="宋体" w:cs="宋体"/>
                <w:b w:val="0"/>
                <w:i w:val="0"/>
                <w:color w:val="000000"/>
                <w:sz w:val="19"/>
              </w:rPr>
              <w:t xml:space="preserve">92.61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122.81</w:t>
            </w:r>
          </w:p>
        </w:tc>
        <w:tc>
          <w:tcPr>
            <w:tcW w:w="1600" w:type="dxa"/>
            <w:tcBorders/>
            <w:vAlign w:val="center"/>
          </w:tcPr>
          <w:p>
            <w:pPr>
              <w:jc w:val="right"/>
            </w:pPr>
            <w:r>
              <w:rPr>
                <w:rFonts w:ascii="宋体" w:eastAsia="宋体" w:hAnsi="宋体" w:cs="宋体"/>
                <w:b w:val="0"/>
                <w:i w:val="0"/>
                <w:color w:val="000000"/>
                <w:sz w:val="19"/>
              </w:rPr>
              <w:t xml:space="preserve">30.20</w:t>
            </w:r>
          </w:p>
        </w:tc>
        <w:tc>
          <w:tcPr>
            <w:tcW w:w="1600" w:type="dxa"/>
            <w:tcBorders/>
            <w:vAlign w:val="center"/>
          </w:tcPr>
          <w:p>
            <w:pPr>
              <w:jc w:val="right"/>
            </w:pPr>
            <w:r>
              <w:rPr>
                <w:rFonts w:ascii="宋体" w:eastAsia="宋体" w:hAnsi="宋体" w:cs="宋体"/>
                <w:b w:val="0"/>
                <w:i w:val="0"/>
                <w:color w:val="000000"/>
                <w:sz w:val="19"/>
              </w:rPr>
              <w:t xml:space="preserve">92.61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72.67</w:t>
            </w:r>
          </w:p>
        </w:tc>
        <w:tc>
          <w:tcPr>
            <w:tcW w:w="1600" w:type="dxa"/>
            <w:tcBorders/>
            <w:vAlign w:val="center"/>
          </w:tcPr>
          <w:p>
            <w:pPr>
              <w:jc w:val="right"/>
            </w:pPr>
            <w:r>
              <w:rPr>
                <w:rFonts w:ascii="宋体" w:eastAsia="宋体" w:hAnsi="宋体" w:cs="宋体"/>
                <w:b w:val="0"/>
                <w:i w:val="0"/>
                <w:color w:val="000000"/>
                <w:sz w:val="19"/>
              </w:rPr>
              <w:t xml:space="preserve">72.67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72.67</w:t>
            </w:r>
          </w:p>
        </w:tc>
        <w:tc>
          <w:tcPr>
            <w:tcW w:w="1600" w:type="dxa"/>
            <w:tcBorders/>
            <w:vAlign w:val="center"/>
          </w:tcPr>
          <w:p>
            <w:pPr>
              <w:jc w:val="right"/>
            </w:pPr>
            <w:r>
              <w:rPr>
                <w:rFonts w:ascii="宋体" w:eastAsia="宋体" w:hAnsi="宋体" w:cs="宋体"/>
                <w:b w:val="0"/>
                <w:i w:val="0"/>
                <w:color w:val="000000"/>
                <w:sz w:val="19"/>
              </w:rPr>
              <w:t xml:space="preserve">72.67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31.77</w:t>
            </w:r>
          </w:p>
        </w:tc>
        <w:tc>
          <w:tcPr>
            <w:tcW w:w="1600" w:type="dxa"/>
            <w:tcBorders/>
            <w:vAlign w:val="center"/>
          </w:tcPr>
          <w:p>
            <w:pPr>
              <w:jc w:val="right"/>
            </w:pPr>
            <w:r>
              <w:rPr>
                <w:rFonts w:ascii="宋体" w:eastAsia="宋体" w:hAnsi="宋体" w:cs="宋体"/>
                <w:b w:val="0"/>
                <w:i w:val="0"/>
                <w:color w:val="000000"/>
                <w:sz w:val="19"/>
              </w:rPr>
              <w:t xml:space="preserve">31.77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40.90</w:t>
            </w:r>
          </w:p>
        </w:tc>
        <w:tc>
          <w:tcPr>
            <w:tcW w:w="1600" w:type="dxa"/>
            <w:tcBorders/>
            <w:vAlign w:val="center"/>
          </w:tcPr>
          <w:p>
            <w:pPr>
              <w:jc w:val="right"/>
            </w:pPr>
            <w:r>
              <w:rPr>
                <w:rFonts w:ascii="宋体" w:eastAsia="宋体" w:hAnsi="宋体" w:cs="宋体"/>
                <w:b w:val="0"/>
                <w:i w:val="0"/>
                <w:color w:val="000000"/>
                <w:sz w:val="19"/>
              </w:rPr>
              <w:t xml:space="preserve">40.90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33.11</w:t>
            </w:r>
          </w:p>
        </w:tc>
        <w:tc>
          <w:tcPr>
            <w:tcW w:w="1600" w:type="dxa"/>
            <w:tcBorders/>
            <w:vAlign w:val="center"/>
          </w:tcPr>
          <w:p>
            <w:pPr>
              <w:jc w:val="right"/>
            </w:pPr>
            <w:r>
              <w:rPr>
                <w:rFonts w:ascii="宋体" w:eastAsia="宋体" w:hAnsi="宋体" w:cs="宋体"/>
                <w:b w:val="0"/>
                <w:i w:val="0"/>
                <w:color w:val="000000"/>
                <w:sz w:val="19"/>
              </w:rPr>
              <w:t xml:space="preserve">33.11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33.11</w:t>
            </w:r>
          </w:p>
        </w:tc>
        <w:tc>
          <w:tcPr>
            <w:tcW w:w="1600" w:type="dxa"/>
            <w:tcBorders/>
            <w:vAlign w:val="center"/>
          </w:tcPr>
          <w:p>
            <w:pPr>
              <w:jc w:val="right"/>
            </w:pPr>
            <w:r>
              <w:rPr>
                <w:rFonts w:ascii="宋体" w:eastAsia="宋体" w:hAnsi="宋体" w:cs="宋体"/>
                <w:b w:val="0"/>
                <w:i w:val="0"/>
                <w:color w:val="000000"/>
                <w:sz w:val="19"/>
              </w:rPr>
              <w:t xml:space="preserve">33.11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12.31</w:t>
            </w:r>
          </w:p>
        </w:tc>
        <w:tc>
          <w:tcPr>
            <w:tcW w:w="1600" w:type="dxa"/>
            <w:tcBorders/>
            <w:vAlign w:val="center"/>
          </w:tcPr>
          <w:p>
            <w:pPr>
              <w:jc w:val="right"/>
            </w:pPr>
            <w:r>
              <w:rPr>
                <w:rFonts w:ascii="宋体" w:eastAsia="宋体" w:hAnsi="宋体" w:cs="宋体"/>
                <w:b w:val="0"/>
                <w:i w:val="0"/>
                <w:color w:val="000000"/>
                <w:sz w:val="19"/>
              </w:rPr>
              <w:t xml:space="preserve">12.31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7.13</w:t>
            </w:r>
          </w:p>
        </w:tc>
        <w:tc>
          <w:tcPr>
            <w:tcW w:w="1600" w:type="dxa"/>
            <w:tcBorders/>
            <w:vAlign w:val="center"/>
          </w:tcPr>
          <w:p>
            <w:pPr>
              <w:jc w:val="right"/>
            </w:pPr>
            <w:r>
              <w:rPr>
                <w:rFonts w:ascii="宋体" w:eastAsia="宋体" w:hAnsi="宋体" w:cs="宋体"/>
                <w:b w:val="0"/>
                <w:i w:val="0"/>
                <w:color w:val="000000"/>
                <w:sz w:val="19"/>
              </w:rPr>
              <w:t xml:space="preserve">7.13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13.67</w:t>
            </w:r>
          </w:p>
        </w:tc>
        <w:tc>
          <w:tcPr>
            <w:tcW w:w="1600" w:type="dxa"/>
            <w:tcBorders/>
            <w:vAlign w:val="center"/>
          </w:tcPr>
          <w:p>
            <w:pPr>
              <w:jc w:val="right"/>
            </w:pPr>
            <w:r>
              <w:rPr>
                <w:rFonts w:ascii="宋体" w:eastAsia="宋体" w:hAnsi="宋体" w:cs="宋体"/>
                <w:b w:val="0"/>
                <w:i w:val="0"/>
                <w:color w:val="000000"/>
                <w:sz w:val="19"/>
              </w:rPr>
              <w:t xml:space="preserve">13.67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39.08</w:t>
            </w:r>
          </w:p>
        </w:tc>
        <w:tc>
          <w:tcPr>
            <w:tcW w:w="1600" w:type="dxa"/>
            <w:tcBorders/>
            <w:vAlign w:val="center"/>
          </w:tcPr>
          <w:p>
            <w:pPr>
              <w:jc w:val="right"/>
            </w:pPr>
            <w:r>
              <w:rPr>
                <w:rFonts w:ascii="宋体" w:eastAsia="宋体" w:hAnsi="宋体" w:cs="宋体"/>
                <w:b w:val="0"/>
                <w:i w:val="0"/>
                <w:color w:val="000000"/>
                <w:sz w:val="19"/>
              </w:rPr>
              <w:t xml:space="preserve">39.08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39.08</w:t>
            </w:r>
          </w:p>
        </w:tc>
        <w:tc>
          <w:tcPr>
            <w:tcW w:w="1600" w:type="dxa"/>
            <w:tcBorders/>
            <w:vAlign w:val="center"/>
          </w:tcPr>
          <w:p>
            <w:pPr>
              <w:jc w:val="right"/>
            </w:pPr>
            <w:r>
              <w:rPr>
                <w:rFonts w:ascii="宋体" w:eastAsia="宋体" w:hAnsi="宋体" w:cs="宋体"/>
                <w:b w:val="0"/>
                <w:i w:val="0"/>
                <w:color w:val="000000"/>
                <w:sz w:val="19"/>
              </w:rPr>
              <w:t xml:space="preserve">39.08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39.08</w:t>
            </w:r>
          </w:p>
        </w:tc>
        <w:tc>
          <w:tcPr>
            <w:tcW w:w="1600" w:type="dxa"/>
            <w:tcBorders/>
            <w:vAlign w:val="center"/>
          </w:tcPr>
          <w:p>
            <w:pPr>
              <w:jc w:val="right"/>
            </w:pPr>
            <w:r>
              <w:rPr>
                <w:rFonts w:ascii="宋体" w:eastAsia="宋体" w:hAnsi="宋体" w:cs="宋体"/>
                <w:b w:val="0"/>
                <w:i w:val="0"/>
                <w:color w:val="000000"/>
                <w:sz w:val="19"/>
              </w:rPr>
              <w:t xml:space="preserve">39.08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注：本表反映部门本年度各项支出情况。本表金额转换为万元时，因四舍五入可能存在尾差。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部门：许昌市政务服务和大数据管理局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1,000.39</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961.28</w:t>
            </w:r>
          </w:p>
        </w:tc>
        <w:tc>
          <w:tcPr>
            <w:tcW w:w="1420" w:type="dxa"/>
            <w:tcBorders/>
            <w:vAlign w:val="center"/>
          </w:tcPr>
          <w:p>
            <w:pPr>
              <w:jc w:val="right"/>
            </w:pPr>
            <w:r>
              <w:rPr>
                <w:rFonts w:ascii="宋体" w:eastAsia="宋体" w:hAnsi="宋体" w:cs="宋体"/>
                <w:b w:val="0"/>
                <w:i w:val="0"/>
                <w:color w:val="000000"/>
                <w:sz w:val="18"/>
              </w:rPr>
              <w:t xml:space="preserve">961.28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72.67</w:t>
            </w:r>
          </w:p>
        </w:tc>
        <w:tc>
          <w:tcPr>
            <w:tcW w:w="1420" w:type="dxa"/>
            <w:tcBorders/>
            <w:vAlign w:val="center"/>
          </w:tcPr>
          <w:p>
            <w:pPr>
              <w:jc w:val="right"/>
            </w:pPr>
            <w:r>
              <w:rPr>
                <w:rFonts w:ascii="宋体" w:eastAsia="宋体" w:hAnsi="宋体" w:cs="宋体"/>
                <w:b w:val="0"/>
                <w:i w:val="0"/>
                <w:color w:val="000000"/>
                <w:sz w:val="18"/>
              </w:rPr>
              <w:t xml:space="preserve">72.67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33.11</w:t>
            </w:r>
          </w:p>
        </w:tc>
        <w:tc>
          <w:tcPr>
            <w:tcW w:w="1420" w:type="dxa"/>
            <w:tcBorders/>
            <w:vAlign w:val="center"/>
          </w:tcPr>
          <w:p>
            <w:pPr>
              <w:jc w:val="right"/>
            </w:pPr>
            <w:r>
              <w:rPr>
                <w:rFonts w:ascii="宋体" w:eastAsia="宋体" w:hAnsi="宋体" w:cs="宋体"/>
                <w:b w:val="0"/>
                <w:i w:val="0"/>
                <w:color w:val="000000"/>
                <w:sz w:val="18"/>
              </w:rPr>
              <w:t xml:space="preserve">33.11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2.50</w:t>
            </w:r>
          </w:p>
        </w:tc>
        <w:tc>
          <w:tcPr>
            <w:tcW w:w="1420" w:type="dxa"/>
            <w:tcBorders/>
            <w:vAlign w:val="center"/>
          </w:tcPr>
          <w:p>
            <w:pPr>
              <w:jc w:val="right"/>
            </w:pPr>
            <w:r>
              <w:rPr>
                <w:rFonts w:ascii="宋体" w:eastAsia="宋体" w:hAnsi="宋体" w:cs="宋体"/>
                <w:b w:val="0"/>
                <w:i w:val="0"/>
                <w:color w:val="000000"/>
                <w:sz w:val="18"/>
              </w:rPr>
              <w:t xml:space="preserve">2.50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39.08</w:t>
            </w:r>
          </w:p>
        </w:tc>
        <w:tc>
          <w:tcPr>
            <w:tcW w:w="1420" w:type="dxa"/>
            <w:tcBorders/>
            <w:vAlign w:val="center"/>
          </w:tcPr>
          <w:p>
            <w:pPr>
              <w:jc w:val="right"/>
            </w:pPr>
            <w:r>
              <w:rPr>
                <w:rFonts w:ascii="宋体" w:eastAsia="宋体" w:hAnsi="宋体" w:cs="宋体"/>
                <w:b w:val="0"/>
                <w:i w:val="0"/>
                <w:color w:val="000000"/>
                <w:sz w:val="18"/>
              </w:rPr>
              <w:t xml:space="preserve">39.08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1,000.39</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1,108.64</w:t>
            </w:r>
          </w:p>
        </w:tc>
        <w:tc>
          <w:tcPr>
            <w:tcW w:w="1420" w:type="dxa"/>
            <w:tcBorders/>
            <w:vAlign w:val="center"/>
          </w:tcPr>
          <w:p>
            <w:pPr>
              <w:jc w:val="right"/>
            </w:pPr>
            <w:r>
              <w:rPr>
                <w:rFonts w:ascii="宋体" w:eastAsia="宋体" w:hAnsi="宋体" w:cs="宋体"/>
                <w:b w:val="0"/>
                <w:i w:val="0"/>
                <w:color w:val="000000"/>
                <w:sz w:val="18"/>
              </w:rPr>
              <w:t xml:space="preserve">1,108.64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108.25</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108.25</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1,108.64</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1,108.64</w:t>
            </w:r>
          </w:p>
        </w:tc>
        <w:tc>
          <w:tcPr>
            <w:tcW w:w="1420" w:type="dxa"/>
            <w:tcBorders/>
            <w:vAlign w:val="center"/>
          </w:tcPr>
          <w:p>
            <w:pPr>
              <w:jc w:val="right"/>
            </w:pPr>
            <w:r>
              <w:rPr>
                <w:rFonts w:ascii="宋体" w:eastAsia="宋体" w:hAnsi="宋体" w:cs="宋体"/>
                <w:b w:val="0"/>
                <w:i w:val="0"/>
                <w:color w:val="000000"/>
                <w:sz w:val="18"/>
              </w:rPr>
              <w:t xml:space="preserve">1,108.64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部门：许昌市政务服务和大数据管理局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1,108.64</w:t>
            </w:r>
          </w:p>
        </w:tc>
        <w:tc>
          <w:tcPr>
            <w:tcW w:w="2700" w:type="dxa"/>
            <w:tcBorders/>
            <w:vAlign w:val="center"/>
          </w:tcPr>
          <w:p>
            <w:pPr>
              <w:jc w:val="right"/>
            </w:pPr>
            <w:r>
              <w:rPr>
                <w:rFonts w:ascii="宋体" w:eastAsia="宋体" w:hAnsi="宋体" w:cs="宋体"/>
                <w:b/>
                <w:i w:val="0"/>
                <w:color w:val="000000"/>
                <w:sz w:val="25"/>
              </w:rPr>
              <w:t xml:space="preserve">864.68</w:t>
            </w:r>
          </w:p>
        </w:tc>
        <w:tc>
          <w:tcPr>
            <w:tcW w:w="2658" w:type="dxa"/>
            <w:tcBorders/>
            <w:vAlign w:val="center"/>
          </w:tcPr>
          <w:p>
            <w:pPr>
              <w:jc w:val="right"/>
            </w:pPr>
            <w:r>
              <w:rPr>
                <w:rFonts w:ascii="宋体" w:eastAsia="宋体" w:hAnsi="宋体" w:cs="宋体"/>
                <w:b/>
                <w:i w:val="0"/>
                <w:color w:val="000000"/>
                <w:sz w:val="25"/>
              </w:rPr>
              <w:t xml:space="preserve">243.96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961.28</w:t>
            </w:r>
          </w:p>
        </w:tc>
        <w:tc>
          <w:tcPr>
            <w:tcW w:w="2700" w:type="dxa"/>
            <w:tcBorders/>
            <w:vAlign w:val="center"/>
          </w:tcPr>
          <w:p>
            <w:pPr>
              <w:jc w:val="right"/>
            </w:pPr>
            <w:r>
              <w:rPr>
                <w:rFonts w:ascii="宋体" w:eastAsia="宋体" w:hAnsi="宋体" w:cs="宋体"/>
                <w:b w:val="0"/>
                <w:i w:val="0"/>
                <w:color w:val="000000"/>
                <w:sz w:val="25"/>
              </w:rPr>
              <w:t xml:space="preserve">719.82</w:t>
            </w:r>
          </w:p>
        </w:tc>
        <w:tc>
          <w:tcPr>
            <w:tcW w:w="2658" w:type="dxa"/>
            <w:tcBorders/>
            <w:vAlign w:val="center"/>
          </w:tcPr>
          <w:p>
            <w:pPr>
              <w:jc w:val="right"/>
            </w:pPr>
            <w:r>
              <w:rPr>
                <w:rFonts w:ascii="宋体" w:eastAsia="宋体" w:hAnsi="宋体" w:cs="宋体"/>
                <w:b w:val="0"/>
                <w:i w:val="0"/>
                <w:color w:val="000000"/>
                <w:sz w:val="25"/>
              </w:rPr>
              <w:t xml:space="preserve">241.46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人大事务</w:t>
            </w:r>
          </w:p>
        </w:tc>
        <w:tc>
          <w:tcPr>
            <w:tcW w:w="2700" w:type="dxa"/>
            <w:tcBorders/>
            <w:vAlign w:val="center"/>
          </w:tcPr>
          <w:p>
            <w:pPr>
              <w:jc w:val="right"/>
            </w:pPr>
            <w:r>
              <w:rPr>
                <w:rFonts w:ascii="宋体" w:eastAsia="宋体" w:hAnsi="宋体" w:cs="宋体"/>
                <w:b w:val="0"/>
                <w:i w:val="0"/>
                <w:color w:val="000000"/>
                <w:sz w:val="25"/>
              </w:rPr>
              <w:t xml:space="preserve">13.90</w:t>
            </w:r>
          </w:p>
        </w:tc>
        <w:tc>
          <w:tcPr>
            <w:tcW w:w="2700" w:type="dxa"/>
            <w:tcBorders/>
            <w:vAlign w:val="center"/>
          </w:tcPr>
          <w:p>
            <w:pPr>
              <w:jc w:val="right"/>
            </w:pPr>
            <w:r>
              <w:rPr>
                <w:rFonts w:ascii="宋体" w:eastAsia="宋体" w:hAnsi="宋体" w:cs="宋体"/>
                <w:b w:val="0"/>
                <w:i w:val="0"/>
                <w:color w:val="000000"/>
                <w:sz w:val="25"/>
              </w:rPr>
              <w:t xml:space="preserve">13.90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13.90</w:t>
            </w:r>
          </w:p>
        </w:tc>
        <w:tc>
          <w:tcPr>
            <w:tcW w:w="2700" w:type="dxa"/>
            <w:tcBorders/>
            <w:vAlign w:val="center"/>
          </w:tcPr>
          <w:p>
            <w:pPr>
              <w:jc w:val="right"/>
            </w:pPr>
            <w:r>
              <w:rPr>
                <w:rFonts w:ascii="宋体" w:eastAsia="宋体" w:hAnsi="宋体" w:cs="宋体"/>
                <w:b w:val="0"/>
                <w:i w:val="0"/>
                <w:color w:val="000000"/>
                <w:sz w:val="25"/>
              </w:rPr>
              <w:t xml:space="preserve">13.90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政府办公厅（室）及相关机构事务</w:t>
            </w:r>
          </w:p>
        </w:tc>
        <w:tc>
          <w:tcPr>
            <w:tcW w:w="2700" w:type="dxa"/>
            <w:tcBorders/>
            <w:vAlign w:val="center"/>
          </w:tcPr>
          <w:p>
            <w:pPr>
              <w:jc w:val="right"/>
            </w:pPr>
            <w:r>
              <w:rPr>
                <w:rFonts w:ascii="宋体" w:eastAsia="宋体" w:hAnsi="宋体" w:cs="宋体"/>
                <w:b w:val="0"/>
                <w:i w:val="0"/>
                <w:color w:val="000000"/>
                <w:sz w:val="25"/>
              </w:rPr>
              <w:t xml:space="preserve">821.10</w:t>
            </w:r>
          </w:p>
        </w:tc>
        <w:tc>
          <w:tcPr>
            <w:tcW w:w="2700" w:type="dxa"/>
            <w:tcBorders/>
            <w:vAlign w:val="center"/>
          </w:tcPr>
          <w:p>
            <w:pPr>
              <w:jc w:val="right"/>
            </w:pPr>
            <w:r>
              <w:rPr>
                <w:rFonts w:ascii="宋体" w:eastAsia="宋体" w:hAnsi="宋体" w:cs="宋体"/>
                <w:b w:val="0"/>
                <w:i w:val="0"/>
                <w:color w:val="000000"/>
                <w:sz w:val="25"/>
              </w:rPr>
              <w:t xml:space="preserve">672.25</w:t>
            </w:r>
          </w:p>
        </w:tc>
        <w:tc>
          <w:tcPr>
            <w:tcW w:w="2658" w:type="dxa"/>
            <w:tcBorders/>
            <w:vAlign w:val="center"/>
          </w:tcPr>
          <w:p>
            <w:pPr>
              <w:jc w:val="right"/>
            </w:pPr>
            <w:r>
              <w:rPr>
                <w:rFonts w:ascii="宋体" w:eastAsia="宋体" w:hAnsi="宋体" w:cs="宋体"/>
                <w:b w:val="0"/>
                <w:i w:val="0"/>
                <w:color w:val="000000"/>
                <w:sz w:val="25"/>
              </w:rPr>
              <w:t xml:space="preserve">148.85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2010301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475.23</w:t>
            </w:r>
          </w:p>
        </w:tc>
        <w:tc>
          <w:tcPr>
            <w:tcW w:w="2700" w:type="dxa"/>
            <w:tcBorders/>
            <w:vAlign w:val="center"/>
          </w:tcPr>
          <w:p>
            <w:pPr>
              <w:jc w:val="right"/>
            </w:pPr>
            <w:r>
              <w:rPr>
                <w:rFonts w:ascii="宋体" w:eastAsia="宋体" w:hAnsi="宋体" w:cs="宋体"/>
                <w:b w:val="0"/>
                <w:i w:val="0"/>
                <w:color w:val="000000"/>
                <w:sz w:val="25"/>
              </w:rPr>
              <w:t xml:space="preserve">475.23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2010302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142.74</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142.74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2010350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事业运行</w:t>
            </w:r>
          </w:p>
        </w:tc>
        <w:tc>
          <w:tcPr>
            <w:tcW w:w="2700" w:type="dxa"/>
            <w:tcBorders/>
            <w:vAlign w:val="center"/>
          </w:tcPr>
          <w:p>
            <w:pPr>
              <w:jc w:val="right"/>
            </w:pPr>
            <w:r>
              <w:rPr>
                <w:rFonts w:ascii="宋体" w:eastAsia="宋体" w:hAnsi="宋体" w:cs="宋体"/>
                <w:b w:val="0"/>
                <w:i w:val="0"/>
                <w:color w:val="000000"/>
                <w:sz w:val="25"/>
              </w:rPr>
              <w:t xml:space="preserve">203.13</w:t>
            </w:r>
          </w:p>
        </w:tc>
        <w:tc>
          <w:tcPr>
            <w:tcW w:w="2700" w:type="dxa"/>
            <w:tcBorders/>
            <w:vAlign w:val="center"/>
          </w:tcPr>
          <w:p>
            <w:pPr>
              <w:jc w:val="right"/>
            </w:pPr>
            <w:r>
              <w:rPr>
                <w:rFonts w:ascii="宋体" w:eastAsia="宋体" w:hAnsi="宋体" w:cs="宋体"/>
                <w:b w:val="0"/>
                <w:i w:val="0"/>
                <w:color w:val="000000"/>
                <w:sz w:val="25"/>
              </w:rPr>
              <w:t xml:space="preserve">197.02</w:t>
            </w:r>
          </w:p>
        </w:tc>
        <w:tc>
          <w:tcPr>
            <w:tcW w:w="2658" w:type="dxa"/>
            <w:tcBorders/>
            <w:vAlign w:val="center"/>
          </w:tcPr>
          <w:p>
            <w:pPr>
              <w:jc w:val="right"/>
            </w:pPr>
            <w:r>
              <w:rPr>
                <w:rFonts w:ascii="宋体" w:eastAsia="宋体" w:hAnsi="宋体" w:cs="宋体"/>
                <w:b w:val="0"/>
                <w:i w:val="0"/>
                <w:color w:val="000000"/>
                <w:sz w:val="25"/>
              </w:rPr>
              <w:t xml:space="preserve">6.11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3.47</w:t>
            </w:r>
          </w:p>
        </w:tc>
        <w:tc>
          <w:tcPr>
            <w:tcW w:w="2700" w:type="dxa"/>
            <w:tcBorders/>
            <w:vAlign w:val="center"/>
          </w:tcPr>
          <w:p>
            <w:pPr>
              <w:jc w:val="right"/>
            </w:pPr>
            <w:r>
              <w:rPr>
                <w:rFonts w:ascii="宋体" w:eastAsia="宋体" w:hAnsi="宋体" w:cs="宋体"/>
                <w:b w:val="0"/>
                <w:i w:val="0"/>
                <w:color w:val="000000"/>
                <w:sz w:val="25"/>
              </w:rPr>
              <w:t xml:space="preserve">3.47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3.47</w:t>
            </w:r>
          </w:p>
        </w:tc>
        <w:tc>
          <w:tcPr>
            <w:tcW w:w="2700" w:type="dxa"/>
            <w:tcBorders/>
            <w:vAlign w:val="center"/>
          </w:tcPr>
          <w:p>
            <w:pPr>
              <w:jc w:val="right"/>
            </w:pPr>
            <w:r>
              <w:rPr>
                <w:rFonts w:ascii="宋体" w:eastAsia="宋体" w:hAnsi="宋体" w:cs="宋体"/>
                <w:b w:val="0"/>
                <w:i w:val="0"/>
                <w:color w:val="000000"/>
                <w:sz w:val="25"/>
              </w:rPr>
              <w:t xml:space="preserve">3.47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122.81</w:t>
            </w:r>
          </w:p>
        </w:tc>
        <w:tc>
          <w:tcPr>
            <w:tcW w:w="2700" w:type="dxa"/>
            <w:tcBorders/>
            <w:vAlign w:val="center"/>
          </w:tcPr>
          <w:p>
            <w:pPr>
              <w:jc w:val="right"/>
            </w:pPr>
            <w:r>
              <w:rPr>
                <w:rFonts w:ascii="宋体" w:eastAsia="宋体" w:hAnsi="宋体" w:cs="宋体"/>
                <w:b w:val="0"/>
                <w:i w:val="0"/>
                <w:color w:val="000000"/>
                <w:sz w:val="25"/>
              </w:rPr>
              <w:t xml:space="preserve">30.20</w:t>
            </w:r>
          </w:p>
        </w:tc>
        <w:tc>
          <w:tcPr>
            <w:tcW w:w="2658" w:type="dxa"/>
            <w:tcBorders/>
            <w:vAlign w:val="center"/>
          </w:tcPr>
          <w:p>
            <w:pPr>
              <w:jc w:val="right"/>
            </w:pPr>
            <w:r>
              <w:rPr>
                <w:rFonts w:ascii="宋体" w:eastAsia="宋体" w:hAnsi="宋体" w:cs="宋体"/>
                <w:b w:val="0"/>
                <w:i w:val="0"/>
                <w:color w:val="000000"/>
                <w:sz w:val="25"/>
              </w:rPr>
              <w:t xml:space="preserve">92.61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122.81</w:t>
            </w:r>
          </w:p>
        </w:tc>
        <w:tc>
          <w:tcPr>
            <w:tcW w:w="2700" w:type="dxa"/>
            <w:tcBorders/>
            <w:vAlign w:val="center"/>
          </w:tcPr>
          <w:p>
            <w:pPr>
              <w:jc w:val="right"/>
            </w:pPr>
            <w:r>
              <w:rPr>
                <w:rFonts w:ascii="宋体" w:eastAsia="宋体" w:hAnsi="宋体" w:cs="宋体"/>
                <w:b w:val="0"/>
                <w:i w:val="0"/>
                <w:color w:val="000000"/>
                <w:sz w:val="25"/>
              </w:rPr>
              <w:t xml:space="preserve">30.20</w:t>
            </w:r>
          </w:p>
        </w:tc>
        <w:tc>
          <w:tcPr>
            <w:tcW w:w="2658" w:type="dxa"/>
            <w:tcBorders/>
            <w:vAlign w:val="center"/>
          </w:tcPr>
          <w:p>
            <w:pPr>
              <w:jc w:val="right"/>
            </w:pPr>
            <w:r>
              <w:rPr>
                <w:rFonts w:ascii="宋体" w:eastAsia="宋体" w:hAnsi="宋体" w:cs="宋体"/>
                <w:b w:val="0"/>
                <w:i w:val="0"/>
                <w:color w:val="000000"/>
                <w:sz w:val="25"/>
              </w:rPr>
              <w:t xml:space="preserve">92.61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72.67</w:t>
            </w:r>
          </w:p>
        </w:tc>
        <w:tc>
          <w:tcPr>
            <w:tcW w:w="2700" w:type="dxa"/>
            <w:tcBorders/>
            <w:vAlign w:val="center"/>
          </w:tcPr>
          <w:p>
            <w:pPr>
              <w:jc w:val="right"/>
            </w:pPr>
            <w:r>
              <w:rPr>
                <w:rFonts w:ascii="宋体" w:eastAsia="宋体" w:hAnsi="宋体" w:cs="宋体"/>
                <w:b w:val="0"/>
                <w:i w:val="0"/>
                <w:color w:val="000000"/>
                <w:sz w:val="25"/>
              </w:rPr>
              <w:t xml:space="preserve">72.67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72.67</w:t>
            </w:r>
          </w:p>
        </w:tc>
        <w:tc>
          <w:tcPr>
            <w:tcW w:w="2700" w:type="dxa"/>
            <w:tcBorders/>
            <w:vAlign w:val="center"/>
          </w:tcPr>
          <w:p>
            <w:pPr>
              <w:jc w:val="right"/>
            </w:pPr>
            <w:r>
              <w:rPr>
                <w:rFonts w:ascii="宋体" w:eastAsia="宋体" w:hAnsi="宋体" w:cs="宋体"/>
                <w:b w:val="0"/>
                <w:i w:val="0"/>
                <w:color w:val="000000"/>
                <w:sz w:val="25"/>
              </w:rPr>
              <w:t xml:space="preserve">72.67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31.77</w:t>
            </w:r>
          </w:p>
        </w:tc>
        <w:tc>
          <w:tcPr>
            <w:tcW w:w="2700" w:type="dxa"/>
            <w:tcBorders/>
            <w:vAlign w:val="center"/>
          </w:tcPr>
          <w:p>
            <w:pPr>
              <w:jc w:val="right"/>
            </w:pPr>
            <w:r>
              <w:rPr>
                <w:rFonts w:ascii="宋体" w:eastAsia="宋体" w:hAnsi="宋体" w:cs="宋体"/>
                <w:b w:val="0"/>
                <w:i w:val="0"/>
                <w:color w:val="000000"/>
                <w:sz w:val="25"/>
              </w:rPr>
              <w:t xml:space="preserve">31.77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40.90</w:t>
            </w:r>
          </w:p>
        </w:tc>
        <w:tc>
          <w:tcPr>
            <w:tcW w:w="2700" w:type="dxa"/>
            <w:tcBorders/>
            <w:vAlign w:val="center"/>
          </w:tcPr>
          <w:p>
            <w:pPr>
              <w:jc w:val="right"/>
            </w:pPr>
            <w:r>
              <w:rPr>
                <w:rFonts w:ascii="宋体" w:eastAsia="宋体" w:hAnsi="宋体" w:cs="宋体"/>
                <w:b w:val="0"/>
                <w:i w:val="0"/>
                <w:color w:val="000000"/>
                <w:sz w:val="25"/>
              </w:rPr>
              <w:t xml:space="preserve">40.90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33.11</w:t>
            </w:r>
          </w:p>
        </w:tc>
        <w:tc>
          <w:tcPr>
            <w:tcW w:w="2700" w:type="dxa"/>
            <w:tcBorders/>
            <w:vAlign w:val="center"/>
          </w:tcPr>
          <w:p>
            <w:pPr>
              <w:jc w:val="right"/>
            </w:pPr>
            <w:r>
              <w:rPr>
                <w:rFonts w:ascii="宋体" w:eastAsia="宋体" w:hAnsi="宋体" w:cs="宋体"/>
                <w:b w:val="0"/>
                <w:i w:val="0"/>
                <w:color w:val="000000"/>
                <w:sz w:val="25"/>
              </w:rPr>
              <w:t xml:space="preserve">33.11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33.11</w:t>
            </w:r>
          </w:p>
        </w:tc>
        <w:tc>
          <w:tcPr>
            <w:tcW w:w="2700" w:type="dxa"/>
            <w:tcBorders/>
            <w:vAlign w:val="center"/>
          </w:tcPr>
          <w:p>
            <w:pPr>
              <w:jc w:val="right"/>
            </w:pPr>
            <w:r>
              <w:rPr>
                <w:rFonts w:ascii="宋体" w:eastAsia="宋体" w:hAnsi="宋体" w:cs="宋体"/>
                <w:b w:val="0"/>
                <w:i w:val="0"/>
                <w:color w:val="000000"/>
                <w:sz w:val="25"/>
              </w:rPr>
              <w:t xml:space="preserve">33.11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12.31</w:t>
            </w:r>
          </w:p>
        </w:tc>
        <w:tc>
          <w:tcPr>
            <w:tcW w:w="2700" w:type="dxa"/>
            <w:tcBorders/>
            <w:vAlign w:val="center"/>
          </w:tcPr>
          <w:p>
            <w:pPr>
              <w:jc w:val="right"/>
            </w:pPr>
            <w:r>
              <w:rPr>
                <w:rFonts w:ascii="宋体" w:eastAsia="宋体" w:hAnsi="宋体" w:cs="宋体"/>
                <w:b w:val="0"/>
                <w:i w:val="0"/>
                <w:color w:val="000000"/>
                <w:sz w:val="25"/>
              </w:rPr>
              <w:t xml:space="preserve">12.31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7.13</w:t>
            </w:r>
          </w:p>
        </w:tc>
        <w:tc>
          <w:tcPr>
            <w:tcW w:w="2700" w:type="dxa"/>
            <w:tcBorders/>
            <w:vAlign w:val="center"/>
          </w:tcPr>
          <w:p>
            <w:pPr>
              <w:jc w:val="right"/>
            </w:pPr>
            <w:r>
              <w:rPr>
                <w:rFonts w:ascii="宋体" w:eastAsia="宋体" w:hAnsi="宋体" w:cs="宋体"/>
                <w:b w:val="0"/>
                <w:i w:val="0"/>
                <w:color w:val="000000"/>
                <w:sz w:val="25"/>
              </w:rPr>
              <w:t xml:space="preserve">7.13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13.67</w:t>
            </w:r>
          </w:p>
        </w:tc>
        <w:tc>
          <w:tcPr>
            <w:tcW w:w="2700" w:type="dxa"/>
            <w:tcBorders/>
            <w:vAlign w:val="center"/>
          </w:tcPr>
          <w:p>
            <w:pPr>
              <w:jc w:val="right"/>
            </w:pPr>
            <w:r>
              <w:rPr>
                <w:rFonts w:ascii="宋体" w:eastAsia="宋体" w:hAnsi="宋体" w:cs="宋体"/>
                <w:b w:val="0"/>
                <w:i w:val="0"/>
                <w:color w:val="000000"/>
                <w:sz w:val="25"/>
              </w:rPr>
              <w:t xml:space="preserve">13.67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39.08</w:t>
            </w:r>
          </w:p>
        </w:tc>
        <w:tc>
          <w:tcPr>
            <w:tcW w:w="2700" w:type="dxa"/>
            <w:tcBorders/>
            <w:vAlign w:val="center"/>
          </w:tcPr>
          <w:p>
            <w:pPr>
              <w:jc w:val="right"/>
            </w:pPr>
            <w:r>
              <w:rPr>
                <w:rFonts w:ascii="宋体" w:eastAsia="宋体" w:hAnsi="宋体" w:cs="宋体"/>
                <w:b w:val="0"/>
                <w:i w:val="0"/>
                <w:color w:val="000000"/>
                <w:sz w:val="25"/>
              </w:rPr>
              <w:t xml:space="preserve">39.08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39.08</w:t>
            </w:r>
          </w:p>
        </w:tc>
        <w:tc>
          <w:tcPr>
            <w:tcW w:w="2700" w:type="dxa"/>
            <w:tcBorders/>
            <w:vAlign w:val="center"/>
          </w:tcPr>
          <w:p>
            <w:pPr>
              <w:jc w:val="right"/>
            </w:pPr>
            <w:r>
              <w:rPr>
                <w:rFonts w:ascii="宋体" w:eastAsia="宋体" w:hAnsi="宋体" w:cs="宋体"/>
                <w:b w:val="0"/>
                <w:i w:val="0"/>
                <w:color w:val="000000"/>
                <w:sz w:val="25"/>
              </w:rPr>
              <w:t xml:space="preserve">39.08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39.08</w:t>
            </w:r>
          </w:p>
        </w:tc>
        <w:tc>
          <w:tcPr>
            <w:tcW w:w="2700" w:type="dxa"/>
            <w:tcBorders/>
            <w:vAlign w:val="center"/>
          </w:tcPr>
          <w:p>
            <w:pPr>
              <w:jc w:val="right"/>
            </w:pPr>
            <w:r>
              <w:rPr>
                <w:rFonts w:ascii="宋体" w:eastAsia="宋体" w:hAnsi="宋体" w:cs="宋体"/>
                <w:b w:val="0"/>
                <w:i w:val="0"/>
                <w:color w:val="000000"/>
                <w:sz w:val="25"/>
              </w:rPr>
              <w:t xml:space="preserve">39.08</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注：本表反映部门本年度一般公共预算财政拨款支出情况。本表金额转换为万元时，因四舍五入可能存在尾差。</w:t>
      </w: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部门：许昌市政务服务和大数据管理局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765.52</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67.26</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293.31</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6.96</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66.58</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194.13</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0.13</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25.85</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0.13</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62.23</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1.43</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0.41</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26.86</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13.67</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2.41</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17.14</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40.00</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3.30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39.05</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31.77</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31.77</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0.50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3.47</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4.06</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8.00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20.83</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2.60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797.29</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67.39</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注：本表反映部门本年度一般公共预算财政拨款基本支出明细情况。本表金额转换为万元时，因四舍五入可能存在尾差。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部门：许昌市政务服务和大数据管理局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注：本表反映部门本年度政府性基金预算财政拨款收入、支出及结转和结余情况。本表金额转换为万元时，因四舍五入可能存在尾差。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说明：我部门没有政府性基金收入，也没有使用政府性基金安排的支出，故本表无数据。</w:t>
      </w:r>
    </w:p>
    <w:p>
      <w:pPr>
        <w:rPr>
          <w:rFonts w:ascii="华文中宋" w:eastAsia="华文中宋" w:hAnsi="华文中宋" w:cs="华文中宋" w:hint="default"/>
          <w:color w:val="000000"/>
          <w:kern w:val="0"/>
          <w:sz w:val="32"/>
          <w:szCs w:val="32"/>
          <w:lang w:val="en-US" w:eastAsia="zh-CN"/>
        </w:rPr>
      </w:pP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部门：许昌市政务服务和大数据管理局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部门：许昌市政务服务和大数据管理局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8.50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8.00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8.00</w:t>
            </w:r>
          </w:p>
        </w:tc>
        <w:tc>
          <w:tcPr>
            <w:tcW w:w="1160" w:type="dxa"/>
            <w:tcBorders/>
            <w:vAlign w:val="center"/>
          </w:tcPr>
          <w:p>
            <w:pPr>
              <w:jc w:val="right"/>
            </w:pPr>
            <w:r>
              <w:rPr>
                <w:rFonts w:ascii="宋体" w:eastAsia="宋体" w:hAnsi="宋体" w:cs="宋体"/>
                <w:b w:val="0"/>
                <w:i w:val="0"/>
                <w:color w:val="000000"/>
                <w:sz w:val="17"/>
              </w:rPr>
              <w:t xml:space="preserve">0.50</w:t>
            </w:r>
          </w:p>
        </w:tc>
        <w:tc>
          <w:tcPr>
            <w:tcW w:w="1160" w:type="dxa"/>
            <w:tcBorders/>
            <w:vAlign w:val="center"/>
          </w:tcPr>
          <w:p>
            <w:pPr>
              <w:jc w:val="right"/>
            </w:pPr>
            <w:r>
              <w:rPr>
                <w:rFonts w:ascii="宋体" w:eastAsia="宋体" w:hAnsi="宋体" w:cs="宋体"/>
                <w:b w:val="0"/>
                <w:i w:val="0"/>
                <w:color w:val="000000"/>
                <w:sz w:val="17"/>
              </w:rPr>
              <w:t xml:space="preserve">8.50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8.00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8.00</w:t>
            </w:r>
          </w:p>
        </w:tc>
        <w:tc>
          <w:tcPr>
            <w:tcW w:w="1198" w:type="dxa"/>
            <w:tcBorders/>
            <w:vAlign w:val="center"/>
          </w:tcPr>
          <w:p>
            <w:pPr>
              <w:jc w:val="right"/>
            </w:pPr>
            <w:r>
              <w:rPr>
                <w:rFonts w:ascii="宋体" w:eastAsia="宋体" w:hAnsi="宋体" w:cs="宋体"/>
                <w:b w:val="0"/>
                <w:i w:val="0"/>
                <w:color w:val="000000"/>
                <w:sz w:val="17"/>
              </w:rPr>
              <w:t xml:space="preserve">0.50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1108.67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减少3997.10万元，下降78.29%</w:t>
      </w:r>
      <w:r>
        <w:rPr>
          <w:rFonts w:ascii="仿宋" w:eastAsia="仿宋" w:hAnsi="仿宋" w:cs="仿宋" w:hint="eastAsia"/>
          <w:kern w:val="0"/>
          <w:sz w:val="32"/>
          <w:szCs w:val="32"/>
          <w:lang w:val="en-US" w:eastAsia="zh-CN"/>
        </w:rPr>
        <w:t xml:space="preserve">。主要原因是信创项目和政务云项目经费支出减少,新调入及招录13人导致人员经费增加。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1000.40</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财政拨款收入1000.39万元，占100.00%；上级补助收入0.00万元，占0.00%；事业收入0.00万元，占0.00%；经营收入0.00万元，占0.00%；附属单位上缴收入0.00万元，占0.00%；其他收入0.01万元，占0.00%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1108.64</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基本支出864.68万元，占77.99%；项目支出243.96万元，占22.01%；上缴上级支出0.00万元，占0.00%；经营支出0.00万元，占0.00%；对附属单位补助支出0.00万元，占0.00%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1108.64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减少3997.11万元，下降78.29%</w:t>
      </w:r>
      <w:r>
        <w:rPr>
          <w:rFonts w:ascii="仿宋" w:eastAsia="仿宋" w:hAnsi="仿宋" w:cs="仿宋" w:hint="eastAsia"/>
          <w:kern w:val="0"/>
          <w:sz w:val="32"/>
          <w:szCs w:val="32"/>
          <w:lang w:val="en-US" w:eastAsia="zh-CN"/>
        </w:rPr>
        <w:t xml:space="preserve">。主要原因是信创项目和政务云项目经费支出减少,新调入及招录13人导致人员经费增加。</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1108.64</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减少3997.11万元，下降78.29%</w:t>
      </w:r>
      <w:r>
        <w:rPr>
          <w:rFonts w:ascii="仿宋" w:eastAsia="仿宋" w:hAnsi="仿宋" w:cs="仿宋" w:hint="eastAsia"/>
          <w:kern w:val="0"/>
          <w:sz w:val="32"/>
          <w:szCs w:val="32"/>
          <w:lang w:val="en-US" w:eastAsia="zh-CN"/>
        </w:rPr>
        <w:t xml:space="preserve">。主要原因是信创项目和政务云项目经费支出减少,新调入及招录13人导致人员经费增加。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1108.64</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一般公共服务支出（类）961.28万元，占86.71%；社会保障和就业支出（类）72.67万元，占6.55%；卫生健康支出（类）33.11万元，占2.99%；农林水支出（类）2.50万元，占0.23%；住房保障支出（类）39.08万元，占3.53%</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4018.56</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1108.64</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27.59</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1.一般公共服务支出（类）人大事务（款）行政运行（项）</w:t>
      </w:r>
      <w:r>
        <w:rPr>
          <w:rFonts w:ascii="仿宋" w:eastAsia="仿宋" w:hAnsi="仿宋" w:cs="仿宋" w:hint="default"/>
          <w:kern w:val="0"/>
          <w:sz w:val="32"/>
          <w:szCs w:val="32"/>
          <w:lang w:val="en-US" w:eastAsia="zh-CN"/>
        </w:rPr>
        <w:t xml:space="preserve">年初预算数为0.00万元，决算数13.90万元,决算数与年初预算数存在差异的主要原因是此金额为9月代扣统发工资中社保公积金及个税等，年初无此预算。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2.一般公共服务支出（类）政府办公厅（室）及相关机构事务（款）行政运行（项）</w:t>
      </w:r>
      <w:r>
        <w:rPr>
          <w:rFonts w:ascii="仿宋" w:eastAsia="仿宋" w:hAnsi="仿宋" w:cs="仿宋" w:hint="default"/>
          <w:kern w:val="0"/>
          <w:sz w:val="32"/>
          <w:szCs w:val="32"/>
          <w:lang w:val="en-US" w:eastAsia="zh-CN"/>
        </w:rPr>
        <w:t xml:space="preserve">年初预算数为477.72万元，决算数475.23万元,完成年初预算的99.48%，决算数与年初预算数存在差异的主要原因是本年度有2人调出，1人退休，人员经费变动。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3.一般公共服务支出（类）政府办公厅（室）及相关机构事务（款）一般行政管理事务（项）</w:t>
      </w:r>
      <w:r>
        <w:rPr>
          <w:rFonts w:ascii="仿宋" w:eastAsia="仿宋" w:hAnsi="仿宋" w:cs="仿宋" w:hint="default"/>
          <w:kern w:val="0"/>
          <w:sz w:val="32"/>
          <w:szCs w:val="32"/>
          <w:lang w:val="en-US" w:eastAsia="zh-CN"/>
        </w:rPr>
        <w:t xml:space="preserve">年初预算数为142.74万元，决算数142.74万元,完成年初预算的100.00%，决算数与年初预算数不存在差异。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4.一般公共服务支出（类）政府办公厅（室）及相关机构事务（款）事业运行（项）</w:t>
      </w:r>
      <w:r>
        <w:rPr>
          <w:rFonts w:ascii="仿宋" w:eastAsia="仿宋" w:hAnsi="仿宋" w:cs="仿宋" w:hint="default"/>
          <w:kern w:val="0"/>
          <w:sz w:val="32"/>
          <w:szCs w:val="32"/>
          <w:lang w:val="en-US" w:eastAsia="zh-CN"/>
        </w:rPr>
        <w:t xml:space="preserve">年初预算数为154.64万元，决算数203.13万元,完成年初预算的131.36%，决算数与年初预算数存在差异的主要原因是2023年度新调入及招录13人导致人员经费增加。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5.一般公共服务支出（类）群众团体事务（款）工会事务（项）</w:t>
      </w:r>
      <w:r>
        <w:rPr>
          <w:rFonts w:ascii="仿宋" w:eastAsia="仿宋" w:hAnsi="仿宋" w:cs="仿宋" w:hint="default"/>
          <w:kern w:val="0"/>
          <w:sz w:val="32"/>
          <w:szCs w:val="32"/>
          <w:lang w:val="en-US" w:eastAsia="zh-CN"/>
        </w:rPr>
        <w:t xml:space="preserve">年初预算数为3.47万元，决算数3.47万元,完成年初预算的100.00%，决算数与年初预算数不存在差异。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6.一般公共服务支出（类）其他一般公共服务支出（款）其他一般公共服务支出（项）</w:t>
      </w:r>
      <w:r>
        <w:rPr>
          <w:rFonts w:ascii="仿宋" w:eastAsia="仿宋" w:hAnsi="仿宋" w:cs="仿宋" w:hint="default"/>
          <w:kern w:val="0"/>
          <w:sz w:val="32"/>
          <w:szCs w:val="32"/>
          <w:lang w:val="en-US" w:eastAsia="zh-CN"/>
        </w:rPr>
        <w:t xml:space="preserve">年初预算数为122.81万元，决算数122.81万元,完成年初预算的100.00%，决算数与年初预算数不存在差异。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7.社会保障和就业支出（类）行政事业单位养老支出（款）行政单位离退休（项）</w:t>
      </w:r>
      <w:r>
        <w:rPr>
          <w:rFonts w:ascii="仿宋" w:eastAsia="仿宋" w:hAnsi="仿宋" w:cs="仿宋" w:hint="default"/>
          <w:kern w:val="0"/>
          <w:sz w:val="32"/>
          <w:szCs w:val="32"/>
          <w:lang w:val="en-US" w:eastAsia="zh-CN"/>
        </w:rPr>
        <w:t xml:space="preserve">年初预算数为23.65万元，决算数31.77万元,完成年初预算的134.33%，决算数与年初预算数存在差异的主要原因是本年度新增退休人员1人。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8.社会保障和就业支出（类）行政事业单位养老支出（款）机关事业单位基本养老保险缴费支出（项）</w:t>
      </w:r>
      <w:r>
        <w:rPr>
          <w:rFonts w:ascii="仿宋" w:eastAsia="仿宋" w:hAnsi="仿宋" w:cs="仿宋" w:hint="default"/>
          <w:kern w:val="0"/>
          <w:sz w:val="32"/>
          <w:szCs w:val="32"/>
          <w:lang w:val="en-US" w:eastAsia="zh-CN"/>
        </w:rPr>
        <w:t xml:space="preserve">年初预算数为39.78万元，决算数40.90万元,完成年初预算的102.82%，决算数与年初预算数存在差异的主要原因是本年度调出2人，退休1人导致经费减少,下半年调整缴费基数导致经费增加,2023年度新调入及招录13人导致人员经费增加,导致总额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9.卫生健康支出（类）行政事业单位医疗（款）行政单位医疗（项）</w:t>
      </w:r>
      <w:r>
        <w:rPr>
          <w:rFonts w:ascii="仿宋" w:eastAsia="仿宋" w:hAnsi="仿宋" w:cs="仿宋" w:hint="default"/>
          <w:kern w:val="0"/>
          <w:sz w:val="32"/>
          <w:szCs w:val="32"/>
          <w:lang w:val="en-US" w:eastAsia="zh-CN"/>
        </w:rPr>
        <w:t xml:space="preserve">年初预算数为14.93万元，决算数12.31万元,完成年初预算的82.45%，决算数与年初预算数存在差异的主要原因是下半年调整缴费基数导致总额减少。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10.卫生健康支出（类）行政事业单位医疗（款）事业单位医疗（项）</w:t>
      </w:r>
      <w:r>
        <w:rPr>
          <w:rFonts w:ascii="仿宋" w:eastAsia="仿宋" w:hAnsi="仿宋" w:cs="仿宋" w:hint="default"/>
          <w:kern w:val="0"/>
          <w:sz w:val="32"/>
          <w:szCs w:val="32"/>
          <w:lang w:val="en-US" w:eastAsia="zh-CN"/>
        </w:rPr>
        <w:t xml:space="preserve">年初预算数为5.76万元，决算数7.13万元,完成年初预算的123.78%，决算数与年初预算数存在差异的主要原因是2023年度新调入及招录13人导致人员经费增加。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11.卫生健康支出（类）行政事业单位医疗（款）公务员医疗补助（项）</w:t>
      </w:r>
      <w:r>
        <w:rPr>
          <w:rFonts w:ascii="仿宋" w:eastAsia="仿宋" w:hAnsi="仿宋" w:cs="仿宋" w:hint="default"/>
          <w:kern w:val="0"/>
          <w:sz w:val="32"/>
          <w:szCs w:val="32"/>
          <w:lang w:val="en-US" w:eastAsia="zh-CN"/>
        </w:rPr>
        <w:t xml:space="preserve">年初预算数为14.22万元，决算数13.67万元,完成年初预算的96.13%，决算数与年初预算数存在差异的主要原因是下半年调整缴费基数导致总额减少。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12.农林水支出（类）巩固脱贫攻坚成果衔接乡村振兴（款）一般行政管理事务（项）</w:t>
      </w:r>
      <w:r>
        <w:rPr>
          <w:rFonts w:ascii="仿宋" w:eastAsia="仿宋" w:hAnsi="仿宋" w:cs="仿宋" w:hint="default"/>
          <w:kern w:val="0"/>
          <w:sz w:val="32"/>
          <w:szCs w:val="32"/>
          <w:lang w:val="en-US" w:eastAsia="zh-CN"/>
        </w:rPr>
        <w:t xml:space="preserve">年初预算数为0.00万元，决算数2.50万元,决算数与年初预算数存在差异的主要原因是年初无此预算。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13.住房保障支出（类）住房改革支出（款）住房公积金（项）</w:t>
      </w:r>
      <w:r>
        <w:rPr>
          <w:rFonts w:ascii="仿宋" w:eastAsia="仿宋" w:hAnsi="仿宋" w:cs="仿宋" w:hint="default"/>
          <w:kern w:val="0"/>
          <w:sz w:val="32"/>
          <w:szCs w:val="32"/>
          <w:lang w:val="en-US" w:eastAsia="zh-CN"/>
        </w:rPr>
        <w:t xml:space="preserve">年初预算数为39.40万元，决算数39.08万元,完成年初预算的99.19%，决算数与年初预算数存在差异的主要原因是本年度调出2人、退休1人,新调入及招录13人，综合导致人员经费总额减少。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864.68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其中：人员经费797.29万元，主要包括：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公用经费67.39万元，主要包括：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8.50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8.50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8.00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，占94.12%</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0.50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，占5.88%</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8.00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8.00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8.00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主要用于公务用车日常维修、油料消耗及车辆保险。</w:t>
      </w:r>
      <w:r>
        <w:rPr>
          <w:rFonts w:ascii="仿宋" w:eastAsia="仿宋" w:hAnsi="仿宋" w:cs="仿宋" w:hint="eastAsia"/>
          <w:kern w:val="0"/>
          <w:sz w:val="32"/>
          <w:szCs w:val="32"/>
          <w:lang w:val="en-US" w:eastAsia="zh-CN"/>
        </w:rPr>
        <w:t xml:space="preserve">2023年期末，部门开支财政拨款的公务用车保有量为</w:t>
      </w:r>
      <w:r>
        <w:rPr>
          <w:rFonts w:ascii="仿宋" w:eastAsia="仿宋" w:hAnsi="仿宋" w:cs="仿宋" w:hint="eastAsia"/>
          <w:kern w:val="2"/>
          <w:sz w:val="32"/>
          <w:szCs w:val="32"/>
          <w:lang w:val="en-US" w:eastAsia="zh-CN"/>
        </w:rPr>
        <w:t xml:space="preserve">2</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0.50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0.50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0.50</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主要用于接待外地市考察学习人员。</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5</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39</w:t>
      </w:r>
      <w:r>
        <w:rPr>
          <w:rFonts w:ascii="仿宋" w:eastAsia="仿宋" w:hAnsi="仿宋" w:cs="仿宋" w:hint="eastAsia"/>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2023年度机关运行经费支出55.49万元，</w:t>
      </w:r>
      <w:r>
        <w:rPr>
          <w:rFonts w:ascii="仿宋" w:eastAsia="仿宋" w:hAnsi="仿宋" w:cs="仿宋" w:hint="eastAsia"/>
          <w:kern w:val="0"/>
          <w:sz w:val="32"/>
          <w:szCs w:val="32"/>
          <w:lang w:val="en-US" w:eastAsia="zh-CN"/>
        </w:rPr>
        <w:t xml:space="preserve">较2022年度增长27.19万元，</w:t>
      </w:r>
      <w:r>
        <w:rPr>
          <w:rFonts w:ascii="仿宋" w:eastAsia="仿宋" w:hAnsi="仿宋" w:cs="仿宋" w:hint="eastAsia"/>
          <w:kern w:val="0"/>
          <w:sz w:val="32"/>
          <w:szCs w:val="32"/>
          <w:lang w:val="en-US" w:eastAsia="zh-CN"/>
        </w:rPr>
        <w:t xml:space="preserve">增长96.08%，</w:t>
      </w:r>
      <w:r>
        <w:rPr>
          <w:rFonts w:ascii="仿宋" w:eastAsia="仿宋" w:hAnsi="仿宋" w:cs="仿宋" w:hint="eastAsia"/>
          <w:kern w:val="0"/>
          <w:sz w:val="32"/>
          <w:szCs w:val="32"/>
          <w:lang w:val="en-US" w:eastAsia="zh-CN"/>
        </w:rPr>
        <w:t xml:space="preserve">主要原因是人员经费变动形成。</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2023年期末，本部门共有车辆</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sz w:val="32"/>
          <w:szCs w:val="32"/>
        </w:rPr>
        <w:t xml:space="preserve">我部门对本部门</w:t>
      </w:r>
      <w:r>
        <w:rPr>
          <w:rFonts w:ascii="仿宋" w:eastAsia="仿宋" w:hAnsi="仿宋" w:cs="仿宋" w:hint="eastAsia"/>
          <w:kern w:val="0"/>
          <w:sz w:val="32"/>
          <w:szCs w:val="32"/>
          <w:lang w:val="en-US" w:eastAsia="zh-CN"/>
        </w:rPr>
        <w:t xml:space="preserve">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1.部门整体绩效自评。</w:t>
      </w:r>
      <w:r>
        <w:rPr>
          <w:rFonts w:ascii="仿宋" w:eastAsia="仿宋" w:hAnsi="仿宋" w:cs="仿宋" w:hint="eastAsia"/>
          <w:kern w:val="0"/>
          <w:sz w:val="32"/>
          <w:szCs w:val="32"/>
          <w:lang w:val="en-US" w:eastAsia="zh-CN"/>
        </w:rPr>
        <w:t xml:space="preserve">涉及预算资金</w:t>
      </w:r>
      <w:r>
        <w:rPr>
          <w:rFonts w:ascii="仿宋" w:eastAsia="仿宋" w:hAnsi="仿宋" w:cs="仿宋" w:hint="eastAsia"/>
          <w:kern w:val="0"/>
          <w:sz w:val="32"/>
          <w:szCs w:val="32"/>
          <w:lang w:val="en-US" w:eastAsia="zh-CN"/>
        </w:rPr>
        <w:t xml:space="preserve">4018.56</w:t>
      </w:r>
      <w:r>
        <w:rPr>
          <w:rFonts w:ascii="仿宋" w:eastAsia="仿宋" w:hAnsi="仿宋" w:cs="仿宋" w:hint="eastAsia"/>
          <w:kern w:val="0"/>
          <w:sz w:val="32"/>
          <w:szCs w:val="32"/>
          <w:lang w:val="en-US" w:eastAsia="zh-CN"/>
        </w:rPr>
        <w:t xml:space="preserve">万元。自评得分为</w:t>
      </w:r>
      <w:r>
        <w:rPr>
          <w:rFonts w:ascii="仿宋" w:eastAsia="仿宋" w:hAnsi="仿宋" w:cs="仿宋" w:hint="eastAsia"/>
          <w:kern w:val="0"/>
          <w:sz w:val="32"/>
          <w:szCs w:val="32"/>
          <w:lang w:val="en-US" w:eastAsia="zh-CN"/>
        </w:rPr>
        <w:t xml:space="preserve">98.22</w:t>
      </w:r>
      <w:r>
        <w:rPr>
          <w:rFonts w:ascii="仿宋" w:eastAsia="仿宋" w:hAnsi="仿宋" w:cs="仿宋" w:hint="eastAsia"/>
          <w:kern w:val="0"/>
          <w:sz w:val="32"/>
          <w:szCs w:val="32"/>
          <w:lang w:val="en-US" w:eastAsia="zh-CN"/>
        </w:rPr>
        <w:t xml:space="preserve">分，等级为“</w:t>
      </w:r>
      <w:r>
        <w:rPr>
          <w:rFonts w:ascii="仿宋" w:eastAsia="仿宋" w:hAnsi="仿宋" w:cs="仿宋" w:hint="eastAsia"/>
          <w:kern w:val="0"/>
          <w:sz w:val="32"/>
          <w:szCs w:val="32"/>
          <w:lang w:val="en-US" w:eastAsia="zh-CN"/>
        </w:rPr>
        <w:t xml:space="preserve">优</w:t>
      </w:r>
      <w:r>
        <w:rPr>
          <w:rFonts w:ascii="仿宋" w:eastAsia="仿宋" w:hAnsi="仿宋" w:cs="仿宋" w:hint="default"/>
          <w:kern w:val="0"/>
          <w:sz w:val="32"/>
          <w:szCs w:val="32"/>
          <w:lang w:val="en-US" w:eastAsia="zh-CN"/>
        </w:rPr>
        <w:t xml:space="preserve">”</w:t>
      </w:r>
      <w:r>
        <w:rPr>
          <w:rFonts w:ascii="仿宋" w:eastAsia="仿宋" w:hAnsi="仿宋" w:cs="仿宋" w:hint="eastAsia"/>
          <w:kern w:val="0"/>
          <w:sz w:val="32"/>
          <w:szCs w:val="32"/>
          <w:lang w:val="en-US" w:eastAsia="zh-CN"/>
        </w:rPr>
        <w:t xml:space="preserve">。从部门整体自评情况来看，</w:t>
      </w:r>
      <w:r>
        <w:rPr>
          <w:rFonts w:ascii="仿宋" w:eastAsia="仿宋" w:hAnsi="仿宋" w:cs="仿宋" w:hint="eastAsia"/>
          <w:kern w:val="0"/>
          <w:sz w:val="32"/>
          <w:szCs w:val="32"/>
          <w:lang w:val="en-US" w:eastAsia="zh-CN"/>
        </w:rPr>
        <w:t xml:space="preserve">我单位高度重视绩效管理工作，全面深化贯穿预算编制、执行、监督全过程的绩效管理理念，积极开展预算绩效管理工作，采取事前申报绩效目标、事中开展绩效日常监督、事后进行绩效评价的方式，建立了全过程的绩效管理模式，并将绩效结果运用到实际工作中</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2.项目绩效自评。</w:t>
      </w:r>
      <w:bookmarkStart w:id="0" w:name="_GoBack"/>
      <w:bookmarkEnd w:id="0"/>
      <w:r>
        <w:rPr>
          <w:rFonts w:ascii="仿宋" w:eastAsia="仿宋" w:hAnsi="仿宋" w:cs="仿宋" w:hint="eastAsia"/>
          <w:kern w:val="0"/>
          <w:sz w:val="32"/>
          <w:szCs w:val="32"/>
          <w:lang w:val="en-US" w:eastAsia="zh-CN"/>
        </w:rPr>
        <w:t xml:space="preserve">基于项目预期目标的实现程度，我部门对2023年度部门预算项目支出（含部门参与分配的转移支付项目）开展绩效自评，涉及项目3个，项目金额251.11万元。其中：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1）市民之家运行经费，自评得分为94.52分，等级为“优”。主要用于市民之家大厅日常运行维护支出，包括：市民之家大厅工作经费；加强大厅设施的维修维护；增添室内绿植布置；24小时自助服务区运行维护费；为办事群众提供免费复印的复印纸、耗材和维修支出；配备老年人专用物品和常用应急药品等物资；窗口电脑、打印机等设备运维，电话费支出。项目自评得分94.52分，预算执行率45.18%，产出指标完成率100%，效益指标完成率100%，满意度指标完成率100% 。</w:t>
        <w:br/>
        <w:t xml:space="preserve">    （2）数字政府建设领导小组和放管服专项经费，自评得分为90分，等级为“优”。主要用于：数字政府建设领导小组和放管服领导小组工作经费；开展放管服工作，包括便民服务所需的免费邮寄、印刷办事指南、制作企业大礼包等费用。项目自评得分90分，预算执行率0%，产出指标完成率100%，效益指标完成率100%，满意度指标完成率100% 。</w:t>
        <w:br/>
        <w:t xml:space="preserve">    （3）市级电子印章服务费，自评得分为100分，等级为“优”。市级电子印章服务费年初预算6.11万元，实际执行6.11万元，预算执行率100%。印章制发主要用于河南省政务服务一体化平台，落实“减证便民”政策，方便群众办事，实现“数据多跑路，群众少跑腿”，本年度新制电子印章77个，并对已制作完成的电子印章进行续费190次，完成年度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default"/>
          <w:kern w:val="2"/>
          <w:sz w:val="32"/>
          <w:szCs w:val="32"/>
          <w:lang w:val="en-US" w:eastAsia="zh-CN"/>
        </w:rPr>
        <w:t xml:space="preserve">从项目绩效自评情况来看，3个项目评价等级为“优”、0个项目评价等级为“良”、0个项目评价等级为“中”、0个项目评价等级为“差”。</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p>
    <w:tbl>
      <w:tblPr>
        <w:tblStyle w:val="NormalTable_6bba9b92-dff2-4a7e-837b-107474953ab0"/>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1056"/>
        <w:gridCol w:w="1293"/>
        <w:gridCol w:w="944"/>
        <w:gridCol w:w="791"/>
        <w:gridCol w:w="2120"/>
        <w:gridCol w:w="1358"/>
        <w:gridCol w:w="1724"/>
        <w:gridCol w:w="780"/>
        <w:gridCol w:w="723"/>
        <w:gridCol w:w="927"/>
        <w:gridCol w:w="944"/>
        <w:gridCol w:w="1514"/>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部门整体自评表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部门（单位）名称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许昌市政务服务和大数据管理局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部门整体支出情况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部门预算总额（万元）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4018.56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1563.95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1157.5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74.01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8.22</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资金来源：（1）政府预算资金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4018.56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1514.67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1108.64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73.19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（2）财政专户管理资金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（3）单位资金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49.28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48.86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99.15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3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力争政务服务改革和数字政府建设整体工作走在全省前列，进入全国先进；实现“一件事一次办”事项82项，“跨省通办”事项22项，电子证照制证总量达200万本以上；政务服务事项完整度和准确率、事项进驻综合性政务服务大厅实现率、“一窗”分类受理率、“好差评”实名差评按期整改率、电子证照以类型制证率、数据共享责任清单覆盖率均达到100%。</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务服务改革和数字政府建设整体工作走在全省前列，进入全国先进；实现“一件事一次办”事项82项，“跨省通办”事项22项，电子证照制证总量达200万本以上；政务服务事项完整度和准确率、事项进驻综合性政务服务大厅实现率、“一窗”分类受理率、“好差评”实名差评按期整改率、电子证照以类型制证率、数据共享责任清单覆盖率均达到100%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加快完成市直数据信息机构重塑性改革</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积极与市委编办等部门沟通对接，推动市直相关部门的人员、资产尽快划转到位，组建市政务大数据中心，明确内设机构人员组成和工作职责，建立健全工作制度，尽快形成工作合力，全面开展相关工作。</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积极与市委编办等部门沟</w:t>
            </w:r>
            <w:r>
              <w:rPr>
                <w:rFonts w:ascii="宋体" w:eastAsia="宋体" w:hAnsi="宋体" w:cs="宋体"/>
                <w:i w:val="0"/>
                <w:iCs w:val="0"/>
                <w:color w:val="000000"/>
                <w:kern w:val="0"/>
                <w:sz w:val="18"/>
                <w:szCs w:val="18"/>
                <w:u w:val="none"/>
                <w:bdr w:val="none" w:sz="0" w:space="0" w:color="auto"/>
                <w:lang w:val="en-US" w:eastAsia="zh-CN"/>
              </w:rPr>
              <w:t xml:space="preserve">通对接，推动市直相关部门的人员、资产尽快划转到位，组建市政务大数据中心，明确内设机构人员组成和工作职责，建立健全工作制度，尽快形成工作合力，全面开展相关工作。</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03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持续推进政务服务环境优化</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应进必进”要求，完善调整政务服务进驻事项负面清单，清单之外事项统一纳入各级大厅；做优“办不成事”反映窗口，让“办成事”成为常态，“办不成事”成为例外；优化功能布局，推进政务大厅适老化及无障碍改造，提升企业群众办事体验；持续开展赠送“开业大礼包”、免费复印、免费邮寄、延时服务、上门服务等特色服务，为群众、企业提供更暖心的办事服务环境；指导督促各地各窗口单位认真落实政务服务“好差评”评价工作</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政务服务环境持续优化。一是积极推进惠企政策“免申即享”。二是扎实推进政务服务“有诉即办”。三是优化大厅服务环境。四是推进政务服务“好差评”工作。五是做好“互联网+监管”数据汇聚工作。</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03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持续推进数字政府建设</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梳理市直单位的数字政府项目，汇总形成2023年数字政府建设要点；不断优化智慧大脑功能，强化智慧应用上屏，归集现阶段各类应用，突出优势功能点，归类做好算法设计，让各类在用系统实现“一屏展示”；强化新应用建设，推动“一网统管”、“数字孪生”城市建设，打通各系统壁垒，逐步实现“一屏调度”；推动“三云”（政务云、鲲鹏云、信创云）逐步融合为“一朵云”，加快电子政务外网升级改造，做好全市“一云一网”支撑作用</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字政府建设加快推进。一是统筹推进我市数字政府建设。二是推进数据共享应用。三是推动特色智慧应用建设。四是创新“四电”应用场景。五是全力保障“云网”安全。六是助推市经济运行调度平台建设。七是加强战略合作。八是开展统一运维工作。</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03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持续推进政务服务效能提升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加大对各县（市、区）最小颗粒度工作的督导力度，实现事项精细化、要素模板化、指南标准化；如期完成国务院第一批“一件事一次办”事项清单任务，实现企业和个人全生命周期更多政务服务事项实现“一件事一次办”，打造政务服务升级版；通过“异地代收代办”“多地联办”“全程网办”等方式，推进更多政务服务事项实现“跨省通办”和“全省通办”；建立全市“自助办”体系，丰富24小时自助区功能；做好电子证照制发工作</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务服务能力全面提升。一是扎实推进“大厅之外无审批”。二是全力推行“一件事一次办”。三是积极推动“免证可办”。四是全面推广“跨省通办”。五是打造15分钟便民服务圈。六是提升政务服务规范化水平。七是提升窗口人员服务能力</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相关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预算调整率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结转结余率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“三公经费”控制率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决算真实性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健全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加快完成市直数据信息机构重塑性改革</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持续推进政务服务效能提升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持续推进政务服务环境优化</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持续推进数字政府建设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加快完成市直数据信息机构重塑性改革</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持续推进政务服务效能提升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持续推进政务服务环境优化</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持续推进数字政府建设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履职效益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加快完成市直数据信息机构重塑性改革</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持续推进政务服务效能提升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持续推进政务服务环境优化</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持续推进数字政府建设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窗口工作人员满意度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98.22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rPr>
                <w:rFonts w:ascii="宋体" w:eastAsia="宋体" w:hAnsi="宋体" w:cs="宋体" w:hint="eastAsia"/>
                <w:i w:val="0"/>
                <w:iCs w:val="0"/>
                <w:color w:val="000000"/>
                <w:sz w:val="18"/>
                <w:szCs w:val="18"/>
                <w:u w:val="none"/>
              </w:rPr>
            </w:pPr>
          </w:p>
        </w:tc>
      </w:tr>
    </w:tbl>
    <w:p>
      <w:pPr>
        <w:pStyle w:val="Normal_7ed055b3-1ea0-41a4-952f-4367d909e9a5"/>
        <w:sectPr>
          <w:pgSz w:w="16838" w:h="11906" w:orient="landscape"/>
          <w:pgMar w:top="1800" w:right="1440" w:bottom="1800" w:left="1440" w:header="851" w:footer="992" w:gutter="0"/>
          <w:cols w:num="1" w:space="425">
            <w:col w:w="13958" w:space="425"/>
          </w:cols>
          <w:docGrid w:type="lines" w:linePitch="312" w:charSpace="0"/>
        </w:sectPr>
      </w:pPr>
    </w:p>
    <w:tbl>
      <w:tblPr>
        <w:tblStyle w:val="NormalTable_6bba9b92-dff2-4a7e-837b-107474953ab0"/>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40"/>
        <w:gridCol w:w="974"/>
        <w:gridCol w:w="1138"/>
        <w:gridCol w:w="1062"/>
        <w:gridCol w:w="913"/>
        <w:gridCol w:w="1612"/>
        <w:gridCol w:w="1062"/>
        <w:gridCol w:w="916"/>
        <w:gridCol w:w="1059"/>
        <w:gridCol w:w="1062"/>
        <w:gridCol w:w="927"/>
        <w:gridCol w:w="930"/>
        <w:gridCol w:w="2133"/>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市民之家运行经费</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许昌市政务服务和大数据管理局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许昌市政务服务和大数据管理局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92.61</w:t>
            </w:r>
          </w:p>
        </w:tc>
        <w:tc>
          <w:tcPr>
            <w:tcW w:type="auto" w:w="0"/>
            <w:tcBorders>
              <w:top w:val="nil"/>
              <w:left w:val="nil"/>
              <w:bottom w:val="nil"/>
              <w:right w:val="nil"/>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45.18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4.52</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92.61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45.18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按照部门预算编制和资金管理办法的要求，进行项目论证，评审，立项等必要程序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严格按照国库集中支付制度有关规定支付资金，未出现违规将资金从国库转入财政专户或支付到预算单位自有资金账户等问题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严格按照下达预算的科目和项目执行，未出现截留，挤占，挪用和擅自调整等问题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将资金纳入绩效管理，设置绩效目标，开展绩效监控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3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要用于市民之家大厅日常运行维护支出，包括：市民之家大厅工作经费；加强大厅设施的维修维护；增添室内绿植布置；24小时自助服务区运行维护费；为办事群众提供免费复印的复印纸、耗材和维修支出；配备老年人专用物品和常用应急药品等物资；窗口电脑、打印机等设备运维，电话费支出</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已完成民之家大厅日常运行维护支出，包括：市民之家大厅工作经费；加强大厅设施的维修维护；增添室内绿植布置；24小时自助服务区运行维护费；为办事群众提供免费复印的复印纸、耗材和维修支出；配备老年人专用物品和常用应急药品等物资；窗口电脑、打印机等设备运维，电话费支出</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自助服务区复印纸及耗材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窗口电话费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市民之家工作经费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≤155万元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155万元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设备维修购置总成本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≤35万元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35万元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设备维修数量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绿植摆放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≤1批</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验收合格率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大厅设备完好率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采购完成时间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≤1月</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1月</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设备维修及时</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≤1天</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1天</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工作效率提升情况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明显</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办事群众满意度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94.52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bl>
    <w:p>
      <w:pPr>
        <w:pStyle w:val="Normal_7ed055b3-1ea0-41a4-952f-4367d909e9a5"/>
      </w:pPr>
      <w:r>
        <w:br w:type="page"/>
      </w:r>
    </w:p>
    <w:tbl>
      <w:tblPr>
        <w:tblStyle w:val="NormalTable_6bba9b92-dff2-4a7e-837b-107474953ab0"/>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40"/>
        <w:gridCol w:w="974"/>
        <w:gridCol w:w="1138"/>
        <w:gridCol w:w="1062"/>
        <w:gridCol w:w="913"/>
        <w:gridCol w:w="1612"/>
        <w:gridCol w:w="1062"/>
        <w:gridCol w:w="916"/>
        <w:gridCol w:w="1059"/>
        <w:gridCol w:w="1062"/>
        <w:gridCol w:w="927"/>
        <w:gridCol w:w="930"/>
        <w:gridCol w:w="2133"/>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数字政府建设领导小组和放管服专项经费</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许昌市政务服务和大数据管理局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许昌市政务服务和大数据管理局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nil"/>
              <w:left w:val="nil"/>
              <w:bottom w:val="nil"/>
              <w:right w:val="nil"/>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按照部门预算编制和资金管理办法的要求，进行项目论证，评审，立项等必要程序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严格按照国库集中支付制度有关规定支付资金，未出现违规将资金从国库转入财政专户或支付到预算单位自有资金账户等问题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严格按照下达预算的科目和项目执行，未出现截留，挤占，挪用和擅自调整等问题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将资金纳入绩效管理，设置绩效目标，开展绩效监控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申请数字政府建设领导小组和放管服专项经费40万元，主要用于：1.数字政府建设领导小组和放管服领导小组工作经费；2.开展放管服工作，包括便民服务所需的免费邮寄、印刷办事指南、制作企业大礼包等费用。</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用于数字政府建设领导小组和放管服专项经费40万元，主要用于：1.数字政府建设领导小组和放管服领导小组工作经费；2.开展放管服工作，包括便民服务所需的免费邮寄、印刷办事指南、制作企业大礼包等费用。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数字政府建设经费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办事指南和宣传版面总成本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免费邮寄总成本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≤18万元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17万元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办公经费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≤12批</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办事指南和宣传版面制作次数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出差次数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办事指南和宣传版面合格率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指导我市智慧城市及信息化建设，做好放管服改革工作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办事群众满意度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ed055b3-1ea0-41a4-952f-4367d909e9a5"/>
              <w:jc w:val="center"/>
              <w:rPr>
                <w:rFonts w:ascii="宋体" w:eastAsia="宋体" w:hAnsi="宋体" w:cs="宋体" w:hint="eastAsia"/>
                <w:i w:val="0"/>
                <w:iCs w:val="0"/>
                <w:color w:val="000000"/>
                <w:sz w:val="18"/>
                <w:szCs w:val="18"/>
                <w:u w:val="none"/>
              </w:rPr>
            </w:pPr>
          </w:p>
        </w:tc>
      </w:tr>
    </w:tbl>
    <w:p>
      <w:pPr>
        <w:pStyle w:val="Normal_7ed055b3-1ea0-41a4-952f-4367d909e9a5"/>
      </w:pPr>
      <w:r>
        <w:br w:type="page"/>
      </w:r>
    </w:p>
    <w:tbl>
      <w:tblPr>
        <w:tblStyle w:val="NormalTable_6bba9b92-dff2-4a7e-837b-107474953ab0"/>
        <w:tblW w:w="15460" w:type="dxa"/>
        <w:tblInd w:w="0" w:type="dxa"/>
        <w:tblLayout w:type="fixed"/>
        <w:tblCellMar>
          <w:top w:w="0" w:type="dxa"/>
          <w:left w:w="108" w:type="dxa"/>
          <w:bottom w:w="0" w:type="dxa"/>
          <w:right w:w="108" w:type="dxa"/>
        </w:tblCellMar>
        <w:tblLook w:firstRow="0" w:lastRow="0" w:firstColumn="0" w:lastColumn="0" w:noHBand="1" w:noVBand="1"/>
      </w:tblPr>
      <w:tblGrid>
        <w:gridCol w:w="1383"/>
        <w:gridCol w:w="2269"/>
        <w:gridCol w:w="2633"/>
        <w:gridCol w:w="2074"/>
        <w:gridCol w:w="2266"/>
        <w:gridCol w:w="1160"/>
        <w:gridCol w:w="1055"/>
        <w:gridCol w:w="935"/>
        <w:gridCol w:w="1449"/>
        <w:gridCol w:w="236"/>
      </w:tblGrid>
      <w:tr>
        <w:tblPrEx>
          <w:tblW w:w="15460" w:type="dxa"/>
          <w:tblInd w:w="0" w:type="dxa"/>
          <w:tblBorders/>
          <w:shd w:val="clear" w:color="auto" w:fill="auto"/>
          <w:tblLayout w:type="fixed"/>
          <w:tblCellMar>
            <w:top w:w="0" w:type="dxa"/>
            <w:left w:w="108" w:type="dxa"/>
            <w:bottom w:w="0" w:type="dxa"/>
            <w:right w:w="108" w:type="dxa"/>
          </w:tblCellMar>
        </w:tblPrEx>
        <w:trPr>
          <w:trHeight w:val="540"/>
        </w:trPr>
        <w:tc>
          <w:tcPr>
            <w:tcW w:w="15224" w:type="dxa"/>
            <w:gridSpan w:val="9"/>
            <w:tcBorders>
              <w:top w:val="single" w:sz="4" w:space="0" w:color="auto"/>
              <w:left w:val="single" w:sz="4" w:space="0" w:color="auto"/>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40"/>
                <w:szCs w:val="40"/>
              </w:rPr>
            </w:pPr>
            <w:r>
              <w:rPr>
                <w:rFonts w:ascii="宋体" w:eastAsia="宋体" w:hAnsi="宋体" w:cs="宋体" w:hint="eastAsia"/>
                <w:color w:val="000000"/>
                <w:kern w:val="0"/>
                <w:sz w:val="40"/>
                <w:szCs w:val="40"/>
              </w:rPr>
              <w:t xml:space="preserve">项目支出绩效自评情况表 </w:t>
            </w:r>
          </w:p>
        </w:tc>
        <w:tc>
          <w:tcPr>
            <w:tcW w:w="236" w:type="dxa"/>
            <w:tcBorders>
              <w:top w:val="nil"/>
              <w:left w:val="nil"/>
              <w:bottom w:val="nil"/>
              <w:right w:val="nil"/>
            </w:tcBorders>
            <w:shd w:val="clear" w:color="auto" w:fill="auto"/>
            <w:noWrap w:val="1"/>
            <w:vAlign w:val="center"/>
          </w:tcPr>
          <w:p>
            <w:pPr>
              <w:pStyle w:val="Normal_7ed055b3-1ea0-41a4-952f-4367d909e9a5"/>
              <w:widowControl/>
              <w:spacing w:before="0" w:after="0" w:line="240" w:lineRule="auto"/>
              <w:jc w:val="left"/>
              <w:rPr>
                <w:rFonts w:ascii="等线" w:eastAsia="等线" w:hAnsi="宋体" w:cs="宋体"/>
                <w:color w:val="000000"/>
                <w:kern w:val="0"/>
                <w:sz w:val="22"/>
              </w:rPr>
            </w:pPr>
          </w:p>
        </w:tc>
      </w:tr>
      <w:tr>
        <w:tblPrEx>
          <w:tblW w:w="15460" w:type="dxa"/>
          <w:tblInd w:w="0" w:type="dxa"/>
          <w:tblBorders/>
          <w:shd w:val="clear" w:color="auto" w:fill="auto"/>
          <w:tblLayout w:type="fixed"/>
          <w:tblCellMar>
            <w:top w:w="0" w:type="dxa"/>
            <w:left w:w="108" w:type="dxa"/>
            <w:bottom w:w="0" w:type="dxa"/>
            <w:right w:w="108" w:type="dxa"/>
          </w:tblCellMar>
        </w:tblPrEx>
        <w:trPr>
          <w:trHeight w:val="285"/>
        </w:trPr>
        <w:tc>
          <w:tcPr>
            <w:tcW w:w="1383" w:type="dxa"/>
            <w:tcBorders>
              <w:top w:val="single" w:sz="4" w:space="0" w:color="auto"/>
              <w:left w:val="single" w:sz="4" w:space="0" w:color="auto"/>
              <w:bottom w:val="single" w:sz="4" w:space="0" w:color="auto"/>
              <w:right w:val="single" w:sz="4" w:space="0" w:color="auto"/>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项目名称</w:t>
            </w:r>
          </w:p>
        </w:tc>
        <w:tc>
          <w:tcPr>
            <w:tcW w:w="13841" w:type="dxa"/>
            <w:gridSpan w:val="8"/>
            <w:tcBorders>
              <w:top w:val="single" w:sz="4" w:space="0" w:color="auto"/>
              <w:left w:val="nil"/>
              <w:bottom w:val="single" w:sz="4" w:space="0" w:color="auto"/>
              <w:right w:val="single" w:sz="4" w:space="0" w:color="auto"/>
            </w:tcBorders>
            <w:shd w:val="clear" w:color="auto" w:fill="auto"/>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市级电子印章服务费</w:t>
            </w:r>
          </w:p>
        </w:tc>
        <w:tc>
          <w:tcPr>
            <w:tcW w:w="236" w:type="dxa"/>
            <w:tcBorders>
              <w:top w:val="nil"/>
              <w:left w:val="nil"/>
              <w:bottom w:val="nil"/>
              <w:right w:val="nil"/>
            </w:tcBorders>
            <w:shd w:val="clear" w:color="auto" w:fill="auto"/>
            <w:noWrap w:val="1"/>
            <w:vAlign w:val="center"/>
          </w:tcPr>
          <w:p>
            <w:pPr>
              <w:pStyle w:val="Normal_7ed055b3-1ea0-41a4-952f-4367d909e9a5"/>
              <w:widowControl/>
              <w:spacing w:before="0" w:after="0" w:line="240" w:lineRule="auto"/>
              <w:jc w:val="left"/>
              <w:rPr>
                <w:rFonts w:ascii="等线" w:eastAsia="等线" w:hAnsi="宋体" w:cs="宋体"/>
                <w:color w:val="000000"/>
                <w:kern w:val="0"/>
                <w:sz w:val="22"/>
              </w:rPr>
            </w:pPr>
          </w:p>
        </w:tc>
      </w:tr>
      <w:tr>
        <w:tblPrEx>
          <w:tblW w:w="15460" w:type="dxa"/>
          <w:tblInd w:w="0" w:type="dxa"/>
          <w:tblBorders/>
          <w:shd w:val="clear" w:color="auto" w:fill="auto"/>
          <w:tblLayout w:type="fixed"/>
          <w:tblCellMar>
            <w:top w:w="0" w:type="dxa"/>
            <w:left w:w="108" w:type="dxa"/>
            <w:bottom w:w="0" w:type="dxa"/>
            <w:right w:w="108" w:type="dxa"/>
          </w:tblCellMar>
        </w:tblPrEx>
        <w:trPr>
          <w:trHeight w:val="285"/>
        </w:trPr>
        <w:tc>
          <w:tcPr>
            <w:tcW w:w="1383" w:type="dxa"/>
            <w:tcBorders>
              <w:top w:val="single" w:sz="4" w:space="0" w:color="auto"/>
              <w:left w:val="single" w:sz="4" w:space="0" w:color="auto"/>
              <w:bottom w:val="single" w:sz="4" w:space="0" w:color="auto"/>
              <w:right w:val="single" w:sz="4" w:space="0" w:color="auto"/>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主管部门</w:t>
            </w:r>
          </w:p>
        </w:tc>
        <w:tc>
          <w:tcPr>
            <w:tcW w:w="4902" w:type="dxa"/>
            <w:gridSpan w:val="2"/>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许昌市政务服务和大数据管理局</w:t>
            </w:r>
          </w:p>
        </w:tc>
        <w:tc>
          <w:tcPr>
            <w:tcW w:w="4340" w:type="dxa"/>
            <w:gridSpan w:val="2"/>
            <w:tcBorders>
              <w:top w:val="single" w:sz="4" w:space="0" w:color="auto"/>
              <w:left w:val="nil"/>
              <w:bottom w:val="single" w:sz="4" w:space="0" w:color="auto"/>
              <w:right w:val="single" w:sz="4" w:space="0" w:color="auto"/>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实施单位</w:t>
            </w:r>
          </w:p>
        </w:tc>
        <w:tc>
          <w:tcPr>
            <w:tcW w:w="4599" w:type="dxa"/>
            <w:gridSpan w:val="4"/>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许昌市信息中心</w:t>
            </w:r>
          </w:p>
        </w:tc>
        <w:tc>
          <w:tcPr>
            <w:tcW w:w="236" w:type="dxa"/>
            <w:tcBorders>
              <w:top w:val="nil"/>
              <w:left w:val="nil"/>
              <w:bottom w:val="nil"/>
              <w:right w:val="nil"/>
            </w:tcBorders>
            <w:shd w:val="clear" w:color="auto" w:fill="auto"/>
            <w:noWrap w:val="1"/>
            <w:vAlign w:val="center"/>
          </w:tcPr>
          <w:p>
            <w:pPr>
              <w:pStyle w:val="Normal_7ed055b3-1ea0-41a4-952f-4367d909e9a5"/>
              <w:widowControl/>
              <w:spacing w:before="0" w:after="0" w:line="240" w:lineRule="auto"/>
              <w:jc w:val="left"/>
              <w:rPr>
                <w:rFonts w:ascii="等线" w:eastAsia="等线" w:hAnsi="宋体" w:cs="宋体"/>
                <w:color w:val="000000"/>
                <w:kern w:val="0"/>
                <w:sz w:val="22"/>
              </w:rPr>
            </w:pPr>
          </w:p>
        </w:tc>
      </w:tr>
      <w:tr>
        <w:tblPrEx>
          <w:tblW w:w="15460" w:type="dxa"/>
          <w:tblInd w:w="0" w:type="dxa"/>
          <w:tblBorders/>
          <w:shd w:val="clear" w:color="auto" w:fill="auto"/>
          <w:tblLayout w:type="fixed"/>
          <w:tblCellMar>
            <w:top w:w="0" w:type="dxa"/>
            <w:left w:w="108" w:type="dxa"/>
            <w:bottom w:w="0" w:type="dxa"/>
            <w:right w:w="108" w:type="dxa"/>
          </w:tblCellMar>
        </w:tblPrEx>
        <w:trPr>
          <w:trHeight w:val="285"/>
        </w:trPr>
        <w:tc>
          <w:tcPr>
            <w:tcW w:w="1383"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项目资金                (万元)</w:t>
            </w:r>
          </w:p>
        </w:tc>
        <w:tc>
          <w:tcPr>
            <w:tcW w:w="2269" w:type="dxa"/>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2633" w:type="dxa"/>
            <w:tcBorders>
              <w:top w:val="single" w:sz="4" w:space="0" w:color="auto"/>
              <w:left w:val="nil"/>
              <w:bottom w:val="single" w:sz="4" w:space="0" w:color="auto"/>
              <w:right w:val="single" w:sz="4" w:space="0" w:color="auto"/>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年初预算数</w:t>
            </w:r>
          </w:p>
        </w:tc>
        <w:tc>
          <w:tcPr>
            <w:tcW w:w="2074" w:type="dxa"/>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全年预算数</w:t>
            </w:r>
          </w:p>
        </w:tc>
        <w:tc>
          <w:tcPr>
            <w:tcW w:w="2266" w:type="dxa"/>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全年执行数</w:t>
            </w:r>
          </w:p>
        </w:tc>
        <w:tc>
          <w:tcPr>
            <w:tcW w:w="1160" w:type="dxa"/>
            <w:tcBorders>
              <w:top w:val="single" w:sz="4" w:space="0" w:color="auto"/>
              <w:left w:val="nil"/>
              <w:bottom w:val="single" w:sz="4" w:space="0" w:color="auto"/>
              <w:right w:val="single" w:sz="4" w:space="0" w:color="auto"/>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分值</w:t>
            </w:r>
          </w:p>
        </w:tc>
        <w:tc>
          <w:tcPr>
            <w:tcW w:w="1055" w:type="dxa"/>
            <w:tcBorders>
              <w:top w:val="nil"/>
              <w:left w:val="nil"/>
              <w:bottom w:val="single" w:sz="4" w:space="0" w:color="auto"/>
              <w:right w:val="single" w:sz="4" w:space="0" w:color="auto"/>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执行率</w:t>
            </w:r>
          </w:p>
        </w:tc>
        <w:tc>
          <w:tcPr>
            <w:tcW w:w="2384" w:type="dxa"/>
            <w:gridSpan w:val="2"/>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得分</w:t>
            </w:r>
          </w:p>
        </w:tc>
        <w:tc>
          <w:tcPr>
            <w:tcW w:w="236" w:type="dxa"/>
            <w:tcBorders>
              <w:top w:val="nil"/>
              <w:left w:val="nil"/>
              <w:bottom w:val="nil"/>
              <w:right w:val="nil"/>
            </w:tcBorders>
            <w:shd w:val="clear" w:color="auto" w:fill="auto"/>
            <w:noWrap w:val="1"/>
            <w:vAlign w:val="center"/>
          </w:tcPr>
          <w:p>
            <w:pPr>
              <w:pStyle w:val="Normal_7ed055b3-1ea0-41a4-952f-4367d909e9a5"/>
              <w:widowControl/>
              <w:spacing w:before="0" w:after="0" w:line="240" w:lineRule="auto"/>
              <w:jc w:val="left"/>
              <w:rPr>
                <w:rFonts w:ascii="等线" w:eastAsia="等线" w:hAnsi="宋体" w:cs="宋体"/>
                <w:color w:val="000000"/>
                <w:kern w:val="0"/>
                <w:sz w:val="22"/>
              </w:rPr>
            </w:pPr>
          </w:p>
        </w:tc>
      </w:tr>
      <w:tr>
        <w:tblPrEx>
          <w:tblW w:w="15460" w:type="dxa"/>
          <w:tblInd w:w="0" w:type="dxa"/>
          <w:tblBorders/>
          <w:shd w:val="clear" w:color="auto" w:fill="auto"/>
          <w:tblLayout w:type="fixed"/>
          <w:tblCellMar>
            <w:top w:w="0" w:type="dxa"/>
            <w:left w:w="108" w:type="dxa"/>
            <w:bottom w:w="0" w:type="dxa"/>
            <w:right w:w="108" w:type="dxa"/>
          </w:tblCellMar>
        </w:tblPrEx>
        <w:trPr>
          <w:trHeight w:val="315"/>
        </w:trPr>
        <w:tc>
          <w:tcPr>
            <w:tcW w:w="1383" w:type="dxa"/>
            <w:vMerge/>
            <w:tcBorders>
              <w:top w:val="single" w:sz="4" w:space="0" w:color="auto"/>
              <w:left w:val="single" w:sz="4" w:space="0" w:color="auto"/>
              <w:bottom w:val="single" w:sz="4" w:space="0" w:color="000000"/>
              <w:right w:val="single" w:sz="4" w:space="0" w:color="000000"/>
            </w:tcBorders>
            <w:vAlign w:val="center"/>
          </w:tcPr>
          <w:p>
            <w:pPr>
              <w:pStyle w:val="Normal_7ed055b3-1ea0-41a4-952f-4367d909e9a5"/>
              <w:widowControl/>
              <w:spacing w:before="0" w:after="0" w:line="240" w:lineRule="auto"/>
              <w:jc w:val="left"/>
              <w:rPr>
                <w:rFonts w:ascii="宋体" w:eastAsia="宋体" w:hAnsi="宋体" w:cs="宋体"/>
                <w:color w:val="000000"/>
                <w:kern w:val="0"/>
                <w:sz w:val="24"/>
                <w:szCs w:val="24"/>
              </w:rPr>
            </w:pPr>
          </w:p>
        </w:tc>
        <w:tc>
          <w:tcPr>
            <w:tcW w:w="2269" w:type="dxa"/>
            <w:tcBorders>
              <w:top w:val="single" w:sz="4" w:space="0" w:color="auto"/>
              <w:left w:val="nil"/>
              <w:bottom w:val="single" w:sz="4" w:space="0" w:color="auto"/>
              <w:right w:val="single" w:sz="4" w:space="0" w:color="auto"/>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年度资金总额：</w:t>
            </w:r>
          </w:p>
        </w:tc>
        <w:tc>
          <w:tcPr>
            <w:tcW w:w="2633" w:type="dxa"/>
            <w:tcBorders>
              <w:top w:val="single" w:sz="4" w:space="0" w:color="auto"/>
              <w:left w:val="nil"/>
              <w:bottom w:val="single" w:sz="4" w:space="0" w:color="auto"/>
              <w:right w:val="single" w:sz="4" w:space="0" w:color="auto"/>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6.11</w:t>
            </w:r>
          </w:p>
        </w:tc>
        <w:tc>
          <w:tcPr>
            <w:tcW w:w="2074" w:type="dxa"/>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6.11</w:t>
            </w:r>
          </w:p>
        </w:tc>
        <w:tc>
          <w:tcPr>
            <w:tcW w:w="2266" w:type="dxa"/>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6.11</w:t>
            </w:r>
          </w:p>
        </w:tc>
        <w:tc>
          <w:tcPr>
            <w:tcW w:w="1160" w:type="dxa"/>
            <w:tcBorders>
              <w:top w:val="single" w:sz="4" w:space="0" w:color="auto"/>
              <w:left w:val="nil"/>
              <w:bottom w:val="single" w:sz="4" w:space="0" w:color="auto"/>
              <w:right w:val="single" w:sz="4" w:space="0" w:color="auto"/>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10</w:t>
            </w:r>
          </w:p>
        </w:tc>
        <w:tc>
          <w:tcPr>
            <w:tcW w:w="1055" w:type="dxa"/>
            <w:tcBorders>
              <w:top w:val="nil"/>
              <w:left w:val="nil"/>
              <w:bottom w:val="single" w:sz="4" w:space="0" w:color="auto"/>
              <w:right w:val="single" w:sz="4" w:space="0" w:color="auto"/>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100 %</w:t>
            </w:r>
          </w:p>
        </w:tc>
        <w:tc>
          <w:tcPr>
            <w:tcW w:w="2384" w:type="dxa"/>
            <w:gridSpan w:val="2"/>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10</w:t>
            </w:r>
          </w:p>
        </w:tc>
        <w:tc>
          <w:tcPr>
            <w:tcW w:w="236" w:type="dxa"/>
            <w:tcBorders>
              <w:top w:val="nil"/>
              <w:left w:val="nil"/>
              <w:bottom w:val="nil"/>
              <w:right w:val="nil"/>
            </w:tcBorders>
            <w:shd w:val="clear" w:color="auto" w:fill="auto"/>
            <w:noWrap w:val="1"/>
            <w:vAlign w:val="center"/>
          </w:tcPr>
          <w:p>
            <w:pPr>
              <w:pStyle w:val="Normal_7ed055b3-1ea0-41a4-952f-4367d909e9a5"/>
              <w:widowControl/>
              <w:spacing w:before="0" w:after="0" w:line="240" w:lineRule="auto"/>
              <w:jc w:val="left"/>
              <w:rPr>
                <w:rFonts w:ascii="等线" w:eastAsia="等线" w:hAnsi="宋体" w:cs="宋体"/>
                <w:color w:val="000000"/>
                <w:kern w:val="0"/>
                <w:sz w:val="22"/>
              </w:rPr>
            </w:pPr>
          </w:p>
        </w:tc>
      </w:tr>
      <w:tr>
        <w:tblPrEx>
          <w:tblW w:w="15460" w:type="dxa"/>
          <w:tblInd w:w="0" w:type="dxa"/>
          <w:tblBorders/>
          <w:shd w:val="clear" w:color="auto" w:fill="auto"/>
          <w:tblLayout w:type="fixed"/>
          <w:tblCellMar>
            <w:top w:w="0" w:type="dxa"/>
            <w:left w:w="108" w:type="dxa"/>
            <w:bottom w:w="0" w:type="dxa"/>
            <w:right w:w="108" w:type="dxa"/>
          </w:tblCellMar>
        </w:tblPrEx>
        <w:trPr>
          <w:trHeight w:val="285"/>
        </w:trPr>
        <w:tc>
          <w:tcPr>
            <w:tcW w:w="1383" w:type="dxa"/>
            <w:vMerge/>
            <w:tcBorders>
              <w:top w:val="single" w:sz="4" w:space="0" w:color="auto"/>
              <w:left w:val="single" w:sz="4" w:space="0" w:color="auto"/>
              <w:bottom w:val="single" w:sz="4" w:space="0" w:color="000000"/>
              <w:right w:val="single" w:sz="4" w:space="0" w:color="000000"/>
            </w:tcBorders>
            <w:vAlign w:val="center"/>
          </w:tcPr>
          <w:p>
            <w:pPr>
              <w:pStyle w:val="Normal_7ed055b3-1ea0-41a4-952f-4367d909e9a5"/>
              <w:widowControl/>
              <w:spacing w:before="0" w:after="0" w:line="240" w:lineRule="auto"/>
              <w:jc w:val="left"/>
              <w:rPr>
                <w:rFonts w:ascii="宋体" w:eastAsia="宋体" w:hAnsi="宋体" w:cs="宋体"/>
                <w:color w:val="000000"/>
                <w:kern w:val="0"/>
                <w:sz w:val="24"/>
                <w:szCs w:val="24"/>
              </w:rPr>
            </w:pPr>
          </w:p>
        </w:tc>
        <w:tc>
          <w:tcPr>
            <w:tcW w:w="2269" w:type="dxa"/>
            <w:tcBorders>
              <w:top w:val="single" w:sz="4" w:space="0" w:color="auto"/>
              <w:left w:val="nil"/>
              <w:bottom w:val="single" w:sz="4" w:space="0" w:color="auto"/>
              <w:right w:val="single" w:sz="4" w:space="0" w:color="auto"/>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财政拨款</w:t>
            </w:r>
          </w:p>
        </w:tc>
        <w:tc>
          <w:tcPr>
            <w:tcW w:w="2633" w:type="dxa"/>
            <w:tcBorders>
              <w:top w:val="single" w:sz="4" w:space="0" w:color="auto"/>
              <w:left w:val="nil"/>
              <w:bottom w:val="single" w:sz="4" w:space="0" w:color="auto"/>
              <w:right w:val="single" w:sz="4" w:space="0" w:color="auto"/>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6.11</w:t>
            </w:r>
          </w:p>
        </w:tc>
        <w:tc>
          <w:tcPr>
            <w:tcW w:w="2074" w:type="dxa"/>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6.11</w:t>
            </w:r>
          </w:p>
        </w:tc>
        <w:tc>
          <w:tcPr>
            <w:tcW w:w="2266" w:type="dxa"/>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6.11</w:t>
            </w:r>
          </w:p>
        </w:tc>
        <w:tc>
          <w:tcPr>
            <w:tcW w:w="1160" w:type="dxa"/>
            <w:tcBorders>
              <w:top w:val="single" w:sz="4" w:space="0" w:color="auto"/>
              <w:left w:val="nil"/>
              <w:bottom w:val="single" w:sz="4" w:space="0" w:color="auto"/>
              <w:right w:val="single" w:sz="4" w:space="0" w:color="auto"/>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w:t>
            </w:r>
          </w:p>
        </w:tc>
        <w:tc>
          <w:tcPr>
            <w:tcW w:w="1055" w:type="dxa"/>
            <w:tcBorders>
              <w:top w:val="nil"/>
              <w:left w:val="nil"/>
              <w:bottom w:val="single" w:sz="4" w:space="0" w:color="auto"/>
              <w:right w:val="single" w:sz="4" w:space="0" w:color="auto"/>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100 %</w:t>
            </w:r>
          </w:p>
        </w:tc>
        <w:tc>
          <w:tcPr>
            <w:tcW w:w="2384" w:type="dxa"/>
            <w:gridSpan w:val="2"/>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w:t>
            </w:r>
          </w:p>
        </w:tc>
        <w:tc>
          <w:tcPr>
            <w:tcW w:w="236" w:type="dxa"/>
            <w:tcBorders>
              <w:top w:val="nil"/>
              <w:left w:val="nil"/>
              <w:bottom w:val="nil"/>
              <w:right w:val="nil"/>
            </w:tcBorders>
            <w:shd w:val="clear" w:color="auto" w:fill="auto"/>
            <w:noWrap w:val="1"/>
            <w:vAlign w:val="center"/>
          </w:tcPr>
          <w:p>
            <w:pPr>
              <w:pStyle w:val="Normal_7ed055b3-1ea0-41a4-952f-4367d909e9a5"/>
              <w:widowControl/>
              <w:spacing w:before="0" w:after="0" w:line="240" w:lineRule="auto"/>
              <w:jc w:val="left"/>
              <w:rPr>
                <w:rFonts w:ascii="等线" w:eastAsia="等线" w:hAnsi="宋体" w:cs="宋体"/>
                <w:color w:val="000000"/>
                <w:kern w:val="0"/>
                <w:sz w:val="22"/>
              </w:rPr>
            </w:pPr>
          </w:p>
        </w:tc>
      </w:tr>
      <w:tr>
        <w:tblPrEx>
          <w:tblW w:w="15460" w:type="dxa"/>
          <w:tblInd w:w="0" w:type="dxa"/>
          <w:tblBorders/>
          <w:shd w:val="clear" w:color="auto" w:fill="auto"/>
          <w:tblLayout w:type="fixed"/>
          <w:tblCellMar>
            <w:top w:w="0" w:type="dxa"/>
            <w:left w:w="108" w:type="dxa"/>
            <w:bottom w:w="0" w:type="dxa"/>
            <w:right w:w="108" w:type="dxa"/>
          </w:tblCellMar>
        </w:tblPrEx>
        <w:trPr>
          <w:trHeight w:val="285"/>
        </w:trPr>
        <w:tc>
          <w:tcPr>
            <w:tcW w:w="1383" w:type="dxa"/>
            <w:vMerge/>
            <w:tcBorders>
              <w:top w:val="single" w:sz="4" w:space="0" w:color="auto"/>
              <w:left w:val="single" w:sz="4" w:space="0" w:color="auto"/>
              <w:bottom w:val="single" w:sz="4" w:space="0" w:color="000000"/>
              <w:right w:val="single" w:sz="4" w:space="0" w:color="000000"/>
            </w:tcBorders>
            <w:vAlign w:val="center"/>
          </w:tcPr>
          <w:p>
            <w:pPr>
              <w:pStyle w:val="Normal_7ed055b3-1ea0-41a4-952f-4367d909e9a5"/>
              <w:widowControl/>
              <w:spacing w:before="0" w:after="0" w:line="240" w:lineRule="auto"/>
              <w:jc w:val="left"/>
              <w:rPr>
                <w:rFonts w:ascii="宋体" w:eastAsia="宋体" w:hAnsi="宋体" w:cs="宋体"/>
                <w:color w:val="000000"/>
                <w:kern w:val="0"/>
                <w:sz w:val="24"/>
                <w:szCs w:val="24"/>
              </w:rPr>
            </w:pPr>
          </w:p>
        </w:tc>
        <w:tc>
          <w:tcPr>
            <w:tcW w:w="2269" w:type="dxa"/>
            <w:tcBorders>
              <w:top w:val="single" w:sz="4" w:space="0" w:color="auto"/>
              <w:left w:val="nil"/>
              <w:bottom w:val="single" w:sz="4" w:space="0" w:color="auto"/>
              <w:right w:val="single" w:sz="4" w:space="0" w:color="auto"/>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财政专户管理资金</w:t>
            </w:r>
          </w:p>
        </w:tc>
        <w:tc>
          <w:tcPr>
            <w:tcW w:w="2633" w:type="dxa"/>
            <w:tcBorders>
              <w:top w:val="single" w:sz="4" w:space="0" w:color="auto"/>
              <w:left w:val="nil"/>
              <w:bottom w:val="single" w:sz="4" w:space="0" w:color="auto"/>
              <w:right w:val="single" w:sz="4" w:space="0" w:color="auto"/>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0</w:t>
            </w:r>
          </w:p>
        </w:tc>
        <w:tc>
          <w:tcPr>
            <w:tcW w:w="2074" w:type="dxa"/>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0</w:t>
            </w:r>
          </w:p>
        </w:tc>
        <w:tc>
          <w:tcPr>
            <w:tcW w:w="2266" w:type="dxa"/>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0</w:t>
            </w:r>
          </w:p>
        </w:tc>
        <w:tc>
          <w:tcPr>
            <w:tcW w:w="1160" w:type="dxa"/>
            <w:tcBorders>
              <w:top w:val="single" w:sz="4" w:space="0" w:color="auto"/>
              <w:left w:val="nil"/>
              <w:bottom w:val="single" w:sz="4" w:space="0" w:color="auto"/>
              <w:right w:val="single" w:sz="4" w:space="0" w:color="auto"/>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w:t>
            </w:r>
          </w:p>
        </w:tc>
        <w:tc>
          <w:tcPr>
            <w:tcW w:w="1055" w:type="dxa"/>
            <w:tcBorders>
              <w:top w:val="nil"/>
              <w:left w:val="nil"/>
              <w:bottom w:val="single" w:sz="4" w:space="0" w:color="auto"/>
              <w:right w:val="single" w:sz="4" w:space="0" w:color="auto"/>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0.00%</w:t>
            </w:r>
          </w:p>
        </w:tc>
        <w:tc>
          <w:tcPr>
            <w:tcW w:w="2384" w:type="dxa"/>
            <w:gridSpan w:val="2"/>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w:t>
            </w:r>
          </w:p>
        </w:tc>
        <w:tc>
          <w:tcPr>
            <w:tcW w:w="236" w:type="dxa"/>
            <w:tcBorders>
              <w:top w:val="nil"/>
              <w:left w:val="nil"/>
              <w:bottom w:val="nil"/>
              <w:right w:val="nil"/>
            </w:tcBorders>
            <w:shd w:val="clear" w:color="auto" w:fill="auto"/>
            <w:noWrap w:val="1"/>
            <w:vAlign w:val="center"/>
          </w:tcPr>
          <w:p>
            <w:pPr>
              <w:pStyle w:val="Normal_7ed055b3-1ea0-41a4-952f-4367d909e9a5"/>
              <w:widowControl/>
              <w:spacing w:before="0" w:after="0" w:line="240" w:lineRule="auto"/>
              <w:jc w:val="left"/>
              <w:rPr>
                <w:rFonts w:ascii="等线" w:eastAsia="等线" w:hAnsi="宋体" w:cs="宋体"/>
                <w:color w:val="000000"/>
                <w:kern w:val="0"/>
                <w:sz w:val="22"/>
              </w:rPr>
            </w:pPr>
          </w:p>
        </w:tc>
      </w:tr>
      <w:tr>
        <w:tblPrEx>
          <w:tblW w:w="15460" w:type="dxa"/>
          <w:tblInd w:w="0" w:type="dxa"/>
          <w:tblBorders/>
          <w:shd w:val="clear" w:color="auto" w:fill="auto"/>
          <w:tblLayout w:type="fixed"/>
          <w:tblCellMar>
            <w:top w:w="0" w:type="dxa"/>
            <w:left w:w="108" w:type="dxa"/>
            <w:bottom w:w="0" w:type="dxa"/>
            <w:right w:w="108" w:type="dxa"/>
          </w:tblCellMar>
        </w:tblPrEx>
        <w:trPr>
          <w:trHeight w:val="285"/>
        </w:trPr>
        <w:tc>
          <w:tcPr>
            <w:tcW w:w="1383" w:type="dxa"/>
            <w:vMerge/>
            <w:tcBorders>
              <w:top w:val="single" w:sz="4" w:space="0" w:color="auto"/>
              <w:left w:val="single" w:sz="4" w:space="0" w:color="auto"/>
              <w:bottom w:val="single" w:sz="4" w:space="0" w:color="000000"/>
              <w:right w:val="single" w:sz="4" w:space="0" w:color="000000"/>
            </w:tcBorders>
            <w:vAlign w:val="center"/>
          </w:tcPr>
          <w:p>
            <w:pPr>
              <w:pStyle w:val="Normal_7ed055b3-1ea0-41a4-952f-4367d909e9a5"/>
              <w:widowControl/>
              <w:spacing w:before="0" w:after="0" w:line="240" w:lineRule="auto"/>
              <w:jc w:val="left"/>
              <w:rPr>
                <w:rFonts w:ascii="宋体" w:eastAsia="宋体" w:hAnsi="宋体" w:cs="宋体"/>
                <w:color w:val="000000"/>
                <w:kern w:val="0"/>
                <w:sz w:val="24"/>
                <w:szCs w:val="24"/>
              </w:rPr>
            </w:pPr>
          </w:p>
        </w:tc>
        <w:tc>
          <w:tcPr>
            <w:tcW w:w="2269" w:type="dxa"/>
            <w:tcBorders>
              <w:top w:val="single" w:sz="4" w:space="0" w:color="auto"/>
              <w:left w:val="nil"/>
              <w:bottom w:val="single" w:sz="4" w:space="0" w:color="auto"/>
              <w:right w:val="single" w:sz="4" w:space="0" w:color="auto"/>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单位资金</w:t>
            </w:r>
          </w:p>
        </w:tc>
        <w:tc>
          <w:tcPr>
            <w:tcW w:w="2633" w:type="dxa"/>
            <w:tcBorders>
              <w:top w:val="single" w:sz="4" w:space="0" w:color="auto"/>
              <w:left w:val="nil"/>
              <w:bottom w:val="single" w:sz="4" w:space="0" w:color="auto"/>
              <w:right w:val="single" w:sz="4" w:space="0" w:color="auto"/>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0</w:t>
            </w:r>
          </w:p>
        </w:tc>
        <w:tc>
          <w:tcPr>
            <w:tcW w:w="2074" w:type="dxa"/>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0</w:t>
            </w:r>
          </w:p>
        </w:tc>
        <w:tc>
          <w:tcPr>
            <w:tcW w:w="2266" w:type="dxa"/>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0</w:t>
            </w:r>
          </w:p>
        </w:tc>
        <w:tc>
          <w:tcPr>
            <w:tcW w:w="1160" w:type="dxa"/>
            <w:tcBorders>
              <w:top w:val="single" w:sz="4" w:space="0" w:color="auto"/>
              <w:left w:val="nil"/>
              <w:bottom w:val="single" w:sz="4" w:space="0" w:color="auto"/>
              <w:right w:val="single" w:sz="4" w:space="0" w:color="auto"/>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w:t>
            </w:r>
          </w:p>
        </w:tc>
        <w:tc>
          <w:tcPr>
            <w:tcW w:w="1055" w:type="dxa"/>
            <w:tcBorders>
              <w:top w:val="nil"/>
              <w:left w:val="nil"/>
              <w:bottom w:val="single" w:sz="4" w:space="0" w:color="auto"/>
              <w:right w:val="single" w:sz="4" w:space="0" w:color="auto"/>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0.00%</w:t>
            </w:r>
          </w:p>
        </w:tc>
        <w:tc>
          <w:tcPr>
            <w:tcW w:w="2384" w:type="dxa"/>
            <w:gridSpan w:val="2"/>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w:t>
            </w:r>
          </w:p>
        </w:tc>
        <w:tc>
          <w:tcPr>
            <w:tcW w:w="236" w:type="dxa"/>
            <w:tcBorders>
              <w:top w:val="nil"/>
              <w:left w:val="nil"/>
              <w:bottom w:val="nil"/>
              <w:right w:val="nil"/>
            </w:tcBorders>
            <w:shd w:val="clear" w:color="auto" w:fill="auto"/>
            <w:noWrap w:val="1"/>
            <w:vAlign w:val="center"/>
          </w:tcPr>
          <w:p>
            <w:pPr>
              <w:pStyle w:val="Normal_7ed055b3-1ea0-41a4-952f-4367d909e9a5"/>
              <w:widowControl/>
              <w:spacing w:before="0" w:after="0" w:line="240" w:lineRule="auto"/>
              <w:jc w:val="left"/>
              <w:rPr>
                <w:rFonts w:ascii="等线" w:eastAsia="等线" w:hAnsi="宋体" w:cs="宋体"/>
                <w:color w:val="000000"/>
                <w:kern w:val="0"/>
                <w:sz w:val="22"/>
              </w:rPr>
            </w:pPr>
          </w:p>
        </w:tc>
      </w:tr>
      <w:tr>
        <w:tblPrEx>
          <w:tblW w:w="15460" w:type="dxa"/>
          <w:tblInd w:w="0" w:type="dxa"/>
          <w:tblBorders/>
          <w:shd w:val="clear" w:color="auto" w:fill="auto"/>
          <w:tblLayout w:type="fixed"/>
          <w:tblCellMar>
            <w:top w:w="0" w:type="dxa"/>
            <w:left w:w="108" w:type="dxa"/>
            <w:bottom w:w="0" w:type="dxa"/>
            <w:right w:w="108" w:type="dxa"/>
          </w:tblCellMar>
        </w:tblPrEx>
        <w:trPr>
          <w:trHeight w:val="285"/>
        </w:trPr>
        <w:tc>
          <w:tcPr>
            <w:tcW w:w="1383"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资金管理情况</w:t>
            </w:r>
          </w:p>
        </w:tc>
        <w:tc>
          <w:tcPr>
            <w:tcW w:w="4902" w:type="dxa"/>
            <w:gridSpan w:val="2"/>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4340" w:type="dxa"/>
            <w:gridSpan w:val="2"/>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情况说明</w:t>
            </w:r>
          </w:p>
        </w:tc>
        <w:tc>
          <w:tcPr>
            <w:tcW w:w="1160" w:type="dxa"/>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分值（20）</w:t>
            </w:r>
          </w:p>
        </w:tc>
        <w:tc>
          <w:tcPr>
            <w:tcW w:w="1055" w:type="dxa"/>
            <w:tcBorders>
              <w:top w:val="nil"/>
              <w:left w:val="nil"/>
              <w:bottom w:val="single" w:sz="4" w:space="0" w:color="auto"/>
              <w:right w:val="single" w:sz="4" w:space="0" w:color="auto"/>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得分</w:t>
            </w:r>
          </w:p>
        </w:tc>
        <w:tc>
          <w:tcPr>
            <w:tcW w:w="2384" w:type="dxa"/>
            <w:gridSpan w:val="2"/>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存在问题和改进措施</w:t>
            </w:r>
          </w:p>
        </w:tc>
        <w:tc>
          <w:tcPr>
            <w:tcW w:w="236" w:type="dxa"/>
            <w:tcBorders>
              <w:top w:val="nil"/>
              <w:left w:val="nil"/>
              <w:bottom w:val="nil"/>
              <w:right w:val="nil"/>
            </w:tcBorders>
            <w:shd w:val="clear" w:color="auto" w:fill="auto"/>
            <w:noWrap w:val="1"/>
            <w:vAlign w:val="center"/>
          </w:tcPr>
          <w:p>
            <w:pPr>
              <w:pStyle w:val="Normal_7ed055b3-1ea0-41a4-952f-4367d909e9a5"/>
              <w:widowControl/>
              <w:spacing w:before="0" w:after="0" w:line="240" w:lineRule="auto"/>
              <w:jc w:val="left"/>
              <w:rPr>
                <w:rFonts w:ascii="等线" w:eastAsia="等线" w:hAnsi="宋体" w:cs="宋体"/>
                <w:color w:val="000000"/>
                <w:kern w:val="0"/>
                <w:sz w:val="22"/>
              </w:rPr>
            </w:pPr>
          </w:p>
        </w:tc>
      </w:tr>
      <w:tr>
        <w:tblPrEx>
          <w:tblW w:w="15460" w:type="dxa"/>
          <w:tblInd w:w="0" w:type="dxa"/>
          <w:tblBorders/>
          <w:shd w:val="clear" w:color="auto" w:fill="auto"/>
          <w:tblLayout w:type="fixed"/>
          <w:tblCellMar>
            <w:top w:w="0" w:type="dxa"/>
            <w:left w:w="108" w:type="dxa"/>
            <w:bottom w:w="0" w:type="dxa"/>
            <w:right w:w="108" w:type="dxa"/>
          </w:tblCellMar>
        </w:tblPrEx>
        <w:trPr>
          <w:trHeight w:val="285"/>
        </w:trPr>
        <w:tc>
          <w:tcPr>
            <w:tcW w:w="1383" w:type="dxa"/>
            <w:vMerge/>
            <w:tcBorders>
              <w:top w:val="single" w:sz="4" w:space="0" w:color="auto"/>
              <w:left w:val="single" w:sz="4" w:space="0" w:color="auto"/>
              <w:bottom w:val="single" w:sz="4" w:space="0" w:color="000000"/>
              <w:right w:val="single" w:sz="4" w:space="0" w:color="000000"/>
            </w:tcBorders>
            <w:vAlign w:val="center"/>
          </w:tcPr>
          <w:p>
            <w:pPr>
              <w:pStyle w:val="Normal_7ed055b3-1ea0-41a4-952f-4367d909e9a5"/>
              <w:widowControl/>
              <w:spacing w:before="0" w:after="0" w:line="240" w:lineRule="auto"/>
              <w:jc w:val="left"/>
              <w:rPr>
                <w:rFonts w:ascii="宋体" w:eastAsia="宋体" w:hAnsi="宋体" w:cs="宋体"/>
                <w:color w:val="000000"/>
                <w:kern w:val="0"/>
                <w:sz w:val="24"/>
                <w:szCs w:val="24"/>
              </w:rPr>
            </w:pPr>
          </w:p>
        </w:tc>
        <w:tc>
          <w:tcPr>
            <w:tcW w:w="4902" w:type="dxa"/>
            <w:gridSpan w:val="2"/>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安排科学性</w:t>
            </w:r>
          </w:p>
        </w:tc>
        <w:tc>
          <w:tcPr>
            <w:tcW w:w="4340" w:type="dxa"/>
            <w:gridSpan w:val="2"/>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根据省“放管服”领导小组统一安排，各地市需制作电子印章落实“减证便民”政策。</w:t>
            </w:r>
          </w:p>
        </w:tc>
        <w:tc>
          <w:tcPr>
            <w:tcW w:w="1160" w:type="dxa"/>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5</w:t>
            </w:r>
          </w:p>
        </w:tc>
        <w:tc>
          <w:tcPr>
            <w:tcW w:w="1055" w:type="dxa"/>
            <w:tcBorders>
              <w:top w:val="nil"/>
              <w:left w:val="nil"/>
              <w:bottom w:val="single" w:sz="4" w:space="0" w:color="auto"/>
              <w:right w:val="single" w:sz="4" w:space="0" w:color="auto"/>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5</w:t>
            </w:r>
          </w:p>
        </w:tc>
        <w:tc>
          <w:tcPr>
            <w:tcW w:w="2384" w:type="dxa"/>
            <w:gridSpan w:val="2"/>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236" w:type="dxa"/>
            <w:tcBorders>
              <w:top w:val="nil"/>
              <w:left w:val="nil"/>
              <w:bottom w:val="nil"/>
              <w:right w:val="nil"/>
            </w:tcBorders>
            <w:shd w:val="clear" w:color="auto" w:fill="auto"/>
            <w:noWrap w:val="1"/>
            <w:vAlign w:val="center"/>
          </w:tcPr>
          <w:p>
            <w:pPr>
              <w:pStyle w:val="Normal_7ed055b3-1ea0-41a4-952f-4367d909e9a5"/>
              <w:widowControl/>
              <w:spacing w:before="0" w:after="0" w:line="240" w:lineRule="auto"/>
              <w:jc w:val="left"/>
              <w:rPr>
                <w:rFonts w:ascii="等线" w:eastAsia="等线" w:hAnsi="宋体" w:cs="宋体"/>
                <w:color w:val="000000"/>
                <w:kern w:val="0"/>
                <w:sz w:val="22"/>
              </w:rPr>
            </w:pPr>
          </w:p>
        </w:tc>
      </w:tr>
      <w:tr>
        <w:tblPrEx>
          <w:tblW w:w="15460" w:type="dxa"/>
          <w:tblInd w:w="0" w:type="dxa"/>
          <w:tblBorders/>
          <w:shd w:val="clear" w:color="auto" w:fill="auto"/>
          <w:tblLayout w:type="fixed"/>
          <w:tblCellMar>
            <w:top w:w="0" w:type="dxa"/>
            <w:left w:w="108" w:type="dxa"/>
            <w:bottom w:w="0" w:type="dxa"/>
            <w:right w:w="108" w:type="dxa"/>
          </w:tblCellMar>
        </w:tblPrEx>
        <w:trPr>
          <w:trHeight w:val="285"/>
        </w:trPr>
        <w:tc>
          <w:tcPr>
            <w:tcW w:w="1383" w:type="dxa"/>
            <w:vMerge/>
            <w:tcBorders>
              <w:top w:val="single" w:sz="4" w:space="0" w:color="auto"/>
              <w:left w:val="single" w:sz="4" w:space="0" w:color="auto"/>
              <w:bottom w:val="single" w:sz="4" w:space="0" w:color="000000"/>
              <w:right w:val="single" w:sz="4" w:space="0" w:color="000000"/>
            </w:tcBorders>
            <w:vAlign w:val="center"/>
          </w:tcPr>
          <w:p>
            <w:pPr>
              <w:pStyle w:val="Normal_7ed055b3-1ea0-41a4-952f-4367d909e9a5"/>
              <w:widowControl/>
              <w:spacing w:before="0" w:after="0" w:line="240" w:lineRule="auto"/>
              <w:jc w:val="left"/>
              <w:rPr>
                <w:rFonts w:ascii="宋体" w:eastAsia="宋体" w:hAnsi="宋体" w:cs="宋体"/>
                <w:color w:val="000000"/>
                <w:kern w:val="0"/>
                <w:sz w:val="24"/>
                <w:szCs w:val="24"/>
              </w:rPr>
            </w:pPr>
          </w:p>
        </w:tc>
        <w:tc>
          <w:tcPr>
            <w:tcW w:w="4902" w:type="dxa"/>
            <w:gridSpan w:val="2"/>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拨付合规性</w:t>
            </w:r>
          </w:p>
        </w:tc>
        <w:tc>
          <w:tcPr>
            <w:tcW w:w="4340" w:type="dxa"/>
            <w:gridSpan w:val="2"/>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严格按照国库集中支付制度有关规定支付资金，未出现违规将资金从国库准入财政专户或支付到实有账户等问题。</w:t>
            </w:r>
          </w:p>
        </w:tc>
        <w:tc>
          <w:tcPr>
            <w:tcW w:w="1160" w:type="dxa"/>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5</w:t>
            </w:r>
          </w:p>
        </w:tc>
        <w:tc>
          <w:tcPr>
            <w:tcW w:w="1055" w:type="dxa"/>
            <w:tcBorders>
              <w:top w:val="nil"/>
              <w:left w:val="nil"/>
              <w:bottom w:val="single" w:sz="4" w:space="0" w:color="auto"/>
              <w:right w:val="single" w:sz="4" w:space="0" w:color="auto"/>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5</w:t>
            </w:r>
          </w:p>
        </w:tc>
        <w:tc>
          <w:tcPr>
            <w:tcW w:w="2384" w:type="dxa"/>
            <w:gridSpan w:val="2"/>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236" w:type="dxa"/>
            <w:tcBorders>
              <w:top w:val="nil"/>
              <w:left w:val="nil"/>
              <w:bottom w:val="nil"/>
              <w:right w:val="nil"/>
            </w:tcBorders>
            <w:shd w:val="clear" w:color="auto" w:fill="auto"/>
            <w:noWrap w:val="1"/>
            <w:vAlign w:val="center"/>
          </w:tcPr>
          <w:p>
            <w:pPr>
              <w:pStyle w:val="Normal_7ed055b3-1ea0-41a4-952f-4367d909e9a5"/>
              <w:widowControl/>
              <w:spacing w:before="0" w:after="0" w:line="240" w:lineRule="auto"/>
              <w:jc w:val="left"/>
              <w:rPr>
                <w:rFonts w:ascii="等线" w:eastAsia="等线" w:hAnsi="宋体" w:cs="宋体"/>
                <w:color w:val="000000"/>
                <w:kern w:val="0"/>
                <w:sz w:val="22"/>
              </w:rPr>
            </w:pPr>
          </w:p>
        </w:tc>
      </w:tr>
      <w:tr>
        <w:tblPrEx>
          <w:tblW w:w="15460" w:type="dxa"/>
          <w:tblInd w:w="0" w:type="dxa"/>
          <w:tblBorders/>
          <w:shd w:val="clear" w:color="auto" w:fill="auto"/>
          <w:tblLayout w:type="fixed"/>
          <w:tblCellMar>
            <w:top w:w="0" w:type="dxa"/>
            <w:left w:w="108" w:type="dxa"/>
            <w:bottom w:w="0" w:type="dxa"/>
            <w:right w:w="108" w:type="dxa"/>
          </w:tblCellMar>
        </w:tblPrEx>
        <w:trPr>
          <w:trHeight w:val="285"/>
        </w:trPr>
        <w:tc>
          <w:tcPr>
            <w:tcW w:w="1383" w:type="dxa"/>
            <w:vMerge/>
            <w:tcBorders>
              <w:top w:val="single" w:sz="4" w:space="0" w:color="auto"/>
              <w:left w:val="single" w:sz="4" w:space="0" w:color="auto"/>
              <w:bottom w:val="single" w:sz="4" w:space="0" w:color="000000"/>
              <w:right w:val="single" w:sz="4" w:space="0" w:color="000000"/>
            </w:tcBorders>
            <w:vAlign w:val="center"/>
          </w:tcPr>
          <w:p>
            <w:pPr>
              <w:pStyle w:val="Normal_7ed055b3-1ea0-41a4-952f-4367d909e9a5"/>
              <w:widowControl/>
              <w:spacing w:before="0" w:after="0" w:line="240" w:lineRule="auto"/>
              <w:jc w:val="left"/>
              <w:rPr>
                <w:rFonts w:ascii="宋体" w:eastAsia="宋体" w:hAnsi="宋体" w:cs="宋体"/>
                <w:color w:val="000000"/>
                <w:kern w:val="0"/>
                <w:sz w:val="24"/>
                <w:szCs w:val="24"/>
              </w:rPr>
            </w:pPr>
          </w:p>
        </w:tc>
        <w:tc>
          <w:tcPr>
            <w:tcW w:w="4902" w:type="dxa"/>
            <w:gridSpan w:val="2"/>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使用规范性</w:t>
            </w:r>
          </w:p>
        </w:tc>
        <w:tc>
          <w:tcPr>
            <w:tcW w:w="4340" w:type="dxa"/>
            <w:gridSpan w:val="2"/>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严格按照规定下达预算的科目和项目执行，未出现截留、挤占、挪用和擅自调整等问题。</w:t>
            </w:r>
          </w:p>
        </w:tc>
        <w:tc>
          <w:tcPr>
            <w:tcW w:w="1160" w:type="dxa"/>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5</w:t>
            </w:r>
          </w:p>
        </w:tc>
        <w:tc>
          <w:tcPr>
            <w:tcW w:w="1055" w:type="dxa"/>
            <w:tcBorders>
              <w:top w:val="nil"/>
              <w:left w:val="nil"/>
              <w:bottom w:val="single" w:sz="4" w:space="0" w:color="auto"/>
              <w:right w:val="single" w:sz="4" w:space="0" w:color="auto"/>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5</w:t>
            </w:r>
          </w:p>
        </w:tc>
        <w:tc>
          <w:tcPr>
            <w:tcW w:w="2384" w:type="dxa"/>
            <w:gridSpan w:val="2"/>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236" w:type="dxa"/>
            <w:tcBorders>
              <w:top w:val="nil"/>
              <w:left w:val="nil"/>
              <w:bottom w:val="nil"/>
              <w:right w:val="nil"/>
            </w:tcBorders>
            <w:shd w:val="clear" w:color="auto" w:fill="auto"/>
            <w:noWrap w:val="1"/>
            <w:vAlign w:val="center"/>
          </w:tcPr>
          <w:p>
            <w:pPr>
              <w:pStyle w:val="Normal_7ed055b3-1ea0-41a4-952f-4367d909e9a5"/>
              <w:widowControl/>
              <w:spacing w:before="0" w:after="0" w:line="240" w:lineRule="auto"/>
              <w:jc w:val="left"/>
              <w:rPr>
                <w:rFonts w:ascii="等线" w:eastAsia="等线" w:hAnsi="宋体" w:cs="宋体"/>
                <w:color w:val="000000"/>
                <w:kern w:val="0"/>
                <w:sz w:val="22"/>
              </w:rPr>
            </w:pPr>
          </w:p>
        </w:tc>
      </w:tr>
      <w:tr>
        <w:tblPrEx>
          <w:tblW w:w="15460" w:type="dxa"/>
          <w:tblInd w:w="0" w:type="dxa"/>
          <w:tblBorders/>
          <w:shd w:val="clear" w:color="auto" w:fill="auto"/>
          <w:tblLayout w:type="fixed"/>
          <w:tblCellMar>
            <w:top w:w="0" w:type="dxa"/>
            <w:left w:w="108" w:type="dxa"/>
            <w:bottom w:w="0" w:type="dxa"/>
            <w:right w:w="108" w:type="dxa"/>
          </w:tblCellMar>
        </w:tblPrEx>
        <w:trPr>
          <w:trHeight w:val="285"/>
        </w:trPr>
        <w:tc>
          <w:tcPr>
            <w:tcW w:w="1383" w:type="dxa"/>
            <w:vMerge/>
            <w:tcBorders>
              <w:top w:val="single" w:sz="4" w:space="0" w:color="auto"/>
              <w:left w:val="single" w:sz="4" w:space="0" w:color="auto"/>
              <w:bottom w:val="single" w:sz="4" w:space="0" w:color="000000"/>
              <w:right w:val="single" w:sz="4" w:space="0" w:color="000000"/>
            </w:tcBorders>
            <w:vAlign w:val="center"/>
          </w:tcPr>
          <w:p>
            <w:pPr>
              <w:pStyle w:val="Normal_7ed055b3-1ea0-41a4-952f-4367d909e9a5"/>
              <w:widowControl/>
              <w:spacing w:before="0" w:after="0" w:line="240" w:lineRule="auto"/>
              <w:jc w:val="left"/>
              <w:rPr>
                <w:rFonts w:ascii="宋体" w:eastAsia="宋体" w:hAnsi="宋体" w:cs="宋体"/>
                <w:color w:val="000000"/>
                <w:kern w:val="0"/>
                <w:sz w:val="24"/>
                <w:szCs w:val="24"/>
              </w:rPr>
            </w:pPr>
          </w:p>
        </w:tc>
        <w:tc>
          <w:tcPr>
            <w:tcW w:w="4902" w:type="dxa"/>
            <w:gridSpan w:val="2"/>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预算绩效管理情况</w:t>
            </w:r>
          </w:p>
        </w:tc>
        <w:tc>
          <w:tcPr>
            <w:tcW w:w="4340" w:type="dxa"/>
            <w:gridSpan w:val="2"/>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将资金纳入绩效管理，设置绩效目标，开展绩效监控。</w:t>
            </w:r>
          </w:p>
        </w:tc>
        <w:tc>
          <w:tcPr>
            <w:tcW w:w="1160" w:type="dxa"/>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5</w:t>
            </w:r>
          </w:p>
        </w:tc>
        <w:tc>
          <w:tcPr>
            <w:tcW w:w="1055" w:type="dxa"/>
            <w:tcBorders>
              <w:top w:val="nil"/>
              <w:left w:val="nil"/>
              <w:bottom w:val="single" w:sz="4" w:space="0" w:color="auto"/>
              <w:right w:val="single" w:sz="4" w:space="0" w:color="auto"/>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5</w:t>
            </w:r>
          </w:p>
        </w:tc>
        <w:tc>
          <w:tcPr>
            <w:tcW w:w="2384" w:type="dxa"/>
            <w:gridSpan w:val="2"/>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236" w:type="dxa"/>
            <w:tcBorders>
              <w:top w:val="nil"/>
              <w:left w:val="nil"/>
              <w:bottom w:val="nil"/>
              <w:right w:val="nil"/>
            </w:tcBorders>
            <w:shd w:val="clear" w:color="auto" w:fill="auto"/>
            <w:noWrap w:val="1"/>
            <w:vAlign w:val="center"/>
          </w:tcPr>
          <w:p>
            <w:pPr>
              <w:pStyle w:val="Normal_7ed055b3-1ea0-41a4-952f-4367d909e9a5"/>
              <w:widowControl/>
              <w:spacing w:before="0" w:after="0" w:line="240" w:lineRule="auto"/>
              <w:jc w:val="left"/>
              <w:rPr>
                <w:rFonts w:ascii="等线" w:eastAsia="等线" w:hAnsi="宋体" w:cs="宋体"/>
                <w:color w:val="000000"/>
                <w:kern w:val="0"/>
                <w:sz w:val="22"/>
              </w:rPr>
            </w:pPr>
          </w:p>
        </w:tc>
      </w:tr>
      <w:tr>
        <w:tblPrEx>
          <w:tblW w:w="15460" w:type="dxa"/>
          <w:tblInd w:w="0" w:type="dxa"/>
          <w:tblBorders/>
          <w:shd w:val="clear" w:color="auto" w:fill="auto"/>
          <w:tblLayout w:type="fixed"/>
          <w:tblCellMar>
            <w:top w:w="0" w:type="dxa"/>
            <w:left w:w="108" w:type="dxa"/>
            <w:bottom w:w="0" w:type="dxa"/>
            <w:right w:w="108" w:type="dxa"/>
          </w:tblCellMar>
        </w:tblPrEx>
        <w:trPr>
          <w:trHeight w:val="435"/>
        </w:trPr>
        <w:tc>
          <w:tcPr>
            <w:tcW w:w="1383" w:type="dxa"/>
            <w:vMerge w:val="restart"/>
            <w:tcBorders>
              <w:top w:val="nil"/>
              <w:left w:val="single" w:sz="4" w:space="0" w:color="auto"/>
              <w:bottom w:val="single" w:sz="4" w:space="0" w:color="000000"/>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年度总体目标</w:t>
            </w:r>
          </w:p>
        </w:tc>
        <w:tc>
          <w:tcPr>
            <w:tcW w:w="4902" w:type="dxa"/>
            <w:gridSpan w:val="2"/>
            <w:tcBorders>
              <w:top w:val="single" w:sz="4" w:space="0" w:color="auto"/>
              <w:left w:val="nil"/>
              <w:bottom w:val="single" w:sz="4" w:space="0" w:color="auto"/>
              <w:right w:val="single" w:sz="4" w:space="0" w:color="000000"/>
            </w:tcBorders>
            <w:shd w:val="clear" w:color="auto" w:fill="auto"/>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预期目标</w:t>
            </w:r>
          </w:p>
        </w:tc>
        <w:tc>
          <w:tcPr>
            <w:tcW w:w="8939" w:type="dxa"/>
            <w:gridSpan w:val="6"/>
            <w:tcBorders>
              <w:top w:val="single" w:sz="4" w:space="0" w:color="auto"/>
              <w:left w:val="nil"/>
              <w:bottom w:val="single" w:sz="4" w:space="0" w:color="auto"/>
              <w:right w:val="single" w:sz="4" w:space="0" w:color="000000"/>
            </w:tcBorders>
            <w:shd w:val="clear" w:color="auto" w:fill="auto"/>
            <w:noWrap w:val="1"/>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实际完成情况</w:t>
            </w:r>
          </w:p>
        </w:tc>
        <w:tc>
          <w:tcPr>
            <w:tcW w:w="236" w:type="dxa"/>
            <w:tcBorders>
              <w:top w:val="nil"/>
              <w:left w:val="nil"/>
              <w:bottom w:val="nil"/>
              <w:right w:val="nil"/>
            </w:tcBorders>
            <w:shd w:val="clear" w:color="auto" w:fill="auto"/>
            <w:noWrap w:val="1"/>
            <w:vAlign w:val="center"/>
          </w:tcPr>
          <w:p>
            <w:pPr>
              <w:pStyle w:val="Normal_7ed055b3-1ea0-41a4-952f-4367d909e9a5"/>
              <w:widowControl/>
              <w:spacing w:before="0" w:after="0" w:line="240" w:lineRule="auto"/>
              <w:jc w:val="left"/>
              <w:rPr>
                <w:rFonts w:ascii="等线" w:eastAsia="等线" w:hAnsi="宋体" w:cs="宋体"/>
                <w:color w:val="000000"/>
                <w:kern w:val="0"/>
                <w:sz w:val="22"/>
              </w:rPr>
            </w:pPr>
          </w:p>
        </w:tc>
      </w:tr>
      <w:tr>
        <w:tblPrEx>
          <w:tblW w:w="15460" w:type="dxa"/>
          <w:tblInd w:w="0" w:type="dxa"/>
          <w:tblBorders/>
          <w:shd w:val="clear" w:color="auto" w:fill="auto"/>
          <w:tblLayout w:type="fixed"/>
          <w:tblCellMar>
            <w:top w:w="0" w:type="dxa"/>
            <w:left w:w="108" w:type="dxa"/>
            <w:bottom w:w="0" w:type="dxa"/>
            <w:right w:w="108" w:type="dxa"/>
          </w:tblCellMar>
        </w:tblPrEx>
        <w:trPr>
          <w:trHeight w:val="1493"/>
        </w:trPr>
        <w:tc>
          <w:tcPr>
            <w:tcW w:w="1383" w:type="dxa"/>
            <w:vMerge/>
            <w:tcBorders>
              <w:top w:val="nil"/>
              <w:left w:val="single" w:sz="4" w:space="0" w:color="auto"/>
              <w:bottom w:val="single" w:sz="4" w:space="0" w:color="000000"/>
              <w:right w:val="single" w:sz="4" w:space="0" w:color="auto"/>
            </w:tcBorders>
            <w:vAlign w:val="center"/>
          </w:tcPr>
          <w:p>
            <w:pPr>
              <w:pStyle w:val="Normal_7ed055b3-1ea0-41a4-952f-4367d909e9a5"/>
              <w:widowControl/>
              <w:spacing w:before="0" w:after="0" w:line="240" w:lineRule="auto"/>
              <w:jc w:val="left"/>
              <w:rPr>
                <w:rFonts w:ascii="宋体" w:eastAsia="宋体" w:hAnsi="宋体" w:cs="宋体"/>
                <w:color w:val="000000"/>
                <w:kern w:val="0"/>
                <w:sz w:val="24"/>
                <w:szCs w:val="24"/>
              </w:rPr>
            </w:pPr>
          </w:p>
        </w:tc>
        <w:tc>
          <w:tcPr>
            <w:tcW w:w="4902" w:type="dxa"/>
            <w:gridSpan w:val="2"/>
            <w:tcBorders>
              <w:top w:val="single" w:sz="4" w:space="0" w:color="auto"/>
              <w:left w:val="nil"/>
              <w:bottom w:val="single" w:sz="4" w:space="0" w:color="auto"/>
              <w:right w:val="single" w:sz="4" w:space="0" w:color="auto"/>
            </w:tcBorders>
            <w:shd w:val="clear" w:color="auto" w:fill="auto"/>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对已经制作完成政务服务电子印章服务费用续费，对新增政务服务电子印章制作及支付服务费。印章主要用于河南省政务服务一体化平台，落实“减证便民”政策，方便群众办事，实现“数据多跑路，群众少跑腿”。</w:t>
            </w:r>
          </w:p>
        </w:tc>
        <w:tc>
          <w:tcPr>
            <w:tcW w:w="8939" w:type="dxa"/>
            <w:gridSpan w:val="6"/>
            <w:tcBorders>
              <w:top w:val="single" w:sz="4" w:space="0" w:color="auto"/>
              <w:left w:val="nil"/>
              <w:bottom w:val="single" w:sz="4" w:space="0" w:color="auto"/>
              <w:right w:val="single" w:sz="4" w:space="0" w:color="auto"/>
            </w:tcBorders>
            <w:shd w:val="clear" w:color="auto" w:fill="auto"/>
            <w:noWrap w:val="1"/>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对已制作完成的电子印章进行续费190次，新制电子印章77个，完成年度目标。</w:t>
            </w:r>
          </w:p>
        </w:tc>
        <w:tc>
          <w:tcPr>
            <w:tcW w:w="236" w:type="dxa"/>
            <w:tcBorders>
              <w:top w:val="nil"/>
              <w:left w:val="nil"/>
              <w:bottom w:val="nil"/>
              <w:right w:val="nil"/>
            </w:tcBorders>
            <w:shd w:val="clear" w:color="auto" w:fill="auto"/>
            <w:noWrap w:val="1"/>
            <w:vAlign w:val="center"/>
          </w:tcPr>
          <w:p>
            <w:pPr>
              <w:pStyle w:val="Normal_7ed055b3-1ea0-41a4-952f-4367d909e9a5"/>
              <w:widowControl/>
              <w:spacing w:before="0" w:after="0" w:line="240" w:lineRule="auto"/>
              <w:jc w:val="left"/>
              <w:rPr>
                <w:rFonts w:ascii="等线" w:eastAsia="等线" w:hAnsi="宋体" w:cs="宋体"/>
                <w:color w:val="000000"/>
                <w:kern w:val="0"/>
                <w:sz w:val="22"/>
              </w:rPr>
            </w:pPr>
          </w:p>
        </w:tc>
      </w:tr>
      <w:tr>
        <w:tblPrEx>
          <w:tblW w:w="15460" w:type="dxa"/>
          <w:tblInd w:w="0" w:type="dxa"/>
          <w:tblBorders/>
          <w:shd w:val="clear" w:color="auto" w:fill="auto"/>
          <w:tblLayout w:type="fixed"/>
          <w:tblCellMar>
            <w:top w:w="0" w:type="dxa"/>
            <w:left w:w="108" w:type="dxa"/>
            <w:bottom w:w="0" w:type="dxa"/>
            <w:right w:w="108" w:type="dxa"/>
          </w:tblCellMar>
        </w:tblPrEx>
        <w:trPr>
          <w:trHeight w:val="300"/>
        </w:trPr>
        <w:tc>
          <w:tcPr>
            <w:tcW w:w="15224" w:type="dxa"/>
            <w:gridSpan w:val="9"/>
            <w:vMerge w:val="restart"/>
            <w:tcBorders>
              <w:top w:val="single" w:sz="4" w:space="0" w:color="auto"/>
              <w:left w:val="single" w:sz="4" w:space="0" w:color="auto"/>
              <w:bottom w:val="single" w:sz="4" w:space="0" w:color="000000"/>
              <w:right w:val="single" w:sz="4" w:space="0" w:color="000000"/>
            </w:tcBorders>
            <w:shd w:val="clear" w:color="auto" w:fill="auto"/>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绩效指标</w:t>
            </w:r>
          </w:p>
        </w:tc>
        <w:tc>
          <w:tcPr>
            <w:tcW w:w="236" w:type="dxa"/>
            <w:tcBorders>
              <w:top w:val="nil"/>
              <w:left w:val="nil"/>
              <w:bottom w:val="nil"/>
              <w:right w:val="nil"/>
            </w:tcBorders>
            <w:shd w:val="clear" w:color="auto" w:fill="auto"/>
            <w:noWrap w:val="1"/>
            <w:vAlign w:val="center"/>
          </w:tcPr>
          <w:p>
            <w:pPr>
              <w:pStyle w:val="Normal_7ed055b3-1ea0-41a4-952f-4367d909e9a5"/>
              <w:widowControl/>
              <w:spacing w:before="0" w:after="0" w:line="240" w:lineRule="auto"/>
              <w:jc w:val="left"/>
              <w:rPr>
                <w:rFonts w:ascii="等线" w:eastAsia="等线" w:hAnsi="宋体" w:cs="宋体"/>
                <w:color w:val="000000"/>
                <w:kern w:val="0"/>
                <w:sz w:val="22"/>
              </w:rPr>
            </w:pPr>
          </w:p>
        </w:tc>
      </w:tr>
      <w:tr>
        <w:tblPrEx>
          <w:tblW w:w="15460" w:type="dxa"/>
          <w:tblInd w:w="0" w:type="dxa"/>
          <w:tblBorders/>
          <w:shd w:val="clear" w:color="auto" w:fill="auto"/>
          <w:tblLayout w:type="fixed"/>
          <w:tblCellMar>
            <w:top w:w="0" w:type="dxa"/>
            <w:left w:w="108" w:type="dxa"/>
            <w:bottom w:w="0" w:type="dxa"/>
            <w:right w:w="108" w:type="dxa"/>
          </w:tblCellMar>
        </w:tblPrEx>
        <w:trPr>
          <w:trHeight w:val="300"/>
        </w:trPr>
        <w:tc>
          <w:tcPr>
            <w:tcW w:w="15224" w:type="dxa"/>
            <w:gridSpan w:val="9"/>
            <w:vMerge/>
            <w:tcBorders>
              <w:top w:val="single" w:sz="4" w:space="0" w:color="auto"/>
              <w:left w:val="single" w:sz="4" w:space="0" w:color="auto"/>
              <w:bottom w:val="single" w:sz="4" w:space="0" w:color="000000"/>
              <w:right w:val="single" w:sz="4" w:space="0" w:color="000000"/>
            </w:tcBorders>
            <w:vAlign w:val="center"/>
          </w:tcPr>
          <w:p>
            <w:pPr>
              <w:pStyle w:val="Normal_7ed055b3-1ea0-41a4-952f-4367d909e9a5"/>
              <w:widowControl/>
              <w:spacing w:before="0" w:after="0" w:line="240" w:lineRule="auto"/>
              <w:jc w:val="left"/>
              <w:rPr>
                <w:rFonts w:ascii="宋体" w:eastAsia="宋体" w:hAnsi="宋体" w:cs="宋体"/>
                <w:color w:val="000000"/>
                <w:kern w:val="0"/>
                <w:sz w:val="24"/>
                <w:szCs w:val="24"/>
              </w:rPr>
            </w:pPr>
          </w:p>
        </w:tc>
        <w:tc>
          <w:tcPr>
            <w:tcW w:w="236" w:type="dxa"/>
            <w:tcBorders>
              <w:top w:val="nil"/>
              <w:left w:val="nil"/>
              <w:bottom w:val="nil"/>
              <w:right w:val="nil"/>
            </w:tcBorders>
            <w:shd w:val="clear" w:color="auto" w:fill="auto"/>
            <w:noWrap w:val="1"/>
            <w:vAlign w:val="center"/>
          </w:tcPr>
          <w:p>
            <w:pPr>
              <w:pStyle w:val="Normal_7ed055b3-1ea0-41a4-952f-4367d909e9a5"/>
              <w:widowControl/>
              <w:spacing w:before="0" w:after="0" w:line="240" w:lineRule="auto"/>
              <w:jc w:val="left"/>
              <w:rPr>
                <w:rFonts w:ascii="等线" w:eastAsia="等线" w:hAnsi="宋体" w:cs="宋体"/>
                <w:color w:val="000000"/>
                <w:kern w:val="0"/>
                <w:sz w:val="22"/>
              </w:rPr>
            </w:pPr>
          </w:p>
        </w:tc>
      </w:tr>
      <w:tr>
        <w:tblPrEx>
          <w:tblW w:w="15460" w:type="dxa"/>
          <w:tblInd w:w="0" w:type="dxa"/>
          <w:tblBorders/>
          <w:shd w:val="clear" w:color="auto" w:fill="auto"/>
          <w:tblLayout w:type="fixed"/>
          <w:tblCellMar>
            <w:top w:w="0" w:type="dxa"/>
            <w:left w:w="108" w:type="dxa"/>
            <w:bottom w:w="0" w:type="dxa"/>
            <w:right w:w="108" w:type="dxa"/>
          </w:tblCellMar>
        </w:tblPrEx>
        <w:trPr>
          <w:trHeight w:val="278"/>
        </w:trPr>
        <w:tc>
          <w:tcPr>
            <w:tcW w:w="1383"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一级指标</w:t>
            </w:r>
          </w:p>
        </w:tc>
        <w:tc>
          <w:tcPr>
            <w:tcW w:w="2269"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二级指标</w:t>
            </w:r>
          </w:p>
        </w:tc>
        <w:tc>
          <w:tcPr>
            <w:tcW w:w="2633"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三级指标</w:t>
            </w:r>
          </w:p>
        </w:tc>
        <w:tc>
          <w:tcPr>
            <w:tcW w:w="2074"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年度指标值</w:t>
            </w:r>
          </w:p>
        </w:tc>
        <w:tc>
          <w:tcPr>
            <w:tcW w:w="2266"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实际值完成值</w:t>
            </w:r>
          </w:p>
        </w:tc>
        <w:tc>
          <w:tcPr>
            <w:tcW w:w="11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分值</w:t>
            </w:r>
          </w:p>
        </w:tc>
        <w:tc>
          <w:tcPr>
            <w:tcW w:w="105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得分</w:t>
            </w:r>
          </w:p>
        </w:tc>
        <w:tc>
          <w:tcPr>
            <w:tcW w:w="935" w:type="dxa"/>
            <w:vMerge w:val="restart"/>
            <w:tcBorders>
              <w:top w:val="nil"/>
              <w:left w:val="single" w:sz="4" w:space="0" w:color="auto"/>
              <w:bottom w:val="single" w:sz="4" w:space="0" w:color="000000"/>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偏差度</w:t>
            </w:r>
          </w:p>
        </w:tc>
        <w:tc>
          <w:tcPr>
            <w:tcW w:w="1449" w:type="dxa"/>
            <w:vMerge w:val="restart"/>
            <w:tcBorders>
              <w:top w:val="nil"/>
              <w:left w:val="single" w:sz="4" w:space="0" w:color="auto"/>
              <w:bottom w:val="single" w:sz="4" w:space="0" w:color="000000"/>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偏差原因分析及改进措施</w:t>
            </w:r>
          </w:p>
        </w:tc>
        <w:tc>
          <w:tcPr>
            <w:tcW w:w="236" w:type="dxa"/>
            <w:tcBorders>
              <w:top w:val="nil"/>
              <w:left w:val="nil"/>
              <w:bottom w:val="nil"/>
              <w:right w:val="nil"/>
            </w:tcBorders>
            <w:shd w:val="clear" w:color="auto" w:fill="auto"/>
            <w:noWrap w:val="1"/>
            <w:vAlign w:val="center"/>
          </w:tcPr>
          <w:p>
            <w:pPr>
              <w:pStyle w:val="Normal_7ed055b3-1ea0-41a4-952f-4367d909e9a5"/>
              <w:widowControl/>
              <w:spacing w:before="0" w:after="0" w:line="240" w:lineRule="auto"/>
              <w:jc w:val="left"/>
              <w:rPr>
                <w:rFonts w:ascii="等线" w:eastAsia="等线" w:hAnsi="宋体" w:cs="宋体"/>
                <w:color w:val="000000"/>
                <w:kern w:val="0"/>
                <w:sz w:val="22"/>
              </w:rPr>
            </w:pPr>
          </w:p>
        </w:tc>
      </w:tr>
      <w:tr>
        <w:tblPrEx>
          <w:tblW w:w="15460" w:type="dxa"/>
          <w:tblInd w:w="0" w:type="dxa"/>
          <w:tblBorders/>
          <w:shd w:val="clear" w:color="auto" w:fill="auto"/>
          <w:tblLayout w:type="fixed"/>
          <w:tblCellMar>
            <w:top w:w="0" w:type="dxa"/>
            <w:left w:w="108" w:type="dxa"/>
            <w:bottom w:w="0" w:type="dxa"/>
            <w:right w:w="108" w:type="dxa"/>
          </w:tblCellMar>
        </w:tblPrEx>
        <w:trPr>
          <w:trHeight w:val="278"/>
        </w:trPr>
        <w:tc>
          <w:tcPr>
            <w:tcW w:w="1383" w:type="dxa"/>
            <w:vMerge/>
            <w:tcBorders>
              <w:top w:val="single" w:sz="4" w:space="0" w:color="auto"/>
              <w:left w:val="single" w:sz="4" w:space="0" w:color="auto"/>
              <w:bottom w:val="single" w:sz="4" w:space="0" w:color="000000"/>
              <w:right w:val="single" w:sz="4" w:space="0" w:color="000000"/>
            </w:tcBorders>
            <w:vAlign w:val="center"/>
          </w:tcPr>
          <w:p>
            <w:pPr>
              <w:pStyle w:val="Normal_7ed055b3-1ea0-41a4-952f-4367d909e9a5"/>
              <w:widowControl/>
              <w:spacing w:before="0" w:after="0" w:line="240" w:lineRule="auto"/>
              <w:jc w:val="left"/>
              <w:rPr>
                <w:rFonts w:ascii="宋体" w:eastAsia="宋体" w:hAnsi="宋体" w:cs="宋体"/>
                <w:color w:val="000000"/>
                <w:kern w:val="0"/>
                <w:sz w:val="24"/>
                <w:szCs w:val="24"/>
              </w:rPr>
            </w:pPr>
          </w:p>
        </w:tc>
        <w:tc>
          <w:tcPr>
            <w:tcW w:w="2269" w:type="dxa"/>
            <w:vMerge/>
            <w:tcBorders>
              <w:top w:val="single" w:sz="4" w:space="0" w:color="auto"/>
              <w:left w:val="single" w:sz="4" w:space="0" w:color="auto"/>
              <w:bottom w:val="single" w:sz="4" w:space="0" w:color="000000"/>
              <w:right w:val="single" w:sz="4" w:space="0" w:color="000000"/>
            </w:tcBorders>
            <w:vAlign w:val="center"/>
          </w:tcPr>
          <w:p>
            <w:pPr>
              <w:pStyle w:val="Normal_7ed055b3-1ea0-41a4-952f-4367d909e9a5"/>
              <w:widowControl/>
              <w:spacing w:before="0" w:after="0" w:line="240" w:lineRule="auto"/>
              <w:jc w:val="left"/>
              <w:rPr>
                <w:rFonts w:ascii="宋体" w:eastAsia="宋体" w:hAnsi="宋体" w:cs="宋体"/>
                <w:color w:val="000000"/>
                <w:kern w:val="0"/>
                <w:sz w:val="24"/>
                <w:szCs w:val="24"/>
              </w:rPr>
            </w:pPr>
          </w:p>
        </w:tc>
        <w:tc>
          <w:tcPr>
            <w:tcW w:w="2633" w:type="dxa"/>
            <w:vMerge/>
            <w:tcBorders>
              <w:top w:val="single" w:sz="4" w:space="0" w:color="auto"/>
              <w:left w:val="single" w:sz="4" w:space="0" w:color="auto"/>
              <w:bottom w:val="single" w:sz="4" w:space="0" w:color="000000"/>
              <w:right w:val="single" w:sz="4" w:space="0" w:color="000000"/>
            </w:tcBorders>
            <w:vAlign w:val="center"/>
          </w:tcPr>
          <w:p>
            <w:pPr>
              <w:pStyle w:val="Normal_7ed055b3-1ea0-41a4-952f-4367d909e9a5"/>
              <w:widowControl/>
              <w:spacing w:before="0" w:after="0" w:line="240" w:lineRule="auto"/>
              <w:jc w:val="left"/>
              <w:rPr>
                <w:rFonts w:ascii="宋体" w:eastAsia="宋体" w:hAnsi="宋体" w:cs="宋体"/>
                <w:color w:val="000000"/>
                <w:kern w:val="0"/>
                <w:sz w:val="24"/>
                <w:szCs w:val="24"/>
              </w:rPr>
            </w:pPr>
          </w:p>
        </w:tc>
        <w:tc>
          <w:tcPr>
            <w:tcW w:w="2074" w:type="dxa"/>
            <w:vMerge/>
            <w:tcBorders>
              <w:top w:val="single" w:sz="4" w:space="0" w:color="auto"/>
              <w:left w:val="single" w:sz="4" w:space="0" w:color="auto"/>
              <w:bottom w:val="single" w:sz="4" w:space="0" w:color="000000"/>
              <w:right w:val="single" w:sz="4" w:space="0" w:color="000000"/>
            </w:tcBorders>
            <w:vAlign w:val="center"/>
          </w:tcPr>
          <w:p>
            <w:pPr>
              <w:pStyle w:val="Normal_7ed055b3-1ea0-41a4-952f-4367d909e9a5"/>
              <w:widowControl/>
              <w:spacing w:before="0" w:after="0" w:line="240" w:lineRule="auto"/>
              <w:jc w:val="left"/>
              <w:rPr>
                <w:rFonts w:ascii="宋体" w:eastAsia="宋体" w:hAnsi="宋体" w:cs="宋体"/>
                <w:color w:val="000000"/>
                <w:kern w:val="0"/>
                <w:sz w:val="24"/>
                <w:szCs w:val="24"/>
              </w:rPr>
            </w:pPr>
          </w:p>
        </w:tc>
        <w:tc>
          <w:tcPr>
            <w:tcW w:w="2266" w:type="dxa"/>
            <w:vMerge/>
            <w:tcBorders>
              <w:top w:val="single" w:sz="4" w:space="0" w:color="auto"/>
              <w:left w:val="single" w:sz="4" w:space="0" w:color="auto"/>
              <w:bottom w:val="single" w:sz="4" w:space="0" w:color="000000"/>
              <w:right w:val="single" w:sz="4" w:space="0" w:color="000000"/>
            </w:tcBorders>
            <w:vAlign w:val="center"/>
          </w:tcPr>
          <w:p>
            <w:pPr>
              <w:pStyle w:val="Normal_7ed055b3-1ea0-41a4-952f-4367d909e9a5"/>
              <w:widowControl/>
              <w:spacing w:before="0" w:after="0" w:line="240" w:lineRule="auto"/>
              <w:jc w:val="left"/>
              <w:rPr>
                <w:rFonts w:ascii="宋体" w:eastAsia="宋体" w:hAnsi="宋体" w:cs="宋体"/>
                <w:color w:val="000000"/>
                <w:kern w:val="0"/>
                <w:sz w:val="24"/>
                <w:szCs w:val="24"/>
              </w:rPr>
            </w:pPr>
          </w:p>
        </w:tc>
        <w:tc>
          <w:tcPr>
            <w:tcW w:w="1160" w:type="dxa"/>
            <w:vMerge/>
            <w:tcBorders>
              <w:top w:val="single" w:sz="4" w:space="0" w:color="auto"/>
              <w:left w:val="single" w:sz="4" w:space="0" w:color="auto"/>
              <w:bottom w:val="single" w:sz="4" w:space="0" w:color="000000"/>
              <w:right w:val="single" w:sz="4" w:space="0" w:color="000000"/>
            </w:tcBorders>
            <w:vAlign w:val="center"/>
          </w:tcPr>
          <w:p>
            <w:pPr>
              <w:pStyle w:val="Normal_7ed055b3-1ea0-41a4-952f-4367d909e9a5"/>
              <w:widowControl/>
              <w:spacing w:before="0" w:after="0" w:line="240" w:lineRule="auto"/>
              <w:jc w:val="left"/>
              <w:rPr>
                <w:rFonts w:ascii="宋体" w:eastAsia="宋体" w:hAnsi="宋体" w:cs="宋体"/>
                <w:color w:val="000000"/>
                <w:kern w:val="0"/>
                <w:sz w:val="24"/>
                <w:szCs w:val="24"/>
              </w:rPr>
            </w:pPr>
          </w:p>
        </w:tc>
        <w:tc>
          <w:tcPr>
            <w:tcW w:w="1055" w:type="dxa"/>
            <w:vMerge/>
            <w:tcBorders>
              <w:top w:val="single" w:sz="4" w:space="0" w:color="auto"/>
              <w:left w:val="single" w:sz="4" w:space="0" w:color="auto"/>
              <w:bottom w:val="single" w:sz="4" w:space="0" w:color="000000"/>
              <w:right w:val="single" w:sz="4" w:space="0" w:color="000000"/>
            </w:tcBorders>
            <w:vAlign w:val="center"/>
          </w:tcPr>
          <w:p>
            <w:pPr>
              <w:pStyle w:val="Normal_7ed055b3-1ea0-41a4-952f-4367d909e9a5"/>
              <w:widowControl/>
              <w:spacing w:before="0" w:after="0" w:line="240" w:lineRule="auto"/>
              <w:jc w:val="left"/>
              <w:rPr>
                <w:rFonts w:ascii="宋体" w:eastAsia="宋体" w:hAnsi="宋体" w:cs="宋体"/>
                <w:color w:val="000000"/>
                <w:kern w:val="0"/>
                <w:sz w:val="24"/>
                <w:szCs w:val="24"/>
              </w:rPr>
            </w:pPr>
          </w:p>
        </w:tc>
        <w:tc>
          <w:tcPr>
            <w:tcW w:w="935" w:type="dxa"/>
            <w:vMerge/>
            <w:tcBorders>
              <w:top w:val="nil"/>
              <w:left w:val="single" w:sz="4" w:space="0" w:color="auto"/>
              <w:bottom w:val="single" w:sz="4" w:space="0" w:color="000000"/>
              <w:right w:val="single" w:sz="4" w:space="0" w:color="auto"/>
            </w:tcBorders>
            <w:vAlign w:val="center"/>
          </w:tcPr>
          <w:p>
            <w:pPr>
              <w:pStyle w:val="Normal_7ed055b3-1ea0-41a4-952f-4367d909e9a5"/>
              <w:widowControl/>
              <w:spacing w:before="0" w:after="0" w:line="240" w:lineRule="auto"/>
              <w:jc w:val="left"/>
              <w:rPr>
                <w:rFonts w:ascii="宋体" w:eastAsia="宋体" w:hAnsi="宋体" w:cs="宋体"/>
                <w:color w:val="000000"/>
                <w:kern w:val="0"/>
                <w:sz w:val="24"/>
                <w:szCs w:val="24"/>
              </w:rPr>
            </w:pPr>
          </w:p>
        </w:tc>
        <w:tc>
          <w:tcPr>
            <w:tcW w:w="1449" w:type="dxa"/>
            <w:vMerge/>
            <w:tcBorders>
              <w:top w:val="nil"/>
              <w:left w:val="single" w:sz="4" w:space="0" w:color="auto"/>
              <w:bottom w:val="single" w:sz="4" w:space="0" w:color="000000"/>
              <w:right w:val="single" w:sz="4" w:space="0" w:color="auto"/>
            </w:tcBorders>
            <w:vAlign w:val="center"/>
          </w:tcPr>
          <w:p>
            <w:pPr>
              <w:pStyle w:val="Normal_7ed055b3-1ea0-41a4-952f-4367d909e9a5"/>
              <w:widowControl/>
              <w:spacing w:before="0" w:after="0" w:line="240" w:lineRule="auto"/>
              <w:jc w:val="left"/>
              <w:rPr>
                <w:rFonts w:ascii="宋体" w:eastAsia="宋体" w:hAnsi="宋体" w:cs="宋体"/>
                <w:color w:val="000000"/>
                <w:kern w:val="0"/>
                <w:sz w:val="24"/>
                <w:szCs w:val="24"/>
              </w:rPr>
            </w:pPr>
          </w:p>
        </w:tc>
        <w:tc>
          <w:tcPr>
            <w:tcW w:w="236" w:type="dxa"/>
            <w:tcBorders>
              <w:top w:val="nil"/>
              <w:left w:val="nil"/>
              <w:bottom w:val="nil"/>
              <w:right w:val="nil"/>
            </w:tcBorders>
            <w:shd w:val="clear" w:color="auto" w:fill="auto"/>
            <w:noWrap w:val="1"/>
            <w:vAlign w:val="center"/>
          </w:tcPr>
          <w:p>
            <w:pPr>
              <w:pStyle w:val="Normal_7ed055b3-1ea0-41a4-952f-4367d909e9a5"/>
              <w:widowControl/>
              <w:spacing w:before="0" w:after="0" w:line="240" w:lineRule="auto"/>
              <w:jc w:val="left"/>
              <w:rPr>
                <w:rFonts w:ascii="等线" w:eastAsia="等线" w:hAnsi="宋体" w:cs="宋体"/>
                <w:color w:val="000000"/>
                <w:kern w:val="0"/>
                <w:sz w:val="22"/>
              </w:rPr>
            </w:pPr>
          </w:p>
        </w:tc>
      </w:tr>
      <w:tr>
        <w:tblPrEx>
          <w:tblW w:w="15460" w:type="dxa"/>
          <w:tblInd w:w="0" w:type="dxa"/>
          <w:tblBorders/>
          <w:shd w:val="clear" w:color="auto" w:fill="auto"/>
          <w:tblLayout w:type="fixed"/>
          <w:tblCellMar>
            <w:top w:w="0" w:type="dxa"/>
            <w:left w:w="108" w:type="dxa"/>
            <w:bottom w:w="0" w:type="dxa"/>
            <w:right w:w="108" w:type="dxa"/>
          </w:tblCellMar>
        </w:tblPrEx>
        <w:trPr>
          <w:trHeight w:val="762"/>
        </w:trPr>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成本指标</w:t>
            </w:r>
          </w:p>
        </w:tc>
        <w:tc>
          <w:tcPr>
            <w:tcW w:w="2269"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经济成本指标</w:t>
            </w:r>
          </w:p>
        </w:tc>
        <w:tc>
          <w:tcPr>
            <w:tcW w:w="2633"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印章制作及服务费</w:t>
            </w:r>
          </w:p>
        </w:tc>
        <w:tc>
          <w:tcPr>
            <w:tcW w:w="2074"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≤80000元</w:t>
            </w:r>
          </w:p>
        </w:tc>
        <w:tc>
          <w:tcPr>
            <w:tcW w:w="2266"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6.11元</w:t>
            </w:r>
          </w:p>
        </w:tc>
        <w:tc>
          <w:tcPr>
            <w:tcW w:w="1160"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10</w:t>
            </w:r>
          </w:p>
        </w:tc>
        <w:tc>
          <w:tcPr>
            <w:tcW w:w="1055"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10</w:t>
            </w:r>
          </w:p>
        </w:tc>
        <w:tc>
          <w:tcPr>
            <w:tcW w:w="935"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0.00</w:t>
            </w:r>
          </w:p>
        </w:tc>
        <w:tc>
          <w:tcPr>
            <w:tcW w:w="1449"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6" w:type="dxa"/>
            <w:tcBorders>
              <w:top w:val="nil"/>
              <w:left w:val="nil"/>
              <w:bottom w:val="nil"/>
              <w:right w:val="nil"/>
            </w:tcBorders>
            <w:shd w:val="clear" w:color="auto" w:fill="auto"/>
            <w:noWrap w:val="1"/>
            <w:vAlign w:val="bottom"/>
          </w:tcPr>
          <w:p>
            <w:pPr>
              <w:pStyle w:val="Normal_7ed055b3-1ea0-41a4-952f-4367d909e9a5"/>
              <w:widowControl/>
              <w:spacing w:before="0" w:after="0" w:line="240" w:lineRule="auto"/>
              <w:jc w:val="left"/>
              <w:rPr>
                <w:rFonts w:ascii="等线" w:eastAsia="等线" w:hAnsi="宋体" w:cs="宋体"/>
                <w:color w:val="000000"/>
                <w:kern w:val="0"/>
                <w:sz w:val="22"/>
              </w:rPr>
            </w:pPr>
          </w:p>
        </w:tc>
      </w:tr>
      <w:tr>
        <w:tblPrEx>
          <w:tblW w:w="15460" w:type="dxa"/>
          <w:tblInd w:w="0" w:type="dxa"/>
          <w:tblBorders/>
          <w:shd w:val="clear" w:color="auto" w:fill="auto"/>
          <w:tblLayout w:type="fixed"/>
          <w:tblCellMar>
            <w:top w:w="0" w:type="dxa"/>
            <w:left w:w="108" w:type="dxa"/>
            <w:bottom w:w="0" w:type="dxa"/>
            <w:right w:w="108" w:type="dxa"/>
          </w:tblCellMar>
        </w:tblPrEx>
        <w:trPr>
          <w:trHeight w:val="762"/>
        </w:trPr>
        <w:tc>
          <w:tcPr>
            <w:tcW w:w="13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产出指标</w:t>
            </w:r>
          </w:p>
        </w:tc>
        <w:tc>
          <w:tcPr>
            <w:tcW w:w="2269"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数量指标</w:t>
            </w:r>
          </w:p>
        </w:tc>
        <w:tc>
          <w:tcPr>
            <w:tcW w:w="2633"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承担政务服务事项的电子印章制备数量</w:t>
            </w:r>
          </w:p>
        </w:tc>
        <w:tc>
          <w:tcPr>
            <w:tcW w:w="2074"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≥150个</w:t>
            </w:r>
          </w:p>
        </w:tc>
        <w:tc>
          <w:tcPr>
            <w:tcW w:w="2266"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160个</w:t>
            </w:r>
          </w:p>
        </w:tc>
        <w:tc>
          <w:tcPr>
            <w:tcW w:w="1160"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10</w:t>
            </w:r>
          </w:p>
        </w:tc>
        <w:tc>
          <w:tcPr>
            <w:tcW w:w="1055"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10</w:t>
            </w:r>
          </w:p>
        </w:tc>
        <w:tc>
          <w:tcPr>
            <w:tcW w:w="935" w:type="dxa"/>
            <w:tcBorders>
              <w:top w:val="nil"/>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0.00</w:t>
            </w:r>
          </w:p>
        </w:tc>
        <w:tc>
          <w:tcPr>
            <w:tcW w:w="1449" w:type="dxa"/>
            <w:tcBorders>
              <w:top w:val="nil"/>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6" w:type="dxa"/>
            <w:tcBorders>
              <w:top w:val="nil"/>
              <w:left w:val="nil"/>
              <w:bottom w:val="nil"/>
              <w:right w:val="nil"/>
            </w:tcBorders>
            <w:shd w:val="clear" w:color="auto" w:fill="auto"/>
            <w:noWrap w:val="1"/>
            <w:vAlign w:val="bottom"/>
          </w:tcPr>
          <w:p>
            <w:pPr>
              <w:pStyle w:val="Normal_7ed055b3-1ea0-41a4-952f-4367d909e9a5"/>
              <w:widowControl/>
              <w:spacing w:before="0" w:after="0" w:line="240" w:lineRule="auto"/>
              <w:jc w:val="left"/>
              <w:rPr>
                <w:rFonts w:ascii="等线" w:eastAsia="等线" w:hAnsi="宋体" w:cs="宋体"/>
                <w:color w:val="000000"/>
                <w:kern w:val="0"/>
                <w:sz w:val="22"/>
              </w:rPr>
            </w:pPr>
          </w:p>
        </w:tc>
      </w:tr>
      <w:tr>
        <w:tblPrEx>
          <w:tblW w:w="15460" w:type="dxa"/>
          <w:tblInd w:w="0" w:type="dxa"/>
          <w:tblBorders/>
          <w:shd w:val="clear" w:color="auto" w:fill="auto"/>
          <w:tblLayout w:type="fixed"/>
          <w:tblCellMar>
            <w:top w:w="0" w:type="dxa"/>
            <w:left w:w="108" w:type="dxa"/>
            <w:bottom w:w="0" w:type="dxa"/>
            <w:right w:w="108" w:type="dxa"/>
          </w:tblCellMar>
        </w:tblPrEx>
        <w:trPr>
          <w:trHeight w:val="762"/>
        </w:trPr>
        <w:tc>
          <w:tcPr>
            <w:tcW w:w="1383" w:type="dxa"/>
            <w:vMerge/>
            <w:tcBorders>
              <w:top w:val="single" w:sz="4" w:space="0" w:color="auto"/>
              <w:left w:val="single" w:sz="4" w:space="0" w:color="auto"/>
              <w:bottom w:val="single" w:sz="4" w:space="0" w:color="auto"/>
              <w:right w:val="single" w:sz="4" w:space="0" w:color="auto"/>
            </w:tcBorders>
            <w:vAlign w:val="center"/>
          </w:tcPr>
          <w:p>
            <w:pPr>
              <w:pStyle w:val="Normal_7ed055b3-1ea0-41a4-952f-4367d909e9a5"/>
              <w:widowControl/>
              <w:spacing w:before="0" w:after="0" w:line="240" w:lineRule="auto"/>
              <w:jc w:val="left"/>
              <w:rPr>
                <w:rFonts w:ascii="宋体" w:eastAsia="宋体" w:hAnsi="宋体" w:cs="宋体"/>
                <w:kern w:val="0"/>
                <w:sz w:val="24"/>
                <w:szCs w:val="24"/>
              </w:rPr>
            </w:pPr>
          </w:p>
        </w:tc>
        <w:tc>
          <w:tcPr>
            <w:tcW w:w="2269"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质量指标</w:t>
            </w:r>
          </w:p>
        </w:tc>
        <w:tc>
          <w:tcPr>
            <w:tcW w:w="2633"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承担政务服务事项的电子印章制备覆盖率</w:t>
            </w:r>
          </w:p>
        </w:tc>
        <w:tc>
          <w:tcPr>
            <w:tcW w:w="2074"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=100%</w:t>
            </w:r>
          </w:p>
        </w:tc>
        <w:tc>
          <w:tcPr>
            <w:tcW w:w="2266"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100%</w:t>
            </w:r>
          </w:p>
        </w:tc>
        <w:tc>
          <w:tcPr>
            <w:tcW w:w="1160"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10</w:t>
            </w:r>
          </w:p>
        </w:tc>
        <w:tc>
          <w:tcPr>
            <w:tcW w:w="1055"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10</w:t>
            </w:r>
          </w:p>
        </w:tc>
        <w:tc>
          <w:tcPr>
            <w:tcW w:w="935" w:type="dxa"/>
            <w:tcBorders>
              <w:top w:val="nil"/>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0.00</w:t>
            </w:r>
          </w:p>
        </w:tc>
        <w:tc>
          <w:tcPr>
            <w:tcW w:w="1449" w:type="dxa"/>
            <w:tcBorders>
              <w:top w:val="nil"/>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6" w:type="dxa"/>
            <w:tcBorders>
              <w:top w:val="nil"/>
              <w:left w:val="nil"/>
              <w:bottom w:val="nil"/>
              <w:right w:val="nil"/>
            </w:tcBorders>
            <w:shd w:val="clear" w:color="auto" w:fill="auto"/>
            <w:noWrap w:val="1"/>
            <w:vAlign w:val="bottom"/>
          </w:tcPr>
          <w:p>
            <w:pPr>
              <w:pStyle w:val="Normal_7ed055b3-1ea0-41a4-952f-4367d909e9a5"/>
              <w:widowControl/>
              <w:spacing w:before="0" w:after="0" w:line="240" w:lineRule="auto"/>
              <w:jc w:val="left"/>
              <w:rPr>
                <w:rFonts w:ascii="等线" w:eastAsia="等线" w:hAnsi="宋体" w:cs="宋体"/>
                <w:color w:val="000000"/>
                <w:kern w:val="0"/>
                <w:sz w:val="22"/>
              </w:rPr>
            </w:pPr>
          </w:p>
        </w:tc>
      </w:tr>
      <w:tr>
        <w:tblPrEx>
          <w:tblW w:w="15460" w:type="dxa"/>
          <w:tblInd w:w="0" w:type="dxa"/>
          <w:tblBorders/>
          <w:shd w:val="clear" w:color="auto" w:fill="auto"/>
          <w:tblLayout w:type="fixed"/>
          <w:tblCellMar>
            <w:top w:w="0" w:type="dxa"/>
            <w:left w:w="108" w:type="dxa"/>
            <w:bottom w:w="0" w:type="dxa"/>
            <w:right w:w="108" w:type="dxa"/>
          </w:tblCellMar>
        </w:tblPrEx>
        <w:trPr>
          <w:trHeight w:val="762"/>
        </w:trPr>
        <w:tc>
          <w:tcPr>
            <w:tcW w:w="1383" w:type="dxa"/>
            <w:vMerge/>
            <w:tcBorders>
              <w:top w:val="single" w:sz="4" w:space="0" w:color="auto"/>
              <w:left w:val="single" w:sz="4" w:space="0" w:color="auto"/>
              <w:bottom w:val="single" w:sz="4" w:space="0" w:color="auto"/>
              <w:right w:val="single" w:sz="4" w:space="0" w:color="auto"/>
            </w:tcBorders>
            <w:vAlign w:val="center"/>
          </w:tcPr>
          <w:p>
            <w:pPr>
              <w:pStyle w:val="Normal_7ed055b3-1ea0-41a4-952f-4367d909e9a5"/>
              <w:widowControl/>
              <w:spacing w:before="0" w:after="0" w:line="240" w:lineRule="auto"/>
              <w:jc w:val="left"/>
              <w:rPr>
                <w:rFonts w:ascii="宋体" w:eastAsia="宋体" w:hAnsi="宋体" w:cs="宋体"/>
                <w:kern w:val="0"/>
                <w:sz w:val="24"/>
                <w:szCs w:val="24"/>
              </w:rPr>
            </w:pPr>
          </w:p>
        </w:tc>
        <w:tc>
          <w:tcPr>
            <w:tcW w:w="2269"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时效指标</w:t>
            </w:r>
          </w:p>
        </w:tc>
        <w:tc>
          <w:tcPr>
            <w:tcW w:w="2633"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办理电子印章的平均实效</w:t>
            </w:r>
          </w:p>
        </w:tc>
        <w:tc>
          <w:tcPr>
            <w:tcW w:w="2074"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≤2天</w:t>
            </w:r>
          </w:p>
        </w:tc>
        <w:tc>
          <w:tcPr>
            <w:tcW w:w="2266"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1天</w:t>
            </w:r>
          </w:p>
        </w:tc>
        <w:tc>
          <w:tcPr>
            <w:tcW w:w="1160"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10</w:t>
            </w:r>
          </w:p>
        </w:tc>
        <w:tc>
          <w:tcPr>
            <w:tcW w:w="1055"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10</w:t>
            </w:r>
          </w:p>
        </w:tc>
        <w:tc>
          <w:tcPr>
            <w:tcW w:w="935" w:type="dxa"/>
            <w:tcBorders>
              <w:top w:val="nil"/>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0.00</w:t>
            </w:r>
          </w:p>
        </w:tc>
        <w:tc>
          <w:tcPr>
            <w:tcW w:w="1449" w:type="dxa"/>
            <w:tcBorders>
              <w:top w:val="nil"/>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6" w:type="dxa"/>
            <w:tcBorders>
              <w:top w:val="nil"/>
              <w:left w:val="nil"/>
              <w:bottom w:val="nil"/>
              <w:right w:val="nil"/>
            </w:tcBorders>
            <w:shd w:val="clear" w:color="auto" w:fill="auto"/>
            <w:noWrap w:val="1"/>
            <w:vAlign w:val="bottom"/>
          </w:tcPr>
          <w:p>
            <w:pPr>
              <w:pStyle w:val="Normal_7ed055b3-1ea0-41a4-952f-4367d909e9a5"/>
              <w:widowControl/>
              <w:spacing w:before="0" w:after="0" w:line="240" w:lineRule="auto"/>
              <w:jc w:val="left"/>
              <w:rPr>
                <w:rFonts w:ascii="等线" w:eastAsia="等线" w:hAnsi="宋体" w:cs="宋体"/>
                <w:color w:val="000000"/>
                <w:kern w:val="0"/>
                <w:sz w:val="22"/>
              </w:rPr>
            </w:pPr>
          </w:p>
        </w:tc>
      </w:tr>
      <w:tr>
        <w:tblPrEx>
          <w:tblW w:w="15460" w:type="dxa"/>
          <w:tblInd w:w="0" w:type="dxa"/>
          <w:tblBorders/>
          <w:shd w:val="clear" w:color="auto" w:fill="auto"/>
          <w:tblLayout w:type="fixed"/>
          <w:tblCellMar>
            <w:top w:w="0" w:type="dxa"/>
            <w:left w:w="108" w:type="dxa"/>
            <w:bottom w:w="0" w:type="dxa"/>
            <w:right w:w="108" w:type="dxa"/>
          </w:tblCellMar>
        </w:tblPrEx>
        <w:trPr>
          <w:trHeight w:val="762"/>
        </w:trPr>
        <w:tc>
          <w:tcPr>
            <w:tcW w:w="13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效益指标</w:t>
            </w:r>
          </w:p>
        </w:tc>
        <w:tc>
          <w:tcPr>
            <w:tcW w:w="2269"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社会效益指标</w:t>
            </w:r>
          </w:p>
        </w:tc>
        <w:tc>
          <w:tcPr>
            <w:tcW w:w="2633"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提高行政服务效率，减少办理环节</w:t>
            </w:r>
          </w:p>
        </w:tc>
        <w:tc>
          <w:tcPr>
            <w:tcW w:w="2074"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方便群众办事</w:t>
            </w:r>
          </w:p>
        </w:tc>
        <w:tc>
          <w:tcPr>
            <w:tcW w:w="2266"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100%</w:t>
            </w:r>
          </w:p>
        </w:tc>
        <w:tc>
          <w:tcPr>
            <w:tcW w:w="1160"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15</w:t>
            </w:r>
          </w:p>
        </w:tc>
        <w:tc>
          <w:tcPr>
            <w:tcW w:w="1055"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15</w:t>
            </w:r>
          </w:p>
        </w:tc>
        <w:tc>
          <w:tcPr>
            <w:tcW w:w="935" w:type="dxa"/>
            <w:tcBorders>
              <w:top w:val="nil"/>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0.00</w:t>
            </w:r>
          </w:p>
        </w:tc>
        <w:tc>
          <w:tcPr>
            <w:tcW w:w="1449" w:type="dxa"/>
            <w:tcBorders>
              <w:top w:val="nil"/>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6" w:type="dxa"/>
            <w:tcBorders>
              <w:top w:val="nil"/>
              <w:left w:val="nil"/>
              <w:bottom w:val="nil"/>
              <w:right w:val="nil"/>
            </w:tcBorders>
            <w:shd w:val="clear" w:color="auto" w:fill="auto"/>
            <w:noWrap w:val="1"/>
            <w:vAlign w:val="bottom"/>
          </w:tcPr>
          <w:p>
            <w:pPr>
              <w:pStyle w:val="Normal_7ed055b3-1ea0-41a4-952f-4367d909e9a5"/>
              <w:widowControl/>
              <w:spacing w:before="0" w:after="0" w:line="240" w:lineRule="auto"/>
              <w:jc w:val="left"/>
              <w:rPr>
                <w:rFonts w:ascii="等线" w:eastAsia="等线" w:hAnsi="宋体" w:cs="宋体"/>
                <w:color w:val="000000"/>
                <w:kern w:val="0"/>
                <w:sz w:val="22"/>
              </w:rPr>
            </w:pPr>
          </w:p>
        </w:tc>
      </w:tr>
      <w:tr>
        <w:tblPrEx>
          <w:tblW w:w="15460" w:type="dxa"/>
          <w:tblInd w:w="0" w:type="dxa"/>
          <w:tblBorders/>
          <w:shd w:val="clear" w:color="auto" w:fill="auto"/>
          <w:tblLayout w:type="fixed"/>
          <w:tblCellMar>
            <w:top w:w="0" w:type="dxa"/>
            <w:left w:w="108" w:type="dxa"/>
            <w:bottom w:w="0" w:type="dxa"/>
            <w:right w:w="108" w:type="dxa"/>
          </w:tblCellMar>
        </w:tblPrEx>
        <w:trPr>
          <w:trHeight w:val="762"/>
        </w:trPr>
        <w:tc>
          <w:tcPr>
            <w:tcW w:w="1383" w:type="dxa"/>
            <w:vMerge/>
            <w:tcBorders>
              <w:top w:val="single" w:sz="4" w:space="0" w:color="auto"/>
              <w:left w:val="single" w:sz="4" w:space="0" w:color="auto"/>
              <w:bottom w:val="single" w:sz="4" w:space="0" w:color="auto"/>
              <w:right w:val="single" w:sz="4" w:space="0" w:color="auto"/>
            </w:tcBorders>
            <w:vAlign w:val="center"/>
          </w:tcPr>
          <w:p>
            <w:pPr>
              <w:pStyle w:val="Normal_7ed055b3-1ea0-41a4-952f-4367d909e9a5"/>
              <w:widowControl/>
              <w:spacing w:before="0" w:after="0" w:line="240" w:lineRule="auto"/>
              <w:jc w:val="left"/>
              <w:rPr>
                <w:rFonts w:ascii="宋体" w:eastAsia="宋体" w:hAnsi="宋体" w:cs="宋体"/>
                <w:kern w:val="0"/>
                <w:sz w:val="24"/>
                <w:szCs w:val="24"/>
              </w:rPr>
            </w:pPr>
          </w:p>
        </w:tc>
        <w:tc>
          <w:tcPr>
            <w:tcW w:w="2269"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生态效益指标</w:t>
            </w:r>
          </w:p>
        </w:tc>
        <w:tc>
          <w:tcPr>
            <w:tcW w:w="2633"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明显减少各单位纸质证照使用</w:t>
            </w:r>
          </w:p>
        </w:tc>
        <w:tc>
          <w:tcPr>
            <w:tcW w:w="2074"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明显减少</w:t>
            </w:r>
          </w:p>
        </w:tc>
        <w:tc>
          <w:tcPr>
            <w:tcW w:w="2266"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100%</w:t>
            </w:r>
          </w:p>
        </w:tc>
        <w:tc>
          <w:tcPr>
            <w:tcW w:w="1160"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10</w:t>
            </w:r>
          </w:p>
        </w:tc>
        <w:tc>
          <w:tcPr>
            <w:tcW w:w="1055"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10</w:t>
            </w:r>
          </w:p>
        </w:tc>
        <w:tc>
          <w:tcPr>
            <w:tcW w:w="935" w:type="dxa"/>
            <w:tcBorders>
              <w:top w:val="nil"/>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0.00</w:t>
            </w:r>
          </w:p>
        </w:tc>
        <w:tc>
          <w:tcPr>
            <w:tcW w:w="1449" w:type="dxa"/>
            <w:tcBorders>
              <w:top w:val="nil"/>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6" w:type="dxa"/>
            <w:tcBorders>
              <w:top w:val="nil"/>
              <w:left w:val="nil"/>
              <w:bottom w:val="nil"/>
              <w:right w:val="nil"/>
            </w:tcBorders>
            <w:shd w:val="clear" w:color="auto" w:fill="auto"/>
            <w:noWrap w:val="1"/>
            <w:vAlign w:val="bottom"/>
          </w:tcPr>
          <w:p>
            <w:pPr>
              <w:pStyle w:val="Normal_7ed055b3-1ea0-41a4-952f-4367d909e9a5"/>
              <w:widowControl/>
              <w:spacing w:before="0" w:after="0" w:line="240" w:lineRule="auto"/>
              <w:jc w:val="left"/>
              <w:rPr>
                <w:rFonts w:ascii="等线" w:eastAsia="等线" w:hAnsi="宋体" w:cs="宋体"/>
                <w:color w:val="000000"/>
                <w:kern w:val="0"/>
                <w:sz w:val="22"/>
              </w:rPr>
            </w:pPr>
          </w:p>
        </w:tc>
      </w:tr>
      <w:tr>
        <w:tblPrEx>
          <w:tblW w:w="15460" w:type="dxa"/>
          <w:tblInd w:w="0" w:type="dxa"/>
          <w:tblBorders/>
          <w:shd w:val="clear" w:color="auto" w:fill="auto"/>
          <w:tblLayout w:type="fixed"/>
          <w:tblCellMar>
            <w:top w:w="0" w:type="dxa"/>
            <w:left w:w="108" w:type="dxa"/>
            <w:bottom w:w="0" w:type="dxa"/>
            <w:right w:w="108" w:type="dxa"/>
          </w:tblCellMar>
        </w:tblPrEx>
        <w:trPr>
          <w:trHeight w:val="762"/>
        </w:trPr>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满意度指标</w:t>
            </w:r>
          </w:p>
        </w:tc>
        <w:tc>
          <w:tcPr>
            <w:tcW w:w="2269"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服务对象满意度指标</w:t>
            </w:r>
          </w:p>
        </w:tc>
        <w:tc>
          <w:tcPr>
            <w:tcW w:w="2633"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对口单位满意程度</w:t>
            </w:r>
          </w:p>
        </w:tc>
        <w:tc>
          <w:tcPr>
            <w:tcW w:w="2074"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=100%</w:t>
            </w:r>
          </w:p>
        </w:tc>
        <w:tc>
          <w:tcPr>
            <w:tcW w:w="2266"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100%</w:t>
            </w:r>
          </w:p>
        </w:tc>
        <w:tc>
          <w:tcPr>
            <w:tcW w:w="1160"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5</w:t>
            </w:r>
          </w:p>
        </w:tc>
        <w:tc>
          <w:tcPr>
            <w:tcW w:w="1055"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5</w:t>
            </w:r>
          </w:p>
        </w:tc>
        <w:tc>
          <w:tcPr>
            <w:tcW w:w="935" w:type="dxa"/>
            <w:tcBorders>
              <w:top w:val="nil"/>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0.00</w:t>
            </w:r>
          </w:p>
        </w:tc>
        <w:tc>
          <w:tcPr>
            <w:tcW w:w="1449" w:type="dxa"/>
            <w:tcBorders>
              <w:top w:val="nil"/>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6" w:type="dxa"/>
            <w:tcBorders>
              <w:top w:val="nil"/>
              <w:left w:val="nil"/>
              <w:bottom w:val="nil"/>
              <w:right w:val="nil"/>
            </w:tcBorders>
            <w:shd w:val="clear" w:color="auto" w:fill="auto"/>
            <w:noWrap w:val="1"/>
            <w:vAlign w:val="bottom"/>
          </w:tcPr>
          <w:p>
            <w:pPr>
              <w:pStyle w:val="Normal_7ed055b3-1ea0-41a4-952f-4367d909e9a5"/>
              <w:widowControl/>
              <w:spacing w:before="0" w:after="0" w:line="240" w:lineRule="auto"/>
              <w:jc w:val="left"/>
              <w:rPr>
                <w:rFonts w:ascii="等线" w:eastAsia="等线" w:hAnsi="宋体" w:cs="宋体"/>
                <w:color w:val="000000"/>
                <w:kern w:val="0"/>
                <w:sz w:val="22"/>
              </w:rPr>
            </w:pPr>
          </w:p>
        </w:tc>
      </w:tr>
      <w:tr>
        <w:tblPrEx>
          <w:tblW w:w="15460" w:type="dxa"/>
          <w:tblInd w:w="0" w:type="dxa"/>
          <w:tblBorders/>
          <w:shd w:val="clear" w:color="auto" w:fill="auto"/>
          <w:tblLayout w:type="fixed"/>
          <w:tblCellMar>
            <w:top w:w="0" w:type="dxa"/>
            <w:left w:w="108" w:type="dxa"/>
            <w:bottom w:w="0" w:type="dxa"/>
            <w:right w:w="108" w:type="dxa"/>
          </w:tblCellMar>
        </w:tblPrEx>
        <w:trPr>
          <w:trHeight w:val="762"/>
        </w:trPr>
        <w:tc>
          <w:tcPr>
            <w:tcW w:w="106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总分</w:t>
            </w:r>
          </w:p>
        </w:tc>
        <w:tc>
          <w:tcPr>
            <w:tcW w:w="1160"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100</w:t>
            </w:r>
          </w:p>
        </w:tc>
        <w:tc>
          <w:tcPr>
            <w:tcW w:w="1055" w:type="dxa"/>
            <w:tcBorders>
              <w:top w:val="single" w:sz="4" w:space="0" w:color="auto"/>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100</w:t>
            </w:r>
          </w:p>
        </w:tc>
        <w:tc>
          <w:tcPr>
            <w:tcW w:w="935" w:type="dxa"/>
            <w:tcBorders>
              <w:top w:val="nil"/>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49" w:type="dxa"/>
            <w:tcBorders>
              <w:top w:val="nil"/>
              <w:left w:val="nil"/>
              <w:bottom w:val="single" w:sz="4" w:space="0" w:color="auto"/>
              <w:right w:val="single" w:sz="4" w:space="0" w:color="auto"/>
            </w:tcBorders>
            <w:shd w:val="clear" w:color="auto" w:fill="auto"/>
            <w:vAlign w:val="center"/>
          </w:tcPr>
          <w:p>
            <w:pPr>
              <w:pStyle w:val="Normal_7ed055b3-1ea0-41a4-952f-4367d909e9a5"/>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6" w:type="dxa"/>
            <w:tcBorders>
              <w:top w:val="nil"/>
              <w:left w:val="nil"/>
              <w:bottom w:val="nil"/>
              <w:right w:val="nil"/>
            </w:tcBorders>
            <w:shd w:val="clear" w:color="auto" w:fill="auto"/>
            <w:noWrap w:val="1"/>
            <w:vAlign w:val="bottom"/>
          </w:tcPr>
          <w:p>
            <w:pPr>
              <w:pStyle w:val="Normal_7ed055b3-1ea0-41a4-952f-4367d909e9a5"/>
              <w:widowControl/>
              <w:spacing w:before="0" w:after="0" w:line="240" w:lineRule="auto"/>
              <w:jc w:val="left"/>
              <w:rPr>
                <w:rFonts w:ascii="等线" w:eastAsia="等线" w:hAnsi="宋体" w:cs="宋体"/>
                <w:color w:val="000000"/>
                <w:kern w:val="0"/>
                <w:sz w:val="22"/>
              </w:rPr>
            </w:pPr>
          </w:p>
        </w:tc>
      </w:tr>
    </w:tbl>
    <w:p>
      <w:pPr>
        <w:pStyle w:val="Normal_7ed055b3-1ea0-41a4-952f-4367d909e9a5"/>
        <w:sectPr>
          <w:pgSz w:w="16838" w:h="11906" w:orient="landscape"/>
          <w:pgMar w:top="1406" w:right="1213" w:bottom="1463" w:left="1213" w:header="851" w:footer="992" w:gutter="0"/>
          <w:cols w:num="1" w:space="425">
            <w:col w:w="14412"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2"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224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7ed055b3-1ea0-41a4-952f-4367d909e9a5">
    <w:name w:val="Normal_7ed055b3-1ea0-41a4-952f-4367d909e9a5"/>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6bba9b92-dff2-4a7e-837b-107474953ab0">
    <w:name w:val="Normal Table_6bba9b92-dff2-4a7e-837b-107474953ab0"/>
    <w:semiHidden/>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2024-09-25T01:00:08Z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44</Pages>
  <Words>6696</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