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许昌市按摩医院单位决算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许昌市按摩医院概况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许昌市按摩医院概况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担集中安排残疾人的任务，面向社会提供针灸、推拿等专门医疗服务；面向全市16岁以上城乡特困、城乡低保、流浪乞讨人员、优抚对象等民政服务群体中的精神障碍患者、重度残疾人等开展安置、供养、救治、救助、康复、护理和照料及收养三无老人等服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按摩医院内设机构18个,包括：专家门诊、中医科、内科、骨伤科、中医推拿科、针灸科、综合理疗科、肌电图室、检验科、B超室、放射科、康复科、住院部、肛肠科、外科、中西药房、心电图室、社区精神障碍康复。</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从决算单位构成看，许昌市按摩医院单位决算包括：本级决算（1个）。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许昌市按摩医院</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单位：许昌市按摩医院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113.48</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325.00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217.89</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0.15</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292.80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391.69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656.52</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684.49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66.69</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38.72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723.21</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723.21</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单位：许昌市按摩医院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656.52</w:t>
            </w:r>
          </w:p>
        </w:tc>
        <w:tc>
          <w:tcPr>
            <w:tcW w:w="1440" w:type="dxa"/>
            <w:vAlign w:val="center"/>
          </w:tcPr>
          <w:p>
            <w:pPr>
              <w:jc w:val="right"/>
            </w:pPr>
            <w:r>
              <w:rPr>
                <w:rFonts w:ascii="宋体" w:hAnsi="宋体" w:eastAsia="宋体" w:cs="宋体"/>
                <w:b/>
                <w:i w:val="0"/>
                <w:color w:val="000000"/>
                <w:sz w:val="17"/>
              </w:rPr>
              <w:t>438.48</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217.89</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331.52</w:t>
            </w:r>
          </w:p>
        </w:tc>
        <w:tc>
          <w:tcPr>
            <w:tcW w:w="1440" w:type="dxa"/>
            <w:vAlign w:val="center"/>
          </w:tcPr>
          <w:p>
            <w:pPr>
              <w:jc w:val="right"/>
            </w:pPr>
            <w:r>
              <w:rPr>
                <w:rFonts w:ascii="宋体" w:hAnsi="宋体" w:eastAsia="宋体" w:cs="宋体"/>
                <w:b w:val="0"/>
                <w:i w:val="0"/>
                <w:color w:val="000000"/>
                <w:sz w:val="17"/>
              </w:rPr>
              <w:t>113.48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217.89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w:t>
            </w:r>
          </w:p>
        </w:tc>
        <w:tc>
          <w:tcPr>
            <w:tcW w:w="3140" w:type="dxa"/>
            <w:vAlign w:val="center"/>
          </w:tcPr>
          <w:p>
            <w:pPr>
              <w:jc w:val="left"/>
            </w:pPr>
            <w:r>
              <w:rPr>
                <w:rFonts w:ascii="宋体" w:hAnsi="宋体" w:eastAsia="宋体" w:cs="宋体"/>
                <w:b w:val="0"/>
                <w:i w:val="0"/>
                <w:color w:val="000000"/>
                <w:sz w:val="17"/>
              </w:rPr>
              <w:t>社会福利</w:t>
            </w:r>
          </w:p>
        </w:tc>
        <w:tc>
          <w:tcPr>
            <w:tcW w:w="1440" w:type="dxa"/>
            <w:vAlign w:val="center"/>
          </w:tcPr>
          <w:p>
            <w:pPr>
              <w:jc w:val="right"/>
            </w:pPr>
            <w:r>
              <w:rPr>
                <w:rFonts w:ascii="宋体" w:hAnsi="宋体" w:eastAsia="宋体" w:cs="宋体"/>
                <w:b w:val="0"/>
                <w:i w:val="0"/>
                <w:color w:val="000000"/>
                <w:sz w:val="17"/>
              </w:rPr>
              <w:t>331.52</w:t>
            </w:r>
          </w:p>
        </w:tc>
        <w:tc>
          <w:tcPr>
            <w:tcW w:w="1440" w:type="dxa"/>
            <w:vAlign w:val="center"/>
          </w:tcPr>
          <w:p>
            <w:pPr>
              <w:jc w:val="right"/>
            </w:pPr>
            <w:r>
              <w:rPr>
                <w:rFonts w:ascii="宋体" w:hAnsi="宋体" w:eastAsia="宋体" w:cs="宋体"/>
                <w:b w:val="0"/>
                <w:i w:val="0"/>
                <w:color w:val="000000"/>
                <w:sz w:val="17"/>
              </w:rPr>
              <w:t>113.48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217.89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2081005</w:t>
            </w:r>
          </w:p>
        </w:tc>
        <w:tc>
          <w:tcPr>
            <w:tcW w:w="3140" w:type="dxa"/>
            <w:vAlign w:val="center"/>
          </w:tcPr>
          <w:p>
            <w:pPr>
              <w:jc w:val="left"/>
            </w:pPr>
            <w:r>
              <w:rPr>
                <w:rFonts w:ascii="宋体" w:hAnsi="宋体" w:eastAsia="宋体" w:cs="宋体"/>
                <w:b w:val="0"/>
                <w:i w:val="0"/>
                <w:color w:val="000000"/>
                <w:sz w:val="17"/>
              </w:rPr>
              <w:t>社会福利事业单位</w:t>
            </w:r>
          </w:p>
        </w:tc>
        <w:tc>
          <w:tcPr>
            <w:tcW w:w="1440" w:type="dxa"/>
            <w:vAlign w:val="center"/>
          </w:tcPr>
          <w:p>
            <w:pPr>
              <w:jc w:val="right"/>
            </w:pPr>
            <w:r>
              <w:rPr>
                <w:rFonts w:ascii="宋体" w:hAnsi="宋体" w:eastAsia="宋体" w:cs="宋体"/>
                <w:b w:val="0"/>
                <w:i w:val="0"/>
                <w:color w:val="000000"/>
                <w:sz w:val="17"/>
              </w:rPr>
              <w:t>331.52</w:t>
            </w:r>
          </w:p>
        </w:tc>
        <w:tc>
          <w:tcPr>
            <w:tcW w:w="1440" w:type="dxa"/>
            <w:vAlign w:val="center"/>
          </w:tcPr>
          <w:p>
            <w:pPr>
              <w:jc w:val="right"/>
            </w:pPr>
            <w:r>
              <w:rPr>
                <w:rFonts w:ascii="宋体" w:hAnsi="宋体" w:eastAsia="宋体" w:cs="宋体"/>
                <w:b w:val="0"/>
                <w:i w:val="0"/>
                <w:color w:val="000000"/>
                <w:sz w:val="17"/>
              </w:rPr>
              <w:t>113.48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217.89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325.00</w:t>
            </w:r>
          </w:p>
        </w:tc>
        <w:tc>
          <w:tcPr>
            <w:tcW w:w="1440" w:type="dxa"/>
            <w:vAlign w:val="center"/>
          </w:tcPr>
          <w:p>
            <w:pPr>
              <w:jc w:val="right"/>
            </w:pPr>
            <w:r>
              <w:rPr>
                <w:rFonts w:ascii="宋体" w:hAnsi="宋体" w:eastAsia="宋体" w:cs="宋体"/>
                <w:b w:val="0"/>
                <w:i w:val="0"/>
                <w:color w:val="000000"/>
                <w:sz w:val="17"/>
              </w:rPr>
              <w:t>325.00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w:t>
            </w:r>
          </w:p>
        </w:tc>
        <w:tc>
          <w:tcPr>
            <w:tcW w:w="3140" w:type="dxa"/>
            <w:vAlign w:val="center"/>
          </w:tcPr>
          <w:p>
            <w:pPr>
              <w:jc w:val="left"/>
            </w:pPr>
            <w:r>
              <w:rPr>
                <w:rFonts w:ascii="宋体" w:hAnsi="宋体" w:eastAsia="宋体" w:cs="宋体"/>
                <w:b w:val="0"/>
                <w:i w:val="0"/>
                <w:color w:val="000000"/>
                <w:sz w:val="17"/>
              </w:rPr>
              <w:t>彩票公益金安排的支出</w:t>
            </w:r>
          </w:p>
        </w:tc>
        <w:tc>
          <w:tcPr>
            <w:tcW w:w="1440" w:type="dxa"/>
            <w:vAlign w:val="center"/>
          </w:tcPr>
          <w:p>
            <w:pPr>
              <w:jc w:val="right"/>
            </w:pPr>
            <w:r>
              <w:rPr>
                <w:rFonts w:ascii="宋体" w:hAnsi="宋体" w:eastAsia="宋体" w:cs="宋体"/>
                <w:b w:val="0"/>
                <w:i w:val="0"/>
                <w:color w:val="000000"/>
                <w:sz w:val="17"/>
              </w:rPr>
              <w:t>325.00</w:t>
            </w:r>
          </w:p>
        </w:tc>
        <w:tc>
          <w:tcPr>
            <w:tcW w:w="1440" w:type="dxa"/>
            <w:vAlign w:val="center"/>
          </w:tcPr>
          <w:p>
            <w:pPr>
              <w:jc w:val="right"/>
            </w:pPr>
            <w:r>
              <w:rPr>
                <w:rFonts w:ascii="宋体" w:hAnsi="宋体" w:eastAsia="宋体" w:cs="宋体"/>
                <w:b w:val="0"/>
                <w:i w:val="0"/>
                <w:color w:val="000000"/>
                <w:sz w:val="17"/>
              </w:rPr>
              <w:t>325.00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2296002</w:t>
            </w:r>
          </w:p>
        </w:tc>
        <w:tc>
          <w:tcPr>
            <w:tcW w:w="3140" w:type="dxa"/>
            <w:vAlign w:val="center"/>
          </w:tcPr>
          <w:p>
            <w:pPr>
              <w:jc w:val="left"/>
            </w:pPr>
            <w:r>
              <w:rPr>
                <w:rFonts w:ascii="宋体" w:hAnsi="宋体" w:eastAsia="宋体" w:cs="宋体"/>
                <w:b w:val="0"/>
                <w:i w:val="0"/>
                <w:color w:val="000000"/>
                <w:sz w:val="17"/>
              </w:rPr>
              <w:t>用于社会福利的彩票公益金支出</w:t>
            </w:r>
          </w:p>
        </w:tc>
        <w:tc>
          <w:tcPr>
            <w:tcW w:w="1440" w:type="dxa"/>
            <w:vAlign w:val="center"/>
          </w:tcPr>
          <w:p>
            <w:pPr>
              <w:jc w:val="right"/>
            </w:pPr>
            <w:r>
              <w:rPr>
                <w:rFonts w:ascii="宋体" w:hAnsi="宋体" w:eastAsia="宋体" w:cs="宋体"/>
                <w:b w:val="0"/>
                <w:i w:val="0"/>
                <w:color w:val="000000"/>
                <w:sz w:val="17"/>
              </w:rPr>
              <w:t>325.00</w:t>
            </w:r>
          </w:p>
        </w:tc>
        <w:tc>
          <w:tcPr>
            <w:tcW w:w="1440" w:type="dxa"/>
            <w:vAlign w:val="center"/>
          </w:tcPr>
          <w:p>
            <w:pPr>
              <w:jc w:val="right"/>
            </w:pPr>
            <w:r>
              <w:rPr>
                <w:rFonts w:ascii="宋体" w:hAnsi="宋体" w:eastAsia="宋体" w:cs="宋体"/>
                <w:b w:val="0"/>
                <w:i w:val="0"/>
                <w:color w:val="000000"/>
                <w:sz w:val="17"/>
              </w:rPr>
              <w:t>325.00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单位：许昌市按摩医院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684.49</w:t>
            </w:r>
          </w:p>
        </w:tc>
        <w:tc>
          <w:tcPr>
            <w:tcW w:w="1600" w:type="dxa"/>
            <w:vAlign w:val="center"/>
          </w:tcPr>
          <w:p>
            <w:pPr>
              <w:jc w:val="right"/>
            </w:pPr>
            <w:r>
              <w:rPr>
                <w:rFonts w:ascii="宋体" w:hAnsi="宋体" w:eastAsia="宋体" w:cs="宋体"/>
                <w:b/>
                <w:i w:val="0"/>
                <w:color w:val="000000"/>
                <w:sz w:val="19"/>
              </w:rPr>
              <w:t>292.80</w:t>
            </w:r>
          </w:p>
        </w:tc>
        <w:tc>
          <w:tcPr>
            <w:tcW w:w="1600" w:type="dxa"/>
            <w:vAlign w:val="center"/>
          </w:tcPr>
          <w:p>
            <w:pPr>
              <w:jc w:val="right"/>
            </w:pPr>
            <w:r>
              <w:rPr>
                <w:rFonts w:ascii="宋体" w:hAnsi="宋体" w:eastAsia="宋体" w:cs="宋体"/>
                <w:b/>
                <w:i w:val="0"/>
                <w:color w:val="000000"/>
                <w:sz w:val="19"/>
              </w:rPr>
              <w:t>391.69</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292.80</w:t>
            </w:r>
          </w:p>
        </w:tc>
        <w:tc>
          <w:tcPr>
            <w:tcW w:w="1600" w:type="dxa"/>
            <w:vAlign w:val="center"/>
          </w:tcPr>
          <w:p>
            <w:pPr>
              <w:jc w:val="right"/>
            </w:pPr>
            <w:r>
              <w:rPr>
                <w:rFonts w:ascii="宋体" w:hAnsi="宋体" w:eastAsia="宋体" w:cs="宋体"/>
                <w:b w:val="0"/>
                <w:i w:val="0"/>
                <w:color w:val="000000"/>
                <w:sz w:val="19"/>
              </w:rPr>
              <w:t>292.80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w:t>
            </w:r>
          </w:p>
        </w:tc>
        <w:tc>
          <w:tcPr>
            <w:tcW w:w="3480" w:type="dxa"/>
            <w:vAlign w:val="center"/>
          </w:tcPr>
          <w:p>
            <w:pPr>
              <w:jc w:val="left"/>
            </w:pPr>
            <w:r>
              <w:rPr>
                <w:rFonts w:ascii="宋体" w:hAnsi="宋体" w:eastAsia="宋体" w:cs="宋体"/>
                <w:b w:val="0"/>
                <w:i w:val="0"/>
                <w:color w:val="000000"/>
                <w:sz w:val="19"/>
              </w:rPr>
              <w:t>社会福利</w:t>
            </w:r>
          </w:p>
        </w:tc>
        <w:tc>
          <w:tcPr>
            <w:tcW w:w="1600" w:type="dxa"/>
            <w:vAlign w:val="center"/>
          </w:tcPr>
          <w:p>
            <w:pPr>
              <w:jc w:val="right"/>
            </w:pPr>
            <w:r>
              <w:rPr>
                <w:rFonts w:ascii="宋体" w:hAnsi="宋体" w:eastAsia="宋体" w:cs="宋体"/>
                <w:b w:val="0"/>
                <w:i w:val="0"/>
                <w:color w:val="000000"/>
                <w:sz w:val="19"/>
              </w:rPr>
              <w:t>292.80</w:t>
            </w:r>
          </w:p>
        </w:tc>
        <w:tc>
          <w:tcPr>
            <w:tcW w:w="1600" w:type="dxa"/>
            <w:vAlign w:val="center"/>
          </w:tcPr>
          <w:p>
            <w:pPr>
              <w:jc w:val="right"/>
            </w:pPr>
            <w:r>
              <w:rPr>
                <w:rFonts w:ascii="宋体" w:hAnsi="宋体" w:eastAsia="宋体" w:cs="宋体"/>
                <w:b w:val="0"/>
                <w:i w:val="0"/>
                <w:color w:val="000000"/>
                <w:sz w:val="19"/>
              </w:rPr>
              <w:t>292.80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2081005</w:t>
            </w:r>
          </w:p>
        </w:tc>
        <w:tc>
          <w:tcPr>
            <w:tcW w:w="3480" w:type="dxa"/>
            <w:vAlign w:val="center"/>
          </w:tcPr>
          <w:p>
            <w:pPr>
              <w:jc w:val="left"/>
            </w:pPr>
            <w:r>
              <w:rPr>
                <w:rFonts w:ascii="宋体" w:hAnsi="宋体" w:eastAsia="宋体" w:cs="宋体"/>
                <w:b w:val="0"/>
                <w:i w:val="0"/>
                <w:color w:val="000000"/>
                <w:sz w:val="19"/>
              </w:rPr>
              <w:t>社会福利事业单位</w:t>
            </w:r>
          </w:p>
        </w:tc>
        <w:tc>
          <w:tcPr>
            <w:tcW w:w="1600" w:type="dxa"/>
            <w:vAlign w:val="center"/>
          </w:tcPr>
          <w:p>
            <w:pPr>
              <w:jc w:val="right"/>
            </w:pPr>
            <w:r>
              <w:rPr>
                <w:rFonts w:ascii="宋体" w:hAnsi="宋体" w:eastAsia="宋体" w:cs="宋体"/>
                <w:b w:val="0"/>
                <w:i w:val="0"/>
                <w:color w:val="000000"/>
                <w:sz w:val="19"/>
              </w:rPr>
              <w:t>292.80</w:t>
            </w:r>
          </w:p>
        </w:tc>
        <w:tc>
          <w:tcPr>
            <w:tcW w:w="1600" w:type="dxa"/>
            <w:vAlign w:val="center"/>
          </w:tcPr>
          <w:p>
            <w:pPr>
              <w:jc w:val="right"/>
            </w:pPr>
            <w:r>
              <w:rPr>
                <w:rFonts w:ascii="宋体" w:hAnsi="宋体" w:eastAsia="宋体" w:cs="宋体"/>
                <w:b w:val="0"/>
                <w:i w:val="0"/>
                <w:color w:val="000000"/>
                <w:sz w:val="19"/>
              </w:rPr>
              <w:t>292.80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391.69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391.69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22960</w:t>
            </w:r>
          </w:p>
        </w:tc>
        <w:tc>
          <w:tcPr>
            <w:tcW w:w="3480" w:type="dxa"/>
            <w:vAlign w:val="center"/>
          </w:tcPr>
          <w:p>
            <w:pPr>
              <w:jc w:val="left"/>
            </w:pPr>
            <w:r>
              <w:rPr>
                <w:rFonts w:ascii="宋体" w:hAnsi="宋体" w:eastAsia="宋体" w:cs="宋体"/>
                <w:b w:val="0"/>
                <w:i w:val="0"/>
                <w:color w:val="000000"/>
                <w:sz w:val="19"/>
              </w:rPr>
              <w:t>彩票公益金安排的支出</w:t>
            </w:r>
          </w:p>
        </w:tc>
        <w:tc>
          <w:tcPr>
            <w:tcW w:w="1600" w:type="dxa"/>
            <w:vAlign w:val="center"/>
          </w:tcPr>
          <w:p>
            <w:pPr>
              <w:jc w:val="right"/>
            </w:pPr>
            <w:r>
              <w:rPr>
                <w:rFonts w:ascii="宋体" w:hAnsi="宋体" w:eastAsia="宋体" w:cs="宋体"/>
                <w:b w:val="0"/>
                <w:i w:val="0"/>
                <w:color w:val="000000"/>
                <w:sz w:val="19"/>
              </w:rPr>
              <w:t>391.69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391.69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2296002</w:t>
            </w:r>
          </w:p>
        </w:tc>
        <w:tc>
          <w:tcPr>
            <w:tcW w:w="3480" w:type="dxa"/>
            <w:vAlign w:val="center"/>
          </w:tcPr>
          <w:p>
            <w:pPr>
              <w:jc w:val="left"/>
            </w:pPr>
            <w:r>
              <w:rPr>
                <w:rFonts w:ascii="宋体" w:hAnsi="宋体" w:eastAsia="宋体" w:cs="宋体"/>
                <w:b w:val="0"/>
                <w:i w:val="0"/>
                <w:color w:val="000000"/>
                <w:sz w:val="19"/>
              </w:rPr>
              <w:t>用于社会福利的彩票公益金支出</w:t>
            </w:r>
          </w:p>
        </w:tc>
        <w:tc>
          <w:tcPr>
            <w:tcW w:w="1600" w:type="dxa"/>
            <w:vAlign w:val="center"/>
          </w:tcPr>
          <w:p>
            <w:pPr>
              <w:jc w:val="right"/>
            </w:pPr>
            <w:r>
              <w:rPr>
                <w:rFonts w:ascii="宋体" w:hAnsi="宋体" w:eastAsia="宋体" w:cs="宋体"/>
                <w:b w:val="0"/>
                <w:i w:val="0"/>
                <w:color w:val="000000"/>
                <w:sz w:val="19"/>
              </w:rPr>
              <w:t>391.69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391.69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单位：许昌市按摩医院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113.48</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325.00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113.48</w:t>
            </w:r>
          </w:p>
        </w:tc>
        <w:tc>
          <w:tcPr>
            <w:tcW w:w="1420" w:type="dxa"/>
            <w:vAlign w:val="center"/>
          </w:tcPr>
          <w:p>
            <w:pPr>
              <w:jc w:val="right"/>
            </w:pPr>
            <w:r>
              <w:rPr>
                <w:rFonts w:ascii="宋体" w:hAnsi="宋体" w:eastAsia="宋体" w:cs="宋体"/>
                <w:b w:val="0"/>
                <w:i w:val="0"/>
                <w:color w:val="000000"/>
                <w:sz w:val="18"/>
              </w:rPr>
              <w:t>113.48</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391.69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391.69</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438.48</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505.17</w:t>
            </w:r>
          </w:p>
        </w:tc>
        <w:tc>
          <w:tcPr>
            <w:tcW w:w="1420" w:type="dxa"/>
            <w:vAlign w:val="center"/>
          </w:tcPr>
          <w:p>
            <w:pPr>
              <w:jc w:val="right"/>
            </w:pPr>
            <w:r>
              <w:rPr>
                <w:rFonts w:ascii="宋体" w:hAnsi="宋体" w:eastAsia="宋体" w:cs="宋体"/>
                <w:b w:val="0"/>
                <w:i w:val="0"/>
                <w:color w:val="000000"/>
                <w:sz w:val="18"/>
              </w:rPr>
              <w:t>113.48</w:t>
            </w:r>
          </w:p>
        </w:tc>
        <w:tc>
          <w:tcPr>
            <w:tcW w:w="1420" w:type="dxa"/>
            <w:vAlign w:val="center"/>
          </w:tcPr>
          <w:p>
            <w:pPr>
              <w:jc w:val="right"/>
            </w:pPr>
            <w:r>
              <w:rPr>
                <w:rFonts w:ascii="宋体" w:hAnsi="宋体" w:eastAsia="宋体" w:cs="宋体"/>
                <w:b w:val="0"/>
                <w:i w:val="0"/>
                <w:color w:val="000000"/>
                <w:sz w:val="18"/>
              </w:rPr>
              <w:t>391.69</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66.69</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66.69</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505.17</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505.17</w:t>
            </w:r>
          </w:p>
        </w:tc>
        <w:tc>
          <w:tcPr>
            <w:tcW w:w="1420" w:type="dxa"/>
            <w:vAlign w:val="center"/>
          </w:tcPr>
          <w:p>
            <w:pPr>
              <w:jc w:val="right"/>
            </w:pPr>
            <w:r>
              <w:rPr>
                <w:rFonts w:ascii="宋体" w:hAnsi="宋体" w:eastAsia="宋体" w:cs="宋体"/>
                <w:b w:val="0"/>
                <w:i w:val="0"/>
                <w:color w:val="000000"/>
                <w:sz w:val="18"/>
              </w:rPr>
              <w:t>113.48</w:t>
            </w:r>
          </w:p>
        </w:tc>
        <w:tc>
          <w:tcPr>
            <w:tcW w:w="1420" w:type="dxa"/>
            <w:vAlign w:val="center"/>
          </w:tcPr>
          <w:p>
            <w:pPr>
              <w:jc w:val="right"/>
            </w:pPr>
            <w:r>
              <w:rPr>
                <w:rFonts w:ascii="宋体" w:hAnsi="宋体" w:eastAsia="宋体" w:cs="宋体"/>
                <w:b w:val="0"/>
                <w:i w:val="0"/>
                <w:color w:val="000000"/>
                <w:sz w:val="18"/>
              </w:rPr>
              <w:t>391.69</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单位：许昌市按摩医院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113.48</w:t>
            </w:r>
          </w:p>
        </w:tc>
        <w:tc>
          <w:tcPr>
            <w:tcW w:w="2700" w:type="dxa"/>
            <w:vAlign w:val="center"/>
          </w:tcPr>
          <w:p>
            <w:pPr>
              <w:jc w:val="right"/>
            </w:pPr>
            <w:r>
              <w:rPr>
                <w:rFonts w:ascii="宋体" w:hAnsi="宋体" w:eastAsia="宋体" w:cs="宋体"/>
                <w:b/>
                <w:i w:val="0"/>
                <w:color w:val="000000"/>
                <w:sz w:val="25"/>
              </w:rPr>
              <w:t>113.48</w:t>
            </w:r>
          </w:p>
        </w:tc>
        <w:tc>
          <w:tcPr>
            <w:tcW w:w="2658" w:type="dxa"/>
            <w:vAlign w:val="center"/>
          </w:tcPr>
          <w:p>
            <w:pPr>
              <w:jc w:val="right"/>
            </w:pPr>
            <w:r>
              <w:rPr>
                <w:rFonts w:ascii="宋体" w:hAnsi="宋体" w:eastAsia="宋体" w:cs="宋体"/>
                <w:b/>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113.48</w:t>
            </w:r>
          </w:p>
        </w:tc>
        <w:tc>
          <w:tcPr>
            <w:tcW w:w="2700" w:type="dxa"/>
            <w:vAlign w:val="center"/>
          </w:tcPr>
          <w:p>
            <w:pPr>
              <w:jc w:val="right"/>
            </w:pPr>
            <w:r>
              <w:rPr>
                <w:rFonts w:ascii="宋体" w:hAnsi="宋体" w:eastAsia="宋体" w:cs="宋体"/>
                <w:b w:val="0"/>
                <w:i w:val="0"/>
                <w:color w:val="000000"/>
                <w:sz w:val="25"/>
              </w:rPr>
              <w:t>113.48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w:t>
            </w:r>
          </w:p>
        </w:tc>
        <w:tc>
          <w:tcPr>
            <w:tcW w:w="4700" w:type="dxa"/>
            <w:vAlign w:val="center"/>
          </w:tcPr>
          <w:p>
            <w:pPr>
              <w:jc w:val="left"/>
            </w:pPr>
            <w:r>
              <w:rPr>
                <w:rFonts w:ascii="宋体" w:hAnsi="宋体" w:eastAsia="宋体" w:cs="宋体"/>
                <w:b w:val="0"/>
                <w:i w:val="0"/>
                <w:color w:val="000000"/>
                <w:sz w:val="25"/>
              </w:rPr>
              <w:t>社会福利</w:t>
            </w:r>
          </w:p>
        </w:tc>
        <w:tc>
          <w:tcPr>
            <w:tcW w:w="2700" w:type="dxa"/>
            <w:vAlign w:val="center"/>
          </w:tcPr>
          <w:p>
            <w:pPr>
              <w:jc w:val="right"/>
            </w:pPr>
            <w:r>
              <w:rPr>
                <w:rFonts w:ascii="宋体" w:hAnsi="宋体" w:eastAsia="宋体" w:cs="宋体"/>
                <w:b w:val="0"/>
                <w:i w:val="0"/>
                <w:color w:val="000000"/>
                <w:sz w:val="25"/>
              </w:rPr>
              <w:t>113.48</w:t>
            </w:r>
          </w:p>
        </w:tc>
        <w:tc>
          <w:tcPr>
            <w:tcW w:w="2700" w:type="dxa"/>
            <w:vAlign w:val="center"/>
          </w:tcPr>
          <w:p>
            <w:pPr>
              <w:jc w:val="right"/>
            </w:pPr>
            <w:r>
              <w:rPr>
                <w:rFonts w:ascii="宋体" w:hAnsi="宋体" w:eastAsia="宋体" w:cs="宋体"/>
                <w:b w:val="0"/>
                <w:i w:val="0"/>
                <w:color w:val="000000"/>
                <w:sz w:val="25"/>
              </w:rPr>
              <w:t>113.48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2081005</w:t>
            </w:r>
          </w:p>
        </w:tc>
        <w:tc>
          <w:tcPr>
            <w:tcW w:w="4700" w:type="dxa"/>
            <w:vAlign w:val="center"/>
          </w:tcPr>
          <w:p>
            <w:pPr>
              <w:jc w:val="left"/>
            </w:pPr>
            <w:r>
              <w:rPr>
                <w:rFonts w:ascii="宋体" w:hAnsi="宋体" w:eastAsia="宋体" w:cs="宋体"/>
                <w:b w:val="0"/>
                <w:i w:val="0"/>
                <w:color w:val="000000"/>
                <w:sz w:val="25"/>
              </w:rPr>
              <w:t>社会福利事业单位</w:t>
            </w:r>
          </w:p>
        </w:tc>
        <w:tc>
          <w:tcPr>
            <w:tcW w:w="2700" w:type="dxa"/>
            <w:vAlign w:val="center"/>
          </w:tcPr>
          <w:p>
            <w:pPr>
              <w:jc w:val="right"/>
            </w:pPr>
            <w:r>
              <w:rPr>
                <w:rFonts w:ascii="宋体" w:hAnsi="宋体" w:eastAsia="宋体" w:cs="宋体"/>
                <w:b w:val="0"/>
                <w:i w:val="0"/>
                <w:color w:val="000000"/>
                <w:sz w:val="25"/>
              </w:rPr>
              <w:t>113.48</w:t>
            </w:r>
          </w:p>
        </w:tc>
        <w:tc>
          <w:tcPr>
            <w:tcW w:w="2700" w:type="dxa"/>
            <w:vAlign w:val="center"/>
          </w:tcPr>
          <w:p>
            <w:pPr>
              <w:jc w:val="right"/>
            </w:pPr>
            <w:r>
              <w:rPr>
                <w:rFonts w:ascii="宋体" w:hAnsi="宋体" w:eastAsia="宋体" w:cs="宋体"/>
                <w:b w:val="0"/>
                <w:i w:val="0"/>
                <w:color w:val="000000"/>
                <w:sz w:val="25"/>
              </w:rPr>
              <w:t>113.48</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单位：许昌市按摩医院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113.48</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57.76</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29.54</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19.26</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2.29</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1.05</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2.93</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0.65</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113.48</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单位：许昌市按摩医院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pPr>
              <w:jc w:val="right"/>
            </w:pPr>
            <w:r>
              <w:rPr>
                <w:rFonts w:ascii="宋体" w:hAnsi="宋体" w:eastAsia="宋体" w:cs="宋体"/>
                <w:b/>
                <w:i w:val="0"/>
                <w:color w:val="000000"/>
                <w:sz w:val="20"/>
              </w:rPr>
              <w:t>66.69</w:t>
            </w:r>
          </w:p>
        </w:tc>
        <w:tc>
          <w:tcPr>
            <w:tcW w:w="1560" w:type="dxa"/>
            <w:vAlign w:val="center"/>
          </w:tcPr>
          <w:p>
            <w:pPr>
              <w:jc w:val="right"/>
            </w:pPr>
            <w:r>
              <w:rPr>
                <w:rFonts w:ascii="宋体" w:hAnsi="宋体" w:eastAsia="宋体" w:cs="宋体"/>
                <w:b/>
                <w:i w:val="0"/>
                <w:color w:val="000000"/>
                <w:sz w:val="20"/>
              </w:rPr>
              <w:t>325.00</w:t>
            </w:r>
          </w:p>
        </w:tc>
        <w:tc>
          <w:tcPr>
            <w:tcW w:w="1560" w:type="dxa"/>
            <w:vAlign w:val="center"/>
          </w:tcPr>
          <w:p>
            <w:pPr>
              <w:jc w:val="right"/>
            </w:pPr>
            <w:r>
              <w:rPr>
                <w:rFonts w:ascii="宋体" w:hAnsi="宋体" w:eastAsia="宋体" w:cs="宋体"/>
                <w:b/>
                <w:i w:val="0"/>
                <w:color w:val="000000"/>
                <w:sz w:val="20"/>
              </w:rPr>
              <w:t>391.69</w:t>
            </w:r>
          </w:p>
        </w:tc>
        <w:tc>
          <w:tcPr>
            <w:tcW w:w="1560" w:type="dxa"/>
            <w:vAlign w:val="center"/>
          </w:tcPr>
          <w:p>
            <w:pPr>
              <w:jc w:val="right"/>
            </w:pPr>
            <w:r>
              <w:rPr>
                <w:rFonts w:ascii="宋体" w:hAnsi="宋体" w:eastAsia="宋体" w:cs="宋体"/>
                <w:b/>
                <w:i w:val="0"/>
                <w:color w:val="000000"/>
                <w:sz w:val="20"/>
              </w:rPr>
              <w:t>0.00</w:t>
            </w:r>
          </w:p>
        </w:tc>
        <w:tc>
          <w:tcPr>
            <w:tcW w:w="1560" w:type="dxa"/>
            <w:vAlign w:val="center"/>
          </w:tcPr>
          <w:p>
            <w:pPr>
              <w:jc w:val="right"/>
            </w:pPr>
            <w:r>
              <w:rPr>
                <w:rFonts w:ascii="宋体" w:hAnsi="宋体" w:eastAsia="宋体" w:cs="宋体"/>
                <w:b/>
                <w:i w:val="0"/>
                <w:color w:val="000000"/>
                <w:sz w:val="20"/>
              </w:rPr>
              <w:t>391.69</w:t>
            </w:r>
          </w:p>
        </w:tc>
        <w:tc>
          <w:tcPr>
            <w:tcW w:w="1598" w:type="dxa"/>
            <w:vAlign w:val="center"/>
          </w:tcPr>
          <w:p>
            <w:pPr>
              <w:jc w:val="right"/>
            </w:pPr>
            <w:r>
              <w:rPr>
                <w:rFonts w:ascii="宋体" w:hAnsi="宋体" w:eastAsia="宋体" w:cs="宋体"/>
                <w:b/>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229</w:t>
            </w:r>
          </w:p>
        </w:tc>
        <w:tc>
          <w:tcPr>
            <w:tcW w:w="3660" w:type="dxa"/>
            <w:vAlign w:val="center"/>
          </w:tcPr>
          <w:p>
            <w:pPr>
              <w:jc w:val="left"/>
            </w:pPr>
            <w:r>
              <w:rPr>
                <w:rFonts w:ascii="宋体" w:hAnsi="宋体" w:eastAsia="宋体" w:cs="宋体"/>
                <w:b w:val="0"/>
                <w:i w:val="0"/>
                <w:color w:val="000000"/>
                <w:sz w:val="20"/>
              </w:rPr>
              <w:t>其他支出</w:t>
            </w:r>
          </w:p>
        </w:tc>
        <w:tc>
          <w:tcPr>
            <w:tcW w:w="1560" w:type="dxa"/>
            <w:vAlign w:val="center"/>
          </w:tcPr>
          <w:p>
            <w:pPr>
              <w:jc w:val="right"/>
            </w:pPr>
            <w:r>
              <w:rPr>
                <w:rFonts w:ascii="宋体" w:hAnsi="宋体" w:eastAsia="宋体" w:cs="宋体"/>
                <w:b w:val="0"/>
                <w:i w:val="0"/>
                <w:color w:val="000000"/>
                <w:sz w:val="20"/>
              </w:rPr>
              <w:t>66.69</w:t>
            </w:r>
          </w:p>
        </w:tc>
        <w:tc>
          <w:tcPr>
            <w:tcW w:w="1560" w:type="dxa"/>
            <w:vAlign w:val="center"/>
          </w:tcPr>
          <w:p>
            <w:pPr>
              <w:jc w:val="right"/>
            </w:pPr>
            <w:r>
              <w:rPr>
                <w:rFonts w:ascii="宋体" w:hAnsi="宋体" w:eastAsia="宋体" w:cs="宋体"/>
                <w:b w:val="0"/>
                <w:i w:val="0"/>
                <w:color w:val="000000"/>
                <w:sz w:val="20"/>
              </w:rPr>
              <w:t>325.00</w:t>
            </w:r>
          </w:p>
        </w:tc>
        <w:tc>
          <w:tcPr>
            <w:tcW w:w="1560" w:type="dxa"/>
            <w:vAlign w:val="center"/>
          </w:tcPr>
          <w:p>
            <w:pPr>
              <w:jc w:val="right"/>
            </w:pPr>
            <w:r>
              <w:rPr>
                <w:rFonts w:ascii="宋体" w:hAnsi="宋体" w:eastAsia="宋体" w:cs="宋体"/>
                <w:b w:val="0"/>
                <w:i w:val="0"/>
                <w:color w:val="000000"/>
                <w:sz w:val="20"/>
              </w:rPr>
              <w:t>391.69</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391.69</w:t>
            </w:r>
          </w:p>
        </w:tc>
        <w:tc>
          <w:tcPr>
            <w:tcW w:w="1598"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22960</w:t>
            </w:r>
          </w:p>
        </w:tc>
        <w:tc>
          <w:tcPr>
            <w:tcW w:w="3660" w:type="dxa"/>
            <w:vAlign w:val="center"/>
          </w:tcPr>
          <w:p>
            <w:pPr>
              <w:jc w:val="left"/>
            </w:pPr>
            <w:r>
              <w:rPr>
                <w:rFonts w:ascii="宋体" w:hAnsi="宋体" w:eastAsia="宋体" w:cs="宋体"/>
                <w:b w:val="0"/>
                <w:i w:val="0"/>
                <w:color w:val="000000"/>
                <w:sz w:val="20"/>
              </w:rPr>
              <w:t>彩票公益金安排的支出</w:t>
            </w:r>
          </w:p>
        </w:tc>
        <w:tc>
          <w:tcPr>
            <w:tcW w:w="1560" w:type="dxa"/>
            <w:vAlign w:val="center"/>
          </w:tcPr>
          <w:p>
            <w:pPr>
              <w:jc w:val="right"/>
            </w:pPr>
            <w:r>
              <w:rPr>
                <w:rFonts w:ascii="宋体" w:hAnsi="宋体" w:eastAsia="宋体" w:cs="宋体"/>
                <w:b w:val="0"/>
                <w:i w:val="0"/>
                <w:color w:val="000000"/>
                <w:sz w:val="20"/>
              </w:rPr>
              <w:t>66.69</w:t>
            </w:r>
          </w:p>
        </w:tc>
        <w:tc>
          <w:tcPr>
            <w:tcW w:w="1560" w:type="dxa"/>
            <w:vAlign w:val="center"/>
          </w:tcPr>
          <w:p>
            <w:pPr>
              <w:jc w:val="right"/>
            </w:pPr>
            <w:r>
              <w:rPr>
                <w:rFonts w:ascii="宋体" w:hAnsi="宋体" w:eastAsia="宋体" w:cs="宋体"/>
                <w:b w:val="0"/>
                <w:i w:val="0"/>
                <w:color w:val="000000"/>
                <w:sz w:val="20"/>
              </w:rPr>
              <w:t>325.00</w:t>
            </w:r>
          </w:p>
        </w:tc>
        <w:tc>
          <w:tcPr>
            <w:tcW w:w="1560" w:type="dxa"/>
            <w:vAlign w:val="center"/>
          </w:tcPr>
          <w:p>
            <w:pPr>
              <w:jc w:val="right"/>
            </w:pPr>
            <w:r>
              <w:rPr>
                <w:rFonts w:ascii="宋体" w:hAnsi="宋体" w:eastAsia="宋体" w:cs="宋体"/>
                <w:b w:val="0"/>
                <w:i w:val="0"/>
                <w:color w:val="000000"/>
                <w:sz w:val="20"/>
              </w:rPr>
              <w:t>391.69</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391.69</w:t>
            </w:r>
          </w:p>
        </w:tc>
        <w:tc>
          <w:tcPr>
            <w:tcW w:w="1598" w:type="dxa"/>
            <w:vAlign w:val="center"/>
          </w:tcPr>
          <w:p>
            <w:pPr>
              <w:jc w:val="right"/>
            </w:pPr>
            <w:r>
              <w:rPr>
                <w:rFonts w:ascii="宋体" w:hAnsi="宋体" w:eastAsia="宋体" w:cs="宋体"/>
                <w:b w:val="0"/>
                <w:i w:val="0"/>
                <w:color w:val="000000"/>
                <w:sz w:val="2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2296002</w:t>
            </w:r>
          </w:p>
        </w:tc>
        <w:tc>
          <w:tcPr>
            <w:tcW w:w="3660" w:type="dxa"/>
            <w:vAlign w:val="center"/>
          </w:tcPr>
          <w:p>
            <w:pPr>
              <w:jc w:val="left"/>
            </w:pPr>
            <w:r>
              <w:rPr>
                <w:rFonts w:ascii="宋体" w:hAnsi="宋体" w:eastAsia="宋体" w:cs="宋体"/>
                <w:b w:val="0"/>
                <w:i w:val="0"/>
                <w:color w:val="000000"/>
                <w:sz w:val="20"/>
              </w:rPr>
              <w:t>用于社会福利的彩票公益金支出</w:t>
            </w:r>
          </w:p>
        </w:tc>
        <w:tc>
          <w:tcPr>
            <w:tcW w:w="1560" w:type="dxa"/>
            <w:vAlign w:val="center"/>
          </w:tcPr>
          <w:p>
            <w:pPr>
              <w:jc w:val="right"/>
            </w:pPr>
            <w:r>
              <w:rPr>
                <w:rFonts w:ascii="宋体" w:hAnsi="宋体" w:eastAsia="宋体" w:cs="宋体"/>
                <w:b w:val="0"/>
                <w:i w:val="0"/>
                <w:color w:val="000000"/>
                <w:sz w:val="20"/>
              </w:rPr>
              <w:t>66.69</w:t>
            </w:r>
          </w:p>
        </w:tc>
        <w:tc>
          <w:tcPr>
            <w:tcW w:w="1560" w:type="dxa"/>
            <w:vAlign w:val="center"/>
          </w:tcPr>
          <w:p>
            <w:pPr>
              <w:jc w:val="right"/>
            </w:pPr>
            <w:r>
              <w:rPr>
                <w:rFonts w:ascii="宋体" w:hAnsi="宋体" w:eastAsia="宋体" w:cs="宋体"/>
                <w:b w:val="0"/>
                <w:i w:val="0"/>
                <w:color w:val="000000"/>
                <w:sz w:val="20"/>
              </w:rPr>
              <w:t>325.00</w:t>
            </w:r>
          </w:p>
        </w:tc>
        <w:tc>
          <w:tcPr>
            <w:tcW w:w="1560" w:type="dxa"/>
            <w:vAlign w:val="center"/>
          </w:tcPr>
          <w:p>
            <w:pPr>
              <w:jc w:val="right"/>
            </w:pPr>
            <w:r>
              <w:rPr>
                <w:rFonts w:ascii="宋体" w:hAnsi="宋体" w:eastAsia="宋体" w:cs="宋体"/>
                <w:b w:val="0"/>
                <w:i w:val="0"/>
                <w:color w:val="000000"/>
                <w:sz w:val="20"/>
              </w:rPr>
              <w:t>391.69</w:t>
            </w:r>
          </w:p>
        </w:tc>
        <w:tc>
          <w:tcPr>
            <w:tcW w:w="1560" w:type="dxa"/>
            <w:vAlign w:val="center"/>
          </w:tcPr>
          <w:p>
            <w:pPr>
              <w:jc w:val="right"/>
            </w:pPr>
            <w:r>
              <w:rPr>
                <w:rFonts w:ascii="宋体" w:hAnsi="宋体" w:eastAsia="宋体" w:cs="宋体"/>
                <w:b w:val="0"/>
                <w:i w:val="0"/>
                <w:color w:val="000000"/>
                <w:sz w:val="20"/>
              </w:rPr>
              <w:t>0.00</w:t>
            </w:r>
          </w:p>
        </w:tc>
        <w:tc>
          <w:tcPr>
            <w:tcW w:w="1560" w:type="dxa"/>
            <w:vAlign w:val="center"/>
          </w:tcPr>
          <w:p>
            <w:pPr>
              <w:jc w:val="right"/>
            </w:pPr>
            <w:r>
              <w:rPr>
                <w:rFonts w:ascii="宋体" w:hAnsi="宋体" w:eastAsia="宋体" w:cs="宋体"/>
                <w:b w:val="0"/>
                <w:i w:val="0"/>
                <w:color w:val="000000"/>
                <w:sz w:val="20"/>
              </w:rPr>
              <w:t>391.69</w:t>
            </w:r>
          </w:p>
        </w:tc>
        <w:tc>
          <w:tcPr>
            <w:tcW w:w="1598" w:type="dxa"/>
            <w:vAlign w:val="center"/>
          </w:tcPr>
          <w:p>
            <w:pPr>
              <w:jc w:val="right"/>
            </w:pPr>
            <w:r>
              <w:rPr>
                <w:rFonts w:ascii="宋体" w:hAnsi="宋体" w:eastAsia="宋体" w:cs="宋体"/>
                <w:b w:val="0"/>
                <w:i w:val="0"/>
                <w:color w:val="000000"/>
                <w:sz w:val="20"/>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单位：许昌市按摩医院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单位：许昌市按摩医院</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2023年度收、支总计均为723.21万元。与上年度相比，收、支总计各增加29.20万元，增长4.21%。主要原因是正常经营所需。</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656.52万元，其中：财政拨款收入438.48万元，占66.79%；上级补助收入0.00万元，占0.00%；事业收入217.89万元，占33.19%；经营收入0.00万元，占0.00%；附属单位上缴收入0.00万元，占0.00%；其他收入0.15万元，占0.02%。</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2023年度支出合计684.49万元，其中：基本支出292.80万元，占42.78%；项目支出391.69万元，占57.22%；上缴上级支出0.00万元，占0.00%；经营支出0.00万元，占0.00%；对附属单位补助支出0.00万元，占0.00%。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2023年度财政拨款收、支总计均为505.17万元。与上年度相比，财政拨款收、支总计各减少19.20万元，下降3.66%。主要原因是厉行节约。</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2023年度一般公共预算财政拨款支出113.48万元，占支出合计的16.58%。与上年度相比，一般公共预算财政拨款支出减少329.85万元，下降74.40%。主要原因是精神卫生康复中心大楼项目进入尾声，支出金额较少。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2023年度一般公共预算财政拨款支出113.48万元，主要用于以下方面：社会保障和就业支出（类）113.48万元，占100.00%。</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2023年度一般公共预算财政拨款支出年初预算为113.48万元，支出决算为113.48万元，完成年初预算的100.00%。其中：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1.社会保障和就业支出（类）社会福利（款）社会福利事业单位（项）</w:t>
      </w:r>
      <w:r>
        <w:rPr>
          <w:rFonts w:hint="default" w:ascii="仿宋" w:hAnsi="仿宋" w:eastAsia="仿宋" w:cs="仿宋"/>
          <w:kern w:val="2"/>
          <w:sz w:val="32"/>
          <w:szCs w:val="32"/>
          <w:lang w:val="en-US" w:eastAsia="zh-CN"/>
        </w:rPr>
        <w:t>年初预算数为113.48万元，决算数113.48万元,完成年初预算的100.00%，决算数与年初预算数不存在差异。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113.48万元。其中：人员经费113.48万元，主要包括：基本工资、绩效工资、机关事业单位基本养老保险缴费、职业年金缴费、职工基本医疗保险缴费、其他社会保障缴费、住房公积金。</w:t>
      </w:r>
      <w:bookmarkStart w:id="0" w:name="_GoBack"/>
      <w:bookmarkEnd w:id="0"/>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2023年度政府性基金预算财政拨款支出年初预算数为325.00万元，支出决算为391.69万元，完成年初预算的120.52%。主要用于社会福利专项支出年末没有结转和结余资金。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万元。2023年共接待国内来访团组1个、来宾4人次（不包括陪同人员）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307.88万元，其中：政府采购货物支出0.00万元、政府采购工程支出307.88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2023年期末，本单位共有车辆2辆，其中：省级领导干部用车0辆、主要领导干部用车0辆、机要通信用车0辆、应急保障车0辆、执法执勤用车0辆、特种专业技术用车1</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辆、离退休干部用车0辆、其他用车1辆；单价100万元（含）以上设备（不含车辆）1台（套）。财政拨款的公务用车保有量与国有资产车辆差异原因:我单位为差供单位，车辆购买非财政拨款。</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723.21万元。自评得分为96.08分，等级为“优”。从单位整体自评情况来看，我单位做好绩效目标设置、拟定评价指标、实施绩效自评等工作，推动预算绩效管理工作常态化、制度化、规范化完成既定目标和任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基于项目预期目标的实现程度，我单位对2023年度单位预算项目支出（含单位参与分配的转移支付项目）开展绩效自评，涉及项目2个，项目金额280万元。其中：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提前下达2022年中央集中福利彩票公益金（结转上级资金），自评得分98.04，等级为“优”，该项目面向城镇“三无”、农村五保、城乡低保、流浪乞讨人员、优抚对象等社会兜底服务对象中的精神障碍等患者开展救治、救助、康复、护理和照料等服务，项目资金已按照规定用途使用，已达到预期目标。</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提前下达2023年中央集中彩票公益金支持社会福利事业发展专项资金（上级提前下达）,自评得分90.68，等级为“优”，该项目通过对精神障碍患者学习（训练）措施和环境支持，以尽可能使其社会性及职业性角色功能恢复到最大限度，回归社会，项目资金已按照规定用途使用，已达到预期目标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从项目绩效自评情况来看，预期绩效目标已按照要求和规定完成，下一步我单位将继续保持对项目资金的合理安排，进一步完善项目绩效成果。</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6"/>
        <w:gridCol w:w="666"/>
        <w:gridCol w:w="198"/>
        <w:gridCol w:w="198"/>
        <w:gridCol w:w="2196"/>
        <w:gridCol w:w="1598"/>
        <w:gridCol w:w="711"/>
        <w:gridCol w:w="486"/>
        <w:gridCol w:w="621"/>
        <w:gridCol w:w="780"/>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hint="eastAsia" w:ascii="宋体" w:hAnsi="宋体" w:eastAsia="宋体" w:cs="宋体"/>
                <w:b/>
                <w:bCs/>
                <w:i w:val="0"/>
                <w:iCs w:val="0"/>
                <w:color w:val="000000"/>
                <w:kern w:val="0"/>
                <w:sz w:val="38"/>
                <w:szCs w:val="38"/>
                <w:u w:val="none"/>
                <w:lang w:val="en-US" w:eastAsia="zh-CN"/>
              </w:rPr>
              <w:t>单位</w:t>
            </w:r>
            <w:r>
              <w:rPr>
                <w:rFonts w:ascii="宋体" w:hAnsi="宋体" w:eastAsia="宋体" w:cs="宋体"/>
                <w:b/>
                <w:bCs/>
                <w:i w:val="0"/>
                <w:iCs w:val="0"/>
                <w:color w:val="000000"/>
                <w:kern w:val="0"/>
                <w:sz w:val="38"/>
                <w:szCs w:val="38"/>
                <w:u w:val="none"/>
                <w:lang w:val="en-US" w:eastAsia="zh-CN"/>
              </w:rPr>
              <w:t>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单位</w:t>
            </w:r>
            <w:r>
              <w:rPr>
                <w:rFonts w:ascii="宋体" w:hAnsi="宋体" w:eastAsia="宋体" w:cs="宋体"/>
                <w:i w:val="0"/>
                <w:iCs w:val="0"/>
                <w:color w:val="000000"/>
                <w:kern w:val="0"/>
                <w:sz w:val="18"/>
                <w:szCs w:val="18"/>
                <w:u w:val="none"/>
                <w:lang w:val="en-US" w:eastAsia="zh-CN"/>
              </w:rPr>
              <w:t>预算总额（万元）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736.07</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723.21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723.21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180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391.69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391.69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目标1：完善社会救助，进一步提高社会救助水平以及效率，统筹社会城乡居民最低生活保障、提高农村低保水平和标准，持续开展党风廉政建设。</w:t>
            </w:r>
            <w:r>
              <w:br w:type="textWrapping"/>
            </w:r>
            <w:r>
              <w:rPr>
                <w:rFonts w:ascii="宋体" w:hAnsi="宋体" w:eastAsia="宋体" w:cs="宋体"/>
                <w:i w:val="0"/>
                <w:iCs w:val="0"/>
                <w:color w:val="000000"/>
                <w:kern w:val="0"/>
                <w:sz w:val="18"/>
                <w:szCs w:val="18"/>
                <w:u w:val="none"/>
                <w:lang w:val="en-US" w:eastAsia="zh-CN"/>
              </w:rPr>
              <w:t>目标2：加强社会福利和促进慈善业发展，高龄人员和孤儿生活、医疗健康、入学等补贴按相应标准落实，统筹推进残疾人福利制度建设和康复辅助器具产业发展，严格落实安全生产工作责任及疫情防控相关制度和措施。</w:t>
            </w:r>
            <w:r>
              <w:br w:type="textWrapping"/>
            </w:r>
            <w:r>
              <w:rPr>
                <w:rFonts w:ascii="宋体" w:hAnsi="宋体" w:eastAsia="宋体" w:cs="宋体"/>
                <w:i w:val="0"/>
                <w:iCs w:val="0"/>
                <w:color w:val="000000"/>
                <w:kern w:val="0"/>
                <w:sz w:val="18"/>
                <w:szCs w:val="18"/>
                <w:u w:val="none"/>
                <w:lang w:val="en-US" w:eastAsia="zh-CN"/>
              </w:rPr>
              <w:t>目标3：推进社会事务专项管理。深化社会组织管理制度改革，推进殡葬改革及相关宣传活动；加强区域地名和界线管理；加强流浪乞讨人员救助管理；进一步规范婚姻、收养登记工作。</w:t>
            </w:r>
            <w:r>
              <w:br w:type="textWrapping"/>
            </w:r>
            <w:r>
              <w:rPr>
                <w:rFonts w:ascii="宋体" w:hAnsi="宋体" w:eastAsia="宋体" w:cs="宋体"/>
                <w:i w:val="0"/>
                <w:iCs w:val="0"/>
                <w:color w:val="000000"/>
                <w:kern w:val="0"/>
                <w:sz w:val="18"/>
                <w:szCs w:val="18"/>
                <w:u w:val="none"/>
                <w:lang w:val="en-US" w:eastAsia="zh-CN"/>
              </w:rPr>
              <w:t>目标4：监督管理养老服务工作，拟订全市养老服务体系建设规划、标准并组织实施，承担老年人福利和特殊困难老年人救助工作。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按相关规定完善社会救助，进一步提高社会救助水平以及效率，统筹社会城乡居民最低生活保障、提高农村低保水平和标准，持续开展党风廉政建设；加强社会福利和促进慈善业发展，高龄人员和孤儿生活、医疗健康、入学等补贴按相应标准落实，统筹推进残疾人福利制度建设和康复辅助器具产业发展，严格落实安全生产工作责任及疫情防控相关制度和措施；推进社会事务专项管理。深化社会组织管理制度改革，推进殡葬改革及相关宣传活动；加强区域地名和界线管理；加强流浪乞讨人员救助管理；进一步规范婚姻、收养登记工作；监督管理养老服务工作，拟订全市养老服务体系建设规划、标准并组织实施，承担老年人福利和特殊困难老年人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养老服务工作全面推进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加强养老服务体系建设，深化敬老院公建民营，抓好机构疫情防控和安全生产</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养老服务体系建设已逐步完善，深化敬老院公建民营，机构疫情防控和安全生产进一步保障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儿童福利保障措施稳步实施</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落实孤儿基本生活保障制度，强化未成年人保护工作组织领导和政策宣传</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孤儿基本生活保障制度不断完善，未成年人保护工作组织领导和政策宣传有所提升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殡葬改革工作实现新突破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稳定提高火化率，加快推进公益性公墓建设</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火花率稳步提升，公益性公墓已完成建设并投入使用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基层社会治理水平进一步提升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加强养老服务体系建设，持续开展社区规范化建设工作，加强社区治理创新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加强养老服务体系建设，持续开展社区规范化建设工作，社区治理创新进一步加强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完善养老服务综合监管制度和养老服务设施</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不断完善养老服务综合监管制度和养老服务设施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完善地名信息数据库、不规范地名清理整治和平安边界建设</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不断完善地名信息数据库、不规范地名清理整治和平安边界建设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相关建设项目加快进度和投入使用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相关建设项目进一步加快进度和投入使用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推进殡葬、婚俗改革</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殡葬、婚俗改革进一步提高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提高事实无人养儿童、未成年人、农村留守儿童和困境儿童的关心和爱护</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事实无人养儿童、未成年人、农村留守儿童和困境儿童的关心和爱护进一步提升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提高对残疾、老龄、孤儿、流浪乞讨人员、低收入家庭等弱势群体的关心和救助</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对残疾、老龄、孤儿、流浪乞讨人员、低收入家庭等弱势群体的关心和救助进一步提升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完善婚姻登记、殡葬、行政区域界位等工作的指导和综合管理</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婚姻登记、殡葬、行政区域界位等工作的指导和综合管理进一步完善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民政工作运转效率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民政工作运转效率进一步提升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提高民政救助对象经济收入</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民政救助对象经济收入不断提升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底层弱势群体生活有所进步</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底层弱势群体生活不断进步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增加社会稳定性</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社会稳定性不断加强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群众满意度逐步提高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上级部门满意度</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上级部门满意度不断提高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1440" w:right="1800" w:bottom="1440" w:left="1800" w:header="851" w:footer="992" w:gutter="0"/>
          <w:cols w:space="425" w:num="1"/>
          <w:docGrid w:type="lines" w:linePitch="312" w:charSpace="0"/>
        </w:sectPr>
      </w:pPr>
    </w:p>
    <w:tbl>
      <w:tblPr>
        <w:tblStyle w:val="11"/>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5"/>
        <w:gridCol w:w="489"/>
        <w:gridCol w:w="704"/>
        <w:gridCol w:w="288"/>
        <w:gridCol w:w="560"/>
        <w:gridCol w:w="1385"/>
        <w:gridCol w:w="659"/>
        <w:gridCol w:w="563"/>
        <w:gridCol w:w="593"/>
        <w:gridCol w:w="732"/>
        <w:gridCol w:w="507"/>
        <w:gridCol w:w="831"/>
        <w:gridCol w:w="350"/>
        <w:gridCol w:w="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提前下达2022年中央集中福利彩票公益金（结转上级资金）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许昌市按摩医院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按照部门预算编制和资金管理办法的要求，进行项目论证、评审、立项等必要程序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br w:type="textWrapping"/>
            </w:r>
            <w:r>
              <w:rPr>
                <w:rFonts w:ascii="宋体" w:hAnsi="宋体" w:eastAsia="宋体" w:cs="宋体"/>
                <w:i w:val="0"/>
                <w:iCs w:val="0"/>
                <w:color w:val="000000"/>
                <w:kern w:val="0"/>
                <w:sz w:val="18"/>
                <w:szCs w:val="18"/>
                <w:u w:val="none"/>
                <w:lang w:val="en-US" w:eastAsia="zh-CN"/>
              </w:rPr>
              <w:t xml:space="preserve"> 目标1：面向城镇“三无”、农村五保、城乡低保、流浪乞讨人员、优抚对象等社会兜底服务对象中的精神障碍等患者开展救治、救助、康复、护理和照料等服务；</w:t>
            </w:r>
            <w:r>
              <w:br w:type="textWrapping"/>
            </w:r>
            <w:r>
              <w:rPr>
                <w:rFonts w:ascii="宋体" w:hAnsi="宋体" w:eastAsia="宋体" w:cs="宋体"/>
                <w:i w:val="0"/>
                <w:iCs w:val="0"/>
                <w:color w:val="000000"/>
                <w:kern w:val="0"/>
                <w:sz w:val="18"/>
                <w:szCs w:val="18"/>
                <w:u w:val="none"/>
                <w:lang w:val="en-US" w:eastAsia="zh-CN"/>
              </w:rPr>
              <w:t xml:space="preserve"> 目标2：与周边的许昌市社会福利院及许昌市救助站等单位相呼应，完善许昌市民政“救、治、养”相关体系中“治”的环节，填补许昌市无民政直属精神卫生福利机构的空白；</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面向城镇“三无”、农村五保、城乡低保、流浪乞讨人员、优抚对象等社会兜底服务对象中的精神障碍等患者开展救治、救助、康复、护理和照料等服务；与周边的许昌市社会福利院及许昌市救助站等单位相呼应，完善许昌市民政“救、治、养”相关体系中“治”的环节，填补许昌市无民政直属精神卫生福利机构的空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工程施工合格率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工程完成及时率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工作效率或服务水平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工作效率或服务水平不断提升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民政兜底服务对象救助方面的意义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意义重大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精神卫生康复救助制度健全性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不断完善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精神卫生康复救助制度健全性不断完善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受益人员满意度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受益人员满意度不断提升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提前下达2023年中央集中彩票公益金支持社会福利事业发展专项资金（上级提前下达）-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许昌市民政局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许昌市按摩医院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按照部门预算编制和资金管理办法的要求，进行项目论证、评审、立项等必要程序。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严格按照国库集中支付制度有关规定支付资金，未出现违规将资金从国库转入财政专户或支付到预算单位实有资金账户等问题。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严格按照下达预算的科目和项目执行，未出现截留、挤占、挪用和擅自调整等问题。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将资金纳入绩效管理，设置绩效目标，开展绩效监控。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目标1：打造精神卫生社区康复示范点，形成规范性的工作流程和工作制度；</w:t>
            </w:r>
            <w:r>
              <w:br w:type="textWrapping"/>
            </w:r>
            <w:r>
              <w:rPr>
                <w:rFonts w:ascii="宋体" w:hAnsi="宋体" w:eastAsia="宋体" w:cs="宋体"/>
                <w:i w:val="0"/>
                <w:iCs w:val="0"/>
                <w:color w:val="000000"/>
                <w:kern w:val="0"/>
                <w:sz w:val="18"/>
                <w:szCs w:val="18"/>
                <w:u w:val="none"/>
                <w:lang w:val="en-US" w:eastAsia="zh-CN"/>
              </w:rPr>
              <w:t xml:space="preserve"> 目标2：许昌市康复医院精神卫生康复中心2号康复楼周边的土方清运，混凝土道路、安砌路缘石、消防回车场、人行道铺装，室外篮球场、大门、绿化、给排水及部分室外照明等施工内容,确保我单位落户安置的16岁以上城乡特困、城乡低保、流浪乞讨人员、优抚对象等民政服务群体中的精神障碍患者、重度残疾人在室外活动及人身安全需求；</w:t>
            </w:r>
            <w:r>
              <w:br w:type="textWrapping"/>
            </w:r>
            <w:r>
              <w:rPr>
                <w:rFonts w:ascii="宋体" w:hAnsi="宋体" w:eastAsia="宋体" w:cs="宋体"/>
                <w:i w:val="0"/>
                <w:iCs w:val="0"/>
                <w:color w:val="000000"/>
                <w:kern w:val="0"/>
                <w:sz w:val="18"/>
                <w:szCs w:val="18"/>
                <w:u w:val="none"/>
                <w:lang w:val="en-US" w:eastAsia="zh-CN"/>
              </w:rPr>
              <w:t xml:space="preserve"> 目标3：通过对精神障碍患者学习（训练）措施和环境支持，以尽可能使其社会性及职业性角色功能恢复到最大限度，克服疾病所导致的各种功能缺陷，达到躯体功能、心理功能、社会功能和职业功能的全面康复，回归社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要求打造精神卫生社区康复示范点，形成规范性的工作流程和工作制度；许昌市康复医院精神卫生康复中心2号康复楼周边的土方清运，混凝土道路、安砌路缘石、消防回车场、人行道铺装，室外篮球场、大门、绿化、给排水及部分室外照明等施工内容,确保我单位落户安置的16岁以上城乡特困、城乡低保、流浪乞讨人员、优抚对象等民政服务群体中的精神障碍患者、重度残疾人在室外活动及人身安全需求；通过对精神障碍患者学习（训练）措施和环境支持，以尽可能使其社会性及职业性角色功能恢复到最大限度，克服疾病所导致的各种功能缺陷，达到躯体功能、心理功能、社会功能和职业功能的全面康复，回归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预算安排资金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满足精神障碍患者需要的成人康复器材，儿童康复器材，检验设备，病房病床设施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患者康复服务档案建立率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精神障碍社区康复示范点建设完成及时性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12月底前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辖区患者人数接受社区康复服务占比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辖区患者人数接受社区康复服务占比不断提升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精神障碍患者满意度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精神障碍患者满意度不断提升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90.68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1440" w:right="1800" w:bottom="1440" w:left="180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UAAAACACHTuJAuXW5UtAAAAAF&#10;AQAADwAAAAAAAAABACAAAAA4AAAAZHJzL2Rvd25yZXYueG1sUEsBAhQAFAAAAAgAh07iQDW8Ri0C&#10;AgAADAQAAA4AAAAAAAAAAQAgAAAANQEAAGRycy9lMm9Eb2MueG1sUEsBAhQACgAAAAAAh07iQAAA&#10;AAAAAAAAAAAAAAQAAAAAAAAAAAAQAAAAFgAAAGRycy9QSwECFAAKAAAAAACHTuJAAAAAAAAAAAAA&#10;AAAABgAAAAAAAAAAABAAAABjAwAAX3JlbHMvUEsFBgAAAAAGAAYAWQEAAKk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Mzk0YWM4ODU0MmM3NWYxZGViYzAyZDVjYjhmMjkifQ=="/>
  </w:docVars>
  <w:rsids>
    <w:rsidRoot w:val="00000000"/>
    <w:rsid w:val="4A44516B"/>
    <w:rsid w:val="7D5E9A78"/>
    <w:rsid w:val="CDFB328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de28e27c-2132-4cd8-9c6b-022fb304c7d5"/>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01f6b083-dffb-426c-b77b-78b5121d13d9"/>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18</TotalTime>
  <ScaleCrop>false</ScaleCrop>
  <LinksUpToDate>false</LinksUpToDate>
  <CharactersWithSpaces>19414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2023-05-05T02:54:00Z</dcterms:created>
  <dc:creator>HSX</dc:creator>
  <cp:lastModifiedBy>haunghe</cp:lastModifiedBy>
  <dcterms:modified xsi:type="dcterms:W3CDTF">2024-10-10T15:27:48Z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