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许昌市建设工程招标投标服务中心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许昌市建设工程招标投标服务中心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许昌市建设工程招标投标服务中心概况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宣传、贯彻落实国家、省、市有关建设工程招标投标法律法规及方针政策；协助市住建局做好依法监督建设工程招标投标活动；协助查处招标投标活动中的违法违规行为；为建设工程招投标各方交易主体提供指导服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许昌市建设工程招标投标服务中心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许昌市建设工程招标投标服务中心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1.许昌市建设工程招标投标服务中心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单位：许昌市建设工程招标投标服务中心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32.12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0.11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8.19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0.56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22.20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1.07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32.12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32.12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32.12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32.12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单位：许昌市建设工程招标投标服务中心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32.12</w:t>
            </w:r>
          </w:p>
        </w:tc>
        <w:tc>
          <w:tcPr>
            <w:tcW w:w="1440" w:type="dxa"/>
            <w:tcBorders/>
            <w:vAlign w:val="center"/>
          </w:tcPr>
          <w:p>
            <w:pPr>
              <w:jc w:val="right"/>
            </w:pPr>
            <w:r>
              <w:rPr>
                <w:rFonts w:ascii="宋体" w:eastAsia="宋体" w:hAnsi="宋体" w:cs="宋体"/>
                <w:b/>
                <w:i w:val="0"/>
                <w:color w:val="000000"/>
                <w:sz w:val="17"/>
              </w:rPr>
              <w:t xml:space="preserve">32.12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0.11</w:t>
            </w:r>
          </w:p>
        </w:tc>
        <w:tc>
          <w:tcPr>
            <w:tcW w:w="1440" w:type="dxa"/>
            <w:tcBorders/>
            <w:vAlign w:val="center"/>
          </w:tcPr>
          <w:p>
            <w:pPr>
              <w:jc w:val="right"/>
            </w:pPr>
            <w:r>
              <w:rPr>
                <w:rFonts w:ascii="宋体" w:eastAsia="宋体" w:hAnsi="宋体" w:cs="宋体"/>
                <w:b w:val="0"/>
                <w:i w:val="0"/>
                <w:color w:val="000000"/>
                <w:sz w:val="17"/>
              </w:rPr>
              <w:t xml:space="preserve">0.11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0.11</w:t>
            </w:r>
          </w:p>
        </w:tc>
        <w:tc>
          <w:tcPr>
            <w:tcW w:w="1440" w:type="dxa"/>
            <w:tcBorders/>
            <w:vAlign w:val="center"/>
          </w:tcPr>
          <w:p>
            <w:pPr>
              <w:jc w:val="right"/>
            </w:pPr>
            <w:r>
              <w:rPr>
                <w:rFonts w:ascii="宋体" w:eastAsia="宋体" w:hAnsi="宋体" w:cs="宋体"/>
                <w:b w:val="0"/>
                <w:i w:val="0"/>
                <w:color w:val="000000"/>
                <w:sz w:val="17"/>
              </w:rPr>
              <w:t xml:space="preserve">0.11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0.11</w:t>
            </w:r>
          </w:p>
        </w:tc>
        <w:tc>
          <w:tcPr>
            <w:tcW w:w="1440" w:type="dxa"/>
            <w:tcBorders/>
            <w:vAlign w:val="center"/>
          </w:tcPr>
          <w:p>
            <w:pPr>
              <w:jc w:val="right"/>
            </w:pPr>
            <w:r>
              <w:rPr>
                <w:rFonts w:ascii="宋体" w:eastAsia="宋体" w:hAnsi="宋体" w:cs="宋体"/>
                <w:b w:val="0"/>
                <w:i w:val="0"/>
                <w:color w:val="000000"/>
                <w:sz w:val="17"/>
              </w:rPr>
              <w:t xml:space="preserve">0.11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8.19</w:t>
            </w:r>
          </w:p>
        </w:tc>
        <w:tc>
          <w:tcPr>
            <w:tcW w:w="1440" w:type="dxa"/>
            <w:tcBorders/>
            <w:vAlign w:val="center"/>
          </w:tcPr>
          <w:p>
            <w:pPr>
              <w:jc w:val="right"/>
            </w:pPr>
            <w:r>
              <w:rPr>
                <w:rFonts w:ascii="宋体" w:eastAsia="宋体" w:hAnsi="宋体" w:cs="宋体"/>
                <w:b w:val="0"/>
                <w:i w:val="0"/>
                <w:color w:val="000000"/>
                <w:sz w:val="17"/>
              </w:rPr>
              <w:t xml:space="preserve">8.19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8.19</w:t>
            </w:r>
          </w:p>
        </w:tc>
        <w:tc>
          <w:tcPr>
            <w:tcW w:w="1440" w:type="dxa"/>
            <w:tcBorders/>
            <w:vAlign w:val="center"/>
          </w:tcPr>
          <w:p>
            <w:pPr>
              <w:jc w:val="right"/>
            </w:pPr>
            <w:r>
              <w:rPr>
                <w:rFonts w:ascii="宋体" w:eastAsia="宋体" w:hAnsi="宋体" w:cs="宋体"/>
                <w:b w:val="0"/>
                <w:i w:val="0"/>
                <w:color w:val="000000"/>
                <w:sz w:val="17"/>
              </w:rPr>
              <w:t xml:space="preserve">8.19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7.03</w:t>
            </w:r>
          </w:p>
        </w:tc>
        <w:tc>
          <w:tcPr>
            <w:tcW w:w="1440" w:type="dxa"/>
            <w:tcBorders/>
            <w:vAlign w:val="center"/>
          </w:tcPr>
          <w:p>
            <w:pPr>
              <w:jc w:val="right"/>
            </w:pPr>
            <w:r>
              <w:rPr>
                <w:rFonts w:ascii="宋体" w:eastAsia="宋体" w:hAnsi="宋体" w:cs="宋体"/>
                <w:b w:val="0"/>
                <w:i w:val="0"/>
                <w:color w:val="000000"/>
                <w:sz w:val="17"/>
              </w:rPr>
              <w:t xml:space="preserve">7.03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1.16</w:t>
            </w:r>
          </w:p>
        </w:tc>
        <w:tc>
          <w:tcPr>
            <w:tcW w:w="1440" w:type="dxa"/>
            <w:tcBorders/>
            <w:vAlign w:val="center"/>
          </w:tcPr>
          <w:p>
            <w:pPr>
              <w:jc w:val="right"/>
            </w:pPr>
            <w:r>
              <w:rPr>
                <w:rFonts w:ascii="宋体" w:eastAsia="宋体" w:hAnsi="宋体" w:cs="宋体"/>
                <w:b w:val="0"/>
                <w:i w:val="0"/>
                <w:color w:val="000000"/>
                <w:sz w:val="17"/>
              </w:rPr>
              <w:t xml:space="preserve">1.16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22.20</w:t>
            </w:r>
          </w:p>
        </w:tc>
        <w:tc>
          <w:tcPr>
            <w:tcW w:w="1440" w:type="dxa"/>
            <w:tcBorders/>
            <w:vAlign w:val="center"/>
          </w:tcPr>
          <w:p>
            <w:pPr>
              <w:jc w:val="right"/>
            </w:pPr>
            <w:r>
              <w:rPr>
                <w:rFonts w:ascii="宋体" w:eastAsia="宋体" w:hAnsi="宋体" w:cs="宋体"/>
                <w:b w:val="0"/>
                <w:i w:val="0"/>
                <w:color w:val="000000"/>
                <w:sz w:val="17"/>
              </w:rPr>
              <w:t xml:space="preserve">22.20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22.20</w:t>
            </w:r>
          </w:p>
        </w:tc>
        <w:tc>
          <w:tcPr>
            <w:tcW w:w="1440" w:type="dxa"/>
            <w:tcBorders/>
            <w:vAlign w:val="center"/>
          </w:tcPr>
          <w:p>
            <w:pPr>
              <w:jc w:val="right"/>
            </w:pPr>
            <w:r>
              <w:rPr>
                <w:rFonts w:ascii="宋体" w:eastAsia="宋体" w:hAnsi="宋体" w:cs="宋体"/>
                <w:b w:val="0"/>
                <w:i w:val="0"/>
                <w:color w:val="000000"/>
                <w:sz w:val="17"/>
              </w:rPr>
              <w:t xml:space="preserve">22.20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22.20</w:t>
            </w:r>
          </w:p>
        </w:tc>
        <w:tc>
          <w:tcPr>
            <w:tcW w:w="1440" w:type="dxa"/>
            <w:tcBorders/>
            <w:vAlign w:val="center"/>
          </w:tcPr>
          <w:p>
            <w:pPr>
              <w:jc w:val="right"/>
            </w:pPr>
            <w:r>
              <w:rPr>
                <w:rFonts w:ascii="宋体" w:eastAsia="宋体" w:hAnsi="宋体" w:cs="宋体"/>
                <w:b w:val="0"/>
                <w:i w:val="0"/>
                <w:color w:val="000000"/>
                <w:sz w:val="17"/>
              </w:rPr>
              <w:t xml:space="preserve">22.20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1.07</w:t>
            </w:r>
          </w:p>
        </w:tc>
        <w:tc>
          <w:tcPr>
            <w:tcW w:w="1440" w:type="dxa"/>
            <w:tcBorders/>
            <w:vAlign w:val="center"/>
          </w:tcPr>
          <w:p>
            <w:pPr>
              <w:jc w:val="right"/>
            </w:pPr>
            <w:r>
              <w:rPr>
                <w:rFonts w:ascii="宋体" w:eastAsia="宋体" w:hAnsi="宋体" w:cs="宋体"/>
                <w:b w:val="0"/>
                <w:i w:val="0"/>
                <w:color w:val="000000"/>
                <w:sz w:val="17"/>
              </w:rPr>
              <w:t xml:space="preserve">1.07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1.07</w:t>
            </w:r>
          </w:p>
        </w:tc>
        <w:tc>
          <w:tcPr>
            <w:tcW w:w="1440" w:type="dxa"/>
            <w:tcBorders/>
            <w:vAlign w:val="center"/>
          </w:tcPr>
          <w:p>
            <w:pPr>
              <w:jc w:val="right"/>
            </w:pPr>
            <w:r>
              <w:rPr>
                <w:rFonts w:ascii="宋体" w:eastAsia="宋体" w:hAnsi="宋体" w:cs="宋体"/>
                <w:b w:val="0"/>
                <w:i w:val="0"/>
                <w:color w:val="000000"/>
                <w:sz w:val="17"/>
              </w:rPr>
              <w:t xml:space="preserve">1.07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1.07</w:t>
            </w:r>
          </w:p>
        </w:tc>
        <w:tc>
          <w:tcPr>
            <w:tcW w:w="1440" w:type="dxa"/>
            <w:tcBorders/>
            <w:vAlign w:val="center"/>
          </w:tcPr>
          <w:p>
            <w:pPr>
              <w:jc w:val="right"/>
            </w:pPr>
            <w:r>
              <w:rPr>
                <w:rFonts w:ascii="宋体" w:eastAsia="宋体" w:hAnsi="宋体" w:cs="宋体"/>
                <w:b w:val="0"/>
                <w:i w:val="0"/>
                <w:color w:val="000000"/>
                <w:sz w:val="17"/>
              </w:rPr>
              <w:t xml:space="preserve">1.07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单位：许昌市建设工程招标投标服务中心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32.12</w:t>
            </w:r>
          </w:p>
        </w:tc>
        <w:tc>
          <w:tcPr>
            <w:tcW w:w="1600" w:type="dxa"/>
            <w:tcBorders/>
            <w:vAlign w:val="center"/>
          </w:tcPr>
          <w:p>
            <w:pPr>
              <w:jc w:val="right"/>
            </w:pPr>
            <w:r>
              <w:rPr>
                <w:rFonts w:ascii="宋体" w:eastAsia="宋体" w:hAnsi="宋体" w:cs="宋体"/>
                <w:b/>
                <w:i w:val="0"/>
                <w:color w:val="000000"/>
                <w:sz w:val="19"/>
              </w:rPr>
              <w:t xml:space="preserve">32.12</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0.11</w:t>
            </w:r>
          </w:p>
        </w:tc>
        <w:tc>
          <w:tcPr>
            <w:tcW w:w="1600" w:type="dxa"/>
            <w:tcBorders/>
            <w:vAlign w:val="center"/>
          </w:tcPr>
          <w:p>
            <w:pPr>
              <w:jc w:val="right"/>
            </w:pPr>
            <w:r>
              <w:rPr>
                <w:rFonts w:ascii="宋体" w:eastAsia="宋体" w:hAnsi="宋体" w:cs="宋体"/>
                <w:b w:val="0"/>
                <w:i w:val="0"/>
                <w:color w:val="000000"/>
                <w:sz w:val="19"/>
              </w:rPr>
              <w:t xml:space="preserve">0.11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0.11</w:t>
            </w:r>
          </w:p>
        </w:tc>
        <w:tc>
          <w:tcPr>
            <w:tcW w:w="1600" w:type="dxa"/>
            <w:tcBorders/>
            <w:vAlign w:val="center"/>
          </w:tcPr>
          <w:p>
            <w:pPr>
              <w:jc w:val="right"/>
            </w:pPr>
            <w:r>
              <w:rPr>
                <w:rFonts w:ascii="宋体" w:eastAsia="宋体" w:hAnsi="宋体" w:cs="宋体"/>
                <w:b w:val="0"/>
                <w:i w:val="0"/>
                <w:color w:val="000000"/>
                <w:sz w:val="19"/>
              </w:rPr>
              <w:t xml:space="preserve">0.11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0.11</w:t>
            </w:r>
          </w:p>
        </w:tc>
        <w:tc>
          <w:tcPr>
            <w:tcW w:w="1600" w:type="dxa"/>
            <w:tcBorders/>
            <w:vAlign w:val="center"/>
          </w:tcPr>
          <w:p>
            <w:pPr>
              <w:jc w:val="right"/>
            </w:pPr>
            <w:r>
              <w:rPr>
                <w:rFonts w:ascii="宋体" w:eastAsia="宋体" w:hAnsi="宋体" w:cs="宋体"/>
                <w:b w:val="0"/>
                <w:i w:val="0"/>
                <w:color w:val="000000"/>
                <w:sz w:val="19"/>
              </w:rPr>
              <w:t xml:space="preserve">0.11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8.19</w:t>
            </w:r>
          </w:p>
        </w:tc>
        <w:tc>
          <w:tcPr>
            <w:tcW w:w="1600" w:type="dxa"/>
            <w:tcBorders/>
            <w:vAlign w:val="center"/>
          </w:tcPr>
          <w:p>
            <w:pPr>
              <w:jc w:val="right"/>
            </w:pPr>
            <w:r>
              <w:rPr>
                <w:rFonts w:ascii="宋体" w:eastAsia="宋体" w:hAnsi="宋体" w:cs="宋体"/>
                <w:b w:val="0"/>
                <w:i w:val="0"/>
                <w:color w:val="000000"/>
                <w:sz w:val="19"/>
              </w:rPr>
              <w:t xml:space="preserve">8.19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8.19</w:t>
            </w:r>
          </w:p>
        </w:tc>
        <w:tc>
          <w:tcPr>
            <w:tcW w:w="1600" w:type="dxa"/>
            <w:tcBorders/>
            <w:vAlign w:val="center"/>
          </w:tcPr>
          <w:p>
            <w:pPr>
              <w:jc w:val="right"/>
            </w:pPr>
            <w:r>
              <w:rPr>
                <w:rFonts w:ascii="宋体" w:eastAsia="宋体" w:hAnsi="宋体" w:cs="宋体"/>
                <w:b w:val="0"/>
                <w:i w:val="0"/>
                <w:color w:val="000000"/>
                <w:sz w:val="19"/>
              </w:rPr>
              <w:t xml:space="preserve">8.19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7.03</w:t>
            </w:r>
          </w:p>
        </w:tc>
        <w:tc>
          <w:tcPr>
            <w:tcW w:w="1600" w:type="dxa"/>
            <w:tcBorders/>
            <w:vAlign w:val="center"/>
          </w:tcPr>
          <w:p>
            <w:pPr>
              <w:jc w:val="right"/>
            </w:pPr>
            <w:r>
              <w:rPr>
                <w:rFonts w:ascii="宋体" w:eastAsia="宋体" w:hAnsi="宋体" w:cs="宋体"/>
                <w:b w:val="0"/>
                <w:i w:val="0"/>
                <w:color w:val="000000"/>
                <w:sz w:val="19"/>
              </w:rPr>
              <w:t xml:space="preserve">7.03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1.16</w:t>
            </w:r>
          </w:p>
        </w:tc>
        <w:tc>
          <w:tcPr>
            <w:tcW w:w="1600" w:type="dxa"/>
            <w:tcBorders/>
            <w:vAlign w:val="center"/>
          </w:tcPr>
          <w:p>
            <w:pPr>
              <w:jc w:val="right"/>
            </w:pPr>
            <w:r>
              <w:rPr>
                <w:rFonts w:ascii="宋体" w:eastAsia="宋体" w:hAnsi="宋体" w:cs="宋体"/>
                <w:b w:val="0"/>
                <w:i w:val="0"/>
                <w:color w:val="000000"/>
                <w:sz w:val="19"/>
              </w:rPr>
              <w:t xml:space="preserve">1.16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22.20</w:t>
            </w:r>
          </w:p>
        </w:tc>
        <w:tc>
          <w:tcPr>
            <w:tcW w:w="1600" w:type="dxa"/>
            <w:tcBorders/>
            <w:vAlign w:val="center"/>
          </w:tcPr>
          <w:p>
            <w:pPr>
              <w:jc w:val="right"/>
            </w:pPr>
            <w:r>
              <w:rPr>
                <w:rFonts w:ascii="宋体" w:eastAsia="宋体" w:hAnsi="宋体" w:cs="宋体"/>
                <w:b w:val="0"/>
                <w:i w:val="0"/>
                <w:color w:val="000000"/>
                <w:sz w:val="19"/>
              </w:rPr>
              <w:t xml:space="preserve">22.20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22.20</w:t>
            </w:r>
          </w:p>
        </w:tc>
        <w:tc>
          <w:tcPr>
            <w:tcW w:w="1600" w:type="dxa"/>
            <w:tcBorders/>
            <w:vAlign w:val="center"/>
          </w:tcPr>
          <w:p>
            <w:pPr>
              <w:jc w:val="right"/>
            </w:pPr>
            <w:r>
              <w:rPr>
                <w:rFonts w:ascii="宋体" w:eastAsia="宋体" w:hAnsi="宋体" w:cs="宋体"/>
                <w:b w:val="0"/>
                <w:i w:val="0"/>
                <w:color w:val="000000"/>
                <w:sz w:val="19"/>
              </w:rPr>
              <w:t xml:space="preserve">22.20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22.20</w:t>
            </w:r>
          </w:p>
        </w:tc>
        <w:tc>
          <w:tcPr>
            <w:tcW w:w="1600" w:type="dxa"/>
            <w:tcBorders/>
            <w:vAlign w:val="center"/>
          </w:tcPr>
          <w:p>
            <w:pPr>
              <w:jc w:val="right"/>
            </w:pPr>
            <w:r>
              <w:rPr>
                <w:rFonts w:ascii="宋体" w:eastAsia="宋体" w:hAnsi="宋体" w:cs="宋体"/>
                <w:b w:val="0"/>
                <w:i w:val="0"/>
                <w:color w:val="000000"/>
                <w:sz w:val="19"/>
              </w:rPr>
              <w:t xml:space="preserve">22.20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1.07</w:t>
            </w:r>
          </w:p>
        </w:tc>
        <w:tc>
          <w:tcPr>
            <w:tcW w:w="1600" w:type="dxa"/>
            <w:tcBorders/>
            <w:vAlign w:val="center"/>
          </w:tcPr>
          <w:p>
            <w:pPr>
              <w:jc w:val="right"/>
            </w:pPr>
            <w:r>
              <w:rPr>
                <w:rFonts w:ascii="宋体" w:eastAsia="宋体" w:hAnsi="宋体" w:cs="宋体"/>
                <w:b w:val="0"/>
                <w:i w:val="0"/>
                <w:color w:val="000000"/>
                <w:sz w:val="19"/>
              </w:rPr>
              <w:t xml:space="preserve">1.07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1.07</w:t>
            </w:r>
          </w:p>
        </w:tc>
        <w:tc>
          <w:tcPr>
            <w:tcW w:w="1600" w:type="dxa"/>
            <w:tcBorders/>
            <w:vAlign w:val="center"/>
          </w:tcPr>
          <w:p>
            <w:pPr>
              <w:jc w:val="right"/>
            </w:pPr>
            <w:r>
              <w:rPr>
                <w:rFonts w:ascii="宋体" w:eastAsia="宋体" w:hAnsi="宋体" w:cs="宋体"/>
                <w:b w:val="0"/>
                <w:i w:val="0"/>
                <w:color w:val="000000"/>
                <w:sz w:val="19"/>
              </w:rPr>
              <w:t xml:space="preserve">1.07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1.07</w:t>
            </w:r>
          </w:p>
        </w:tc>
        <w:tc>
          <w:tcPr>
            <w:tcW w:w="1600" w:type="dxa"/>
            <w:tcBorders/>
            <w:vAlign w:val="center"/>
          </w:tcPr>
          <w:p>
            <w:pPr>
              <w:jc w:val="right"/>
            </w:pPr>
            <w:r>
              <w:rPr>
                <w:rFonts w:ascii="宋体" w:eastAsia="宋体" w:hAnsi="宋体" w:cs="宋体"/>
                <w:b w:val="0"/>
                <w:i w:val="0"/>
                <w:color w:val="000000"/>
                <w:sz w:val="19"/>
              </w:rPr>
              <w:t xml:space="preserve">1.07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单位：许昌市建设工程招标投标服务中心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32.12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0.11</w:t>
            </w:r>
          </w:p>
        </w:tc>
        <w:tc>
          <w:tcPr>
            <w:tcW w:w="1420" w:type="dxa"/>
            <w:tcBorders/>
            <w:vAlign w:val="center"/>
          </w:tcPr>
          <w:p>
            <w:pPr>
              <w:jc w:val="right"/>
            </w:pPr>
            <w:r>
              <w:rPr>
                <w:rFonts w:ascii="宋体" w:eastAsia="宋体" w:hAnsi="宋体" w:cs="宋体"/>
                <w:b w:val="0"/>
                <w:i w:val="0"/>
                <w:color w:val="000000"/>
                <w:sz w:val="18"/>
              </w:rPr>
              <w:t xml:space="preserve">0.11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8.19</w:t>
            </w:r>
          </w:p>
        </w:tc>
        <w:tc>
          <w:tcPr>
            <w:tcW w:w="1420" w:type="dxa"/>
            <w:tcBorders/>
            <w:vAlign w:val="center"/>
          </w:tcPr>
          <w:p>
            <w:pPr>
              <w:jc w:val="right"/>
            </w:pPr>
            <w:r>
              <w:rPr>
                <w:rFonts w:ascii="宋体" w:eastAsia="宋体" w:hAnsi="宋体" w:cs="宋体"/>
                <w:b w:val="0"/>
                <w:i w:val="0"/>
                <w:color w:val="000000"/>
                <w:sz w:val="18"/>
              </w:rPr>
              <w:t xml:space="preserve">8.19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0.56</w:t>
            </w:r>
          </w:p>
        </w:tc>
        <w:tc>
          <w:tcPr>
            <w:tcW w:w="1420" w:type="dxa"/>
            <w:tcBorders/>
            <w:vAlign w:val="center"/>
          </w:tcPr>
          <w:p>
            <w:pPr>
              <w:jc w:val="right"/>
            </w:pPr>
            <w:r>
              <w:rPr>
                <w:rFonts w:ascii="宋体" w:eastAsia="宋体" w:hAnsi="宋体" w:cs="宋体"/>
                <w:b w:val="0"/>
                <w:i w:val="0"/>
                <w:color w:val="000000"/>
                <w:sz w:val="18"/>
              </w:rPr>
              <w:t xml:space="preserve">0.56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22.20</w:t>
            </w:r>
          </w:p>
        </w:tc>
        <w:tc>
          <w:tcPr>
            <w:tcW w:w="1420" w:type="dxa"/>
            <w:tcBorders/>
            <w:vAlign w:val="center"/>
          </w:tcPr>
          <w:p>
            <w:pPr>
              <w:jc w:val="right"/>
            </w:pPr>
            <w:r>
              <w:rPr>
                <w:rFonts w:ascii="宋体" w:eastAsia="宋体" w:hAnsi="宋体" w:cs="宋体"/>
                <w:b w:val="0"/>
                <w:i w:val="0"/>
                <w:color w:val="000000"/>
                <w:sz w:val="18"/>
              </w:rPr>
              <w:t xml:space="preserve">22.20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1.07</w:t>
            </w:r>
          </w:p>
        </w:tc>
        <w:tc>
          <w:tcPr>
            <w:tcW w:w="1420" w:type="dxa"/>
            <w:tcBorders/>
            <w:vAlign w:val="center"/>
          </w:tcPr>
          <w:p>
            <w:pPr>
              <w:jc w:val="right"/>
            </w:pPr>
            <w:r>
              <w:rPr>
                <w:rFonts w:ascii="宋体" w:eastAsia="宋体" w:hAnsi="宋体" w:cs="宋体"/>
                <w:b w:val="0"/>
                <w:i w:val="0"/>
                <w:color w:val="000000"/>
                <w:sz w:val="18"/>
              </w:rPr>
              <w:t xml:space="preserve">1.07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32.12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32.12</w:t>
            </w:r>
          </w:p>
        </w:tc>
        <w:tc>
          <w:tcPr>
            <w:tcW w:w="1420" w:type="dxa"/>
            <w:tcBorders/>
            <w:vAlign w:val="center"/>
          </w:tcPr>
          <w:p>
            <w:pPr>
              <w:jc w:val="right"/>
            </w:pPr>
            <w:r>
              <w:rPr>
                <w:rFonts w:ascii="宋体" w:eastAsia="宋体" w:hAnsi="宋体" w:cs="宋体"/>
                <w:b w:val="0"/>
                <w:i w:val="0"/>
                <w:color w:val="000000"/>
                <w:sz w:val="18"/>
              </w:rPr>
              <w:t xml:space="preserve">32.12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32.12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32.12</w:t>
            </w:r>
          </w:p>
        </w:tc>
        <w:tc>
          <w:tcPr>
            <w:tcW w:w="1420" w:type="dxa"/>
            <w:tcBorders/>
            <w:vAlign w:val="center"/>
          </w:tcPr>
          <w:p>
            <w:pPr>
              <w:jc w:val="right"/>
            </w:pPr>
            <w:r>
              <w:rPr>
                <w:rFonts w:ascii="宋体" w:eastAsia="宋体" w:hAnsi="宋体" w:cs="宋体"/>
                <w:b w:val="0"/>
                <w:i w:val="0"/>
                <w:color w:val="000000"/>
                <w:sz w:val="18"/>
              </w:rPr>
              <w:t xml:space="preserve">32.12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单位：许昌市建设工程招标投标服务中心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32.12</w:t>
            </w:r>
          </w:p>
        </w:tc>
        <w:tc>
          <w:tcPr>
            <w:tcW w:w="2700" w:type="dxa"/>
            <w:tcBorders/>
            <w:vAlign w:val="center"/>
          </w:tcPr>
          <w:p>
            <w:pPr>
              <w:jc w:val="right"/>
            </w:pPr>
            <w:r>
              <w:rPr>
                <w:rFonts w:ascii="宋体" w:eastAsia="宋体" w:hAnsi="宋体" w:cs="宋体"/>
                <w:b/>
                <w:i w:val="0"/>
                <w:color w:val="000000"/>
                <w:sz w:val="25"/>
              </w:rPr>
              <w:t xml:space="preserve">32.12</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0.11</w:t>
            </w:r>
          </w:p>
        </w:tc>
        <w:tc>
          <w:tcPr>
            <w:tcW w:w="2700" w:type="dxa"/>
            <w:tcBorders/>
            <w:vAlign w:val="center"/>
          </w:tcPr>
          <w:p>
            <w:pPr>
              <w:jc w:val="right"/>
            </w:pPr>
            <w:r>
              <w:rPr>
                <w:rFonts w:ascii="宋体" w:eastAsia="宋体" w:hAnsi="宋体" w:cs="宋体"/>
                <w:b w:val="0"/>
                <w:i w:val="0"/>
                <w:color w:val="000000"/>
                <w:sz w:val="25"/>
              </w:rPr>
              <w:t xml:space="preserve">0.11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0.11</w:t>
            </w:r>
          </w:p>
        </w:tc>
        <w:tc>
          <w:tcPr>
            <w:tcW w:w="2700" w:type="dxa"/>
            <w:tcBorders/>
            <w:vAlign w:val="center"/>
          </w:tcPr>
          <w:p>
            <w:pPr>
              <w:jc w:val="right"/>
            </w:pPr>
            <w:r>
              <w:rPr>
                <w:rFonts w:ascii="宋体" w:eastAsia="宋体" w:hAnsi="宋体" w:cs="宋体"/>
                <w:b w:val="0"/>
                <w:i w:val="0"/>
                <w:color w:val="000000"/>
                <w:sz w:val="25"/>
              </w:rPr>
              <w:t xml:space="preserve">0.11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0.11</w:t>
            </w:r>
          </w:p>
        </w:tc>
        <w:tc>
          <w:tcPr>
            <w:tcW w:w="2700" w:type="dxa"/>
            <w:tcBorders/>
            <w:vAlign w:val="center"/>
          </w:tcPr>
          <w:p>
            <w:pPr>
              <w:jc w:val="right"/>
            </w:pPr>
            <w:r>
              <w:rPr>
                <w:rFonts w:ascii="宋体" w:eastAsia="宋体" w:hAnsi="宋体" w:cs="宋体"/>
                <w:b w:val="0"/>
                <w:i w:val="0"/>
                <w:color w:val="000000"/>
                <w:sz w:val="25"/>
              </w:rPr>
              <w:t xml:space="preserve">0.11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8.19</w:t>
            </w:r>
          </w:p>
        </w:tc>
        <w:tc>
          <w:tcPr>
            <w:tcW w:w="2700" w:type="dxa"/>
            <w:tcBorders/>
            <w:vAlign w:val="center"/>
          </w:tcPr>
          <w:p>
            <w:pPr>
              <w:jc w:val="right"/>
            </w:pPr>
            <w:r>
              <w:rPr>
                <w:rFonts w:ascii="宋体" w:eastAsia="宋体" w:hAnsi="宋体" w:cs="宋体"/>
                <w:b w:val="0"/>
                <w:i w:val="0"/>
                <w:color w:val="000000"/>
                <w:sz w:val="25"/>
              </w:rPr>
              <w:t xml:space="preserve">8.19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8.19</w:t>
            </w:r>
          </w:p>
        </w:tc>
        <w:tc>
          <w:tcPr>
            <w:tcW w:w="2700" w:type="dxa"/>
            <w:tcBorders/>
            <w:vAlign w:val="center"/>
          </w:tcPr>
          <w:p>
            <w:pPr>
              <w:jc w:val="right"/>
            </w:pPr>
            <w:r>
              <w:rPr>
                <w:rFonts w:ascii="宋体" w:eastAsia="宋体" w:hAnsi="宋体" w:cs="宋体"/>
                <w:b w:val="0"/>
                <w:i w:val="0"/>
                <w:color w:val="000000"/>
                <w:sz w:val="25"/>
              </w:rPr>
              <w:t xml:space="preserve">8.19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7.03</w:t>
            </w:r>
          </w:p>
        </w:tc>
        <w:tc>
          <w:tcPr>
            <w:tcW w:w="2700" w:type="dxa"/>
            <w:tcBorders/>
            <w:vAlign w:val="center"/>
          </w:tcPr>
          <w:p>
            <w:pPr>
              <w:jc w:val="right"/>
            </w:pPr>
            <w:r>
              <w:rPr>
                <w:rFonts w:ascii="宋体" w:eastAsia="宋体" w:hAnsi="宋体" w:cs="宋体"/>
                <w:b w:val="0"/>
                <w:i w:val="0"/>
                <w:color w:val="000000"/>
                <w:sz w:val="25"/>
              </w:rPr>
              <w:t xml:space="preserve">7.03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1.16</w:t>
            </w:r>
          </w:p>
        </w:tc>
        <w:tc>
          <w:tcPr>
            <w:tcW w:w="2700" w:type="dxa"/>
            <w:tcBorders/>
            <w:vAlign w:val="center"/>
          </w:tcPr>
          <w:p>
            <w:pPr>
              <w:jc w:val="right"/>
            </w:pPr>
            <w:r>
              <w:rPr>
                <w:rFonts w:ascii="宋体" w:eastAsia="宋体" w:hAnsi="宋体" w:cs="宋体"/>
                <w:b w:val="0"/>
                <w:i w:val="0"/>
                <w:color w:val="000000"/>
                <w:sz w:val="25"/>
              </w:rPr>
              <w:t xml:space="preserve">1.16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700" w:type="dxa"/>
            <w:tcBorders/>
            <w:vAlign w:val="center"/>
          </w:tcPr>
          <w:p>
            <w:pPr>
              <w:jc w:val="right"/>
            </w:pPr>
            <w:r>
              <w:rPr>
                <w:rFonts w:ascii="宋体" w:eastAsia="宋体" w:hAnsi="宋体" w:cs="宋体"/>
                <w:b w:val="0"/>
                <w:i w:val="0"/>
                <w:color w:val="000000"/>
                <w:sz w:val="25"/>
              </w:rPr>
              <w:t xml:space="preserve">0.56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22.20</w:t>
            </w:r>
          </w:p>
        </w:tc>
        <w:tc>
          <w:tcPr>
            <w:tcW w:w="2700" w:type="dxa"/>
            <w:tcBorders/>
            <w:vAlign w:val="center"/>
          </w:tcPr>
          <w:p>
            <w:pPr>
              <w:jc w:val="right"/>
            </w:pPr>
            <w:r>
              <w:rPr>
                <w:rFonts w:ascii="宋体" w:eastAsia="宋体" w:hAnsi="宋体" w:cs="宋体"/>
                <w:b w:val="0"/>
                <w:i w:val="0"/>
                <w:color w:val="000000"/>
                <w:sz w:val="25"/>
              </w:rPr>
              <w:t xml:space="preserve">22.20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22.20</w:t>
            </w:r>
          </w:p>
        </w:tc>
        <w:tc>
          <w:tcPr>
            <w:tcW w:w="2700" w:type="dxa"/>
            <w:tcBorders/>
            <w:vAlign w:val="center"/>
          </w:tcPr>
          <w:p>
            <w:pPr>
              <w:jc w:val="right"/>
            </w:pPr>
            <w:r>
              <w:rPr>
                <w:rFonts w:ascii="宋体" w:eastAsia="宋体" w:hAnsi="宋体" w:cs="宋体"/>
                <w:b w:val="0"/>
                <w:i w:val="0"/>
                <w:color w:val="000000"/>
                <w:sz w:val="25"/>
              </w:rPr>
              <w:t xml:space="preserve">22.20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22.20</w:t>
            </w:r>
          </w:p>
        </w:tc>
        <w:tc>
          <w:tcPr>
            <w:tcW w:w="2700" w:type="dxa"/>
            <w:tcBorders/>
            <w:vAlign w:val="center"/>
          </w:tcPr>
          <w:p>
            <w:pPr>
              <w:jc w:val="right"/>
            </w:pPr>
            <w:r>
              <w:rPr>
                <w:rFonts w:ascii="宋体" w:eastAsia="宋体" w:hAnsi="宋体" w:cs="宋体"/>
                <w:b w:val="0"/>
                <w:i w:val="0"/>
                <w:color w:val="000000"/>
                <w:sz w:val="25"/>
              </w:rPr>
              <w:t xml:space="preserve">22.20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1.07</w:t>
            </w:r>
          </w:p>
        </w:tc>
        <w:tc>
          <w:tcPr>
            <w:tcW w:w="2700" w:type="dxa"/>
            <w:tcBorders/>
            <w:vAlign w:val="center"/>
          </w:tcPr>
          <w:p>
            <w:pPr>
              <w:jc w:val="right"/>
            </w:pPr>
            <w:r>
              <w:rPr>
                <w:rFonts w:ascii="宋体" w:eastAsia="宋体" w:hAnsi="宋体" w:cs="宋体"/>
                <w:b w:val="0"/>
                <w:i w:val="0"/>
                <w:color w:val="000000"/>
                <w:sz w:val="25"/>
              </w:rPr>
              <w:t xml:space="preserve">1.07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1.07</w:t>
            </w:r>
          </w:p>
        </w:tc>
        <w:tc>
          <w:tcPr>
            <w:tcW w:w="2700" w:type="dxa"/>
            <w:tcBorders/>
            <w:vAlign w:val="center"/>
          </w:tcPr>
          <w:p>
            <w:pPr>
              <w:jc w:val="right"/>
            </w:pPr>
            <w:r>
              <w:rPr>
                <w:rFonts w:ascii="宋体" w:eastAsia="宋体" w:hAnsi="宋体" w:cs="宋体"/>
                <w:b w:val="0"/>
                <w:i w:val="0"/>
                <w:color w:val="000000"/>
                <w:sz w:val="25"/>
              </w:rPr>
              <w:t xml:space="preserve">1.07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1.07</w:t>
            </w:r>
          </w:p>
        </w:tc>
        <w:tc>
          <w:tcPr>
            <w:tcW w:w="2700" w:type="dxa"/>
            <w:tcBorders/>
            <w:vAlign w:val="center"/>
          </w:tcPr>
          <w:p>
            <w:pPr>
              <w:jc w:val="right"/>
            </w:pPr>
            <w:r>
              <w:rPr>
                <w:rFonts w:ascii="宋体" w:eastAsia="宋体" w:hAnsi="宋体" w:cs="宋体"/>
                <w:b w:val="0"/>
                <w:i w:val="0"/>
                <w:color w:val="000000"/>
                <w:sz w:val="25"/>
              </w:rPr>
              <w:t xml:space="preserve">1.07</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单位：许昌市建设工程招标投标服务中心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17.92</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7.16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5.34</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1.49</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3.12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4.20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0.30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2.33</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1.18</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0.58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0.24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1.07</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0.04</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7.03</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0.01</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7.03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4.06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0.36</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0.13</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0.40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24.95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7.16</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单位：许昌市建设工程招标投标服务中心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单位：许昌市建设工程招标投标服务中心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单位：许昌市建设工程招标投标服务中心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32.12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减少7.28万元，下降18.48%</w:t>
      </w:r>
      <w:r>
        <w:rPr>
          <w:rFonts w:ascii="仿宋" w:eastAsia="仿宋" w:hAnsi="仿宋" w:cs="仿宋" w:hint="eastAsia"/>
          <w:kern w:val="0"/>
          <w:sz w:val="32"/>
          <w:szCs w:val="32"/>
          <w:lang w:val="en-US" w:eastAsia="zh-CN"/>
        </w:rPr>
        <w:t xml:space="preserve">。主要原因是在职人员减少。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32.12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财政拨款收入32.12万元，占100.00%；上级补助收入0.00万元，占0.00%；事业收入0.00万元，占0.00%；经营收入0.00万元，占0.00%；附属单位上缴收入0.00万元，占0.00%；其他收入0.00万元，占0.00%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32.12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基本支出32.12万元，占100.00%；项目支出0.00万元，占0.00%；上缴上级支出0.00万元，占0.00%；经营支出0.00万元，占0.00%；对附属单位补助支出0.00万元，占0.00%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32.12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减少7.28万元，下降18.48%</w:t>
      </w:r>
      <w:r>
        <w:rPr>
          <w:rFonts w:ascii="仿宋" w:eastAsia="仿宋" w:hAnsi="仿宋" w:cs="仿宋" w:hint="eastAsia"/>
          <w:kern w:val="0"/>
          <w:sz w:val="32"/>
          <w:szCs w:val="32"/>
          <w:lang w:val="en-US" w:eastAsia="zh-CN"/>
        </w:rPr>
        <w:t xml:space="preserve">。主要原因是在职人员减少。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32.12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减少7.28万元，下降18.48%</w:t>
      </w:r>
      <w:r>
        <w:rPr>
          <w:rFonts w:ascii="仿宋" w:eastAsia="仿宋" w:hAnsi="仿宋" w:cs="仿宋" w:hint="eastAsia"/>
          <w:kern w:val="0"/>
          <w:sz w:val="32"/>
          <w:szCs w:val="32"/>
          <w:lang w:val="en-US" w:eastAsia="zh-CN"/>
        </w:rPr>
        <w:t xml:space="preserve">。主要原因是在职人员减少。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32.12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一般公共服务支出（类）0.11万元，占0.34%；社会保障和就业支出（类）8.19万元，占25.50%；卫生健康支出（类）0.56万元，占1.74%；城乡社区支出（类）22.20万元，占69.12%；住房保障支出（类）1.07万元，占3.33%</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31.63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32.12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101.55</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年初预算数为0.11万元，决算数0.11万元,完成年初预算的100.00%，决算数与年初预算数不存在差异。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年初预算数为7.03万元，决算数7.03万元,完成年初预算的100.00%，决算数与年初预算数不存在差异。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年初预算数为1.16万元，决算数1.16万元,完成年初预算的100.00%，决算数与年初预算数不存在差异。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年初预算数为0.56万元，决算数0.56万元,完成年初预算的100.00%，决算数与年初预算数不存在差异。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年初预算数为21.71万元，决算数22.20万元,完成年初预算的102.26%，决算数与年初预算数存在差异的主要原因是追加人员经费。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6.住房保障支出（类）住房改革支出（款）住房公积金（项）</w:t>
      </w:r>
      <w:r>
        <w:rPr>
          <w:rFonts w:ascii="仿宋" w:eastAsia="仿宋" w:hAnsi="仿宋" w:cs="仿宋" w:hint="default"/>
          <w:kern w:val="2"/>
          <w:sz w:val="32"/>
          <w:szCs w:val="32"/>
          <w:lang w:val="en-US" w:eastAsia="zh-CN"/>
        </w:rPr>
        <w:t xml:space="preserve">年初预算数为1.07万元，决算数1.07万元,完成年初预算的100.00%，决算数与年初预算数不存在差异。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32.12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其中：人员经费24.95万元，主要包括：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公用经费7.16万元，主要包括：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32.12</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好</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本单位在工作目标管理、重点工作、目标实现方面完成了年初绩效设定目标；在预算管理、财务管理、资产管理、运行成本控制方面真实完整反映年初绩效目标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354"/>
        <w:gridCol w:w="354"/>
        <w:gridCol w:w="996"/>
        <w:gridCol w:w="1048"/>
        <w:gridCol w:w="826"/>
        <w:gridCol w:w="2647"/>
        <w:gridCol w:w="1245"/>
        <w:gridCol w:w="446"/>
        <w:gridCol w:w="970"/>
        <w:gridCol w:w="1022"/>
      </w:tblGrid>
      <w:tr>
        <w:trPr>
          <w:trHeight w:hRule="exact" w:val="198"/>
          <w:jc w:val="center"/>
        </w:trPr>
        <w:tc>
          <w:tcPr>
            <w:tcW w:w="354" w:type="dxa"/>
            <w:shd w:val="clear" w:color="auto" w:fill="auto"/>
            <w:vAlign w:val="bottom"/>
          </w:tcPr>
          <w:p>
            <w:pPr>
              <w:snapToGrid w:val="0"/>
              <w:spacing w:before="0" w:beforeAutospacing="0" w:after="0" w:afterAutospacing="0" w:line="240" w:lineRule="auto"/>
            </w:pPr>
            <w:r>
              <w:rPr>
                <w:rFonts w:ascii="黑体" w:eastAsia="黑体" w:hAnsi="黑体" w:cs="黑体"/>
                <w:b w:val="0"/>
                <w:i w:val="0"/>
                <w:color w:val="000000"/>
                <w:sz w:val="15"/>
              </w:rPr>
              <w:t xml:space="preserve">附件2</w:t>
            </w:r>
          </w:p>
        </w:tc>
        <w:tc>
          <w:tcPr>
            <w:tcW w:w="354" w:type="dxa"/>
            <w:shd w:val="clear" w:color="auto" w:fill="auto"/>
            <w:vAlign w:val="bottom"/>
          </w:tcPr>
          <w:p>
            <w:pPr>
              <w:snapToGrid w:val="0"/>
              <w:spacing w:before="0" w:beforeAutospacing="0" w:after="0" w:afterAutospacing="0" w:line="240" w:lineRule="auto"/>
            </w:pPr>
          </w:p>
        </w:tc>
        <w:tc>
          <w:tcPr>
            <w:tcW w:w="996" w:type="dxa"/>
            <w:shd w:val="clear" w:color="auto" w:fill="auto"/>
            <w:vAlign w:val="bottom"/>
          </w:tcPr>
          <w:p>
            <w:pPr>
              <w:snapToGrid w:val="0"/>
              <w:spacing w:before="0" w:beforeAutospacing="0" w:after="0" w:afterAutospacing="0" w:line="240" w:lineRule="auto"/>
            </w:pPr>
          </w:p>
        </w:tc>
        <w:tc>
          <w:tcPr>
            <w:tcW w:w="1048" w:type="dxa"/>
            <w:shd w:val="clear" w:color="auto" w:fill="auto"/>
            <w:vAlign w:val="bottom"/>
          </w:tcPr>
          <w:p>
            <w:pPr>
              <w:snapToGrid w:val="0"/>
              <w:spacing w:before="0" w:beforeAutospacing="0" w:after="0" w:afterAutospacing="0" w:line="240" w:lineRule="auto"/>
            </w:pPr>
          </w:p>
        </w:tc>
        <w:tc>
          <w:tcPr>
            <w:tcW w:w="826" w:type="dxa"/>
            <w:shd w:val="clear" w:color="auto" w:fill="auto"/>
            <w:vAlign w:val="bottom"/>
          </w:tcPr>
          <w:p>
            <w:pPr>
              <w:snapToGrid w:val="0"/>
              <w:spacing w:before="0" w:beforeAutospacing="0" w:after="0" w:afterAutospacing="0" w:line="240" w:lineRule="auto"/>
            </w:pPr>
          </w:p>
        </w:tc>
        <w:tc>
          <w:tcPr>
            <w:tcW w:w="2647" w:type="dxa"/>
            <w:shd w:val="clear" w:color="auto" w:fill="auto"/>
            <w:vAlign w:val="bottom"/>
          </w:tcPr>
          <w:p>
            <w:pPr>
              <w:snapToGrid w:val="0"/>
              <w:spacing w:before="0" w:beforeAutospacing="0" w:after="0" w:afterAutospacing="0" w:line="240" w:lineRule="auto"/>
            </w:pPr>
          </w:p>
        </w:tc>
        <w:tc>
          <w:tcPr>
            <w:tcW w:w="1245" w:type="dxa"/>
            <w:shd w:val="clear" w:color="auto" w:fill="auto"/>
            <w:vAlign w:val="bottom"/>
          </w:tcPr>
          <w:p>
            <w:pPr>
              <w:snapToGrid w:val="0"/>
              <w:spacing w:before="0" w:beforeAutospacing="0" w:after="0" w:afterAutospacing="0" w:line="240" w:lineRule="auto"/>
            </w:pPr>
          </w:p>
        </w:tc>
        <w:tc>
          <w:tcPr>
            <w:tcW w:w="446" w:type="dxa"/>
            <w:shd w:val="clear" w:color="auto" w:fill="auto"/>
            <w:vAlign w:val="bottom"/>
          </w:tcPr>
          <w:p>
            <w:pPr>
              <w:snapToGrid w:val="0"/>
              <w:spacing w:before="0" w:beforeAutospacing="0" w:after="0" w:afterAutospacing="0" w:line="240" w:lineRule="auto"/>
            </w:pPr>
          </w:p>
        </w:tc>
        <w:tc>
          <w:tcPr>
            <w:tcW w:w="970" w:type="dxa"/>
            <w:shd w:val="clear" w:color="auto" w:fill="auto"/>
            <w:vAlign w:val="bottom"/>
          </w:tcPr>
          <w:p>
            <w:pPr>
              <w:snapToGrid w:val="0"/>
              <w:spacing w:before="0" w:beforeAutospacing="0" w:after="0" w:afterAutospacing="0" w:line="240" w:lineRule="auto"/>
            </w:pPr>
          </w:p>
        </w:tc>
        <w:tc>
          <w:tcPr>
            <w:tcW w:w="1022" w:type="dxa"/>
            <w:shd w:val="clear" w:color="auto" w:fill="auto"/>
            <w:vAlign w:val="bottom"/>
          </w:tcPr>
          <w:p>
            <w:pPr>
              <w:snapToGrid w:val="0"/>
              <w:spacing w:before="0" w:beforeAutospacing="0" w:after="0" w:afterAutospacing="0" w:line="240" w:lineRule="auto"/>
            </w:pPr>
          </w:p>
        </w:tc>
      </w:tr>
      <w:tr>
        <w:trPr>
          <w:trHeight w:hRule="exact" w:val="357"/>
          <w:jc w:val="center"/>
        </w:trPr>
        <w:tc>
          <w:tcPr>
            <w:tcW w:w="9908"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i w:val="0"/>
                <w:color w:val="000000"/>
                <w:sz w:val="21"/>
              </w:rPr>
              <w:t xml:space="preserve">部门整体自评表</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68"/>
          <w:jc w:val="center"/>
        </w:trPr>
        <w:tc>
          <w:tcPr>
            <w:tcW w:w="9908"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（2023年度）</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68"/>
          <w:jc w:val="center"/>
        </w:trPr>
        <w:tc>
          <w:tcPr>
            <w:tcW w:w="354" w:type="dxa"/>
            <w:tcBorders>
              <w:bottom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2"/>
              </w:rPr>
              <w:t xml:space="preserve">             </w:t>
            </w:r>
          </w:p>
        </w:tc>
        <w:tc>
          <w:tcPr>
            <w:tcW w:w="35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996"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048"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826"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264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691"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right"/>
            </w:pPr>
            <w:r>
              <w:rPr>
                <w:rFonts w:ascii="Calibri" w:eastAsia="Calibri" w:hAnsi="Calibri" w:cs="Calibri"/>
                <w:b w:val="0"/>
                <w:i w:val="0"/>
                <w:color w:val="000000"/>
                <w:sz w:val="12"/>
              </w:rPr>
              <w:t xml:space="preserve">填表人及联系方式：</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w="1992"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卢珂，2168111</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59"/>
          <w:jc w:val="center"/>
        </w:trPr>
        <w:tc>
          <w:tcPr>
            <w:tcW w:w="170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04"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许昌市建设工程招标投标服务中心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170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04"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8"/>
          <w:jc w:val="center"/>
        </w:trPr>
        <w:tc>
          <w:tcPr>
            <w:tcW w:w="70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预算</w:t>
            </w:r>
          </w:p>
          <w:p>
            <w:pPr>
              <w:snapToGrid w:val="0"/>
              <w:spacing w:before="0" w:beforeAutospacing="0" w:after="0" w:afterAutospacing="0" w:line="240" w:lineRule="auto"/>
              <w:jc w:val="center"/>
              <w:rPr/>
            </w:pPr>
            <w:r>
              <w:rPr>
                <w:rFonts w:ascii="Calibri" w:eastAsia="Calibri" w:hAnsi="Calibri" w:cs="Calibri"/>
                <w:b w:val="0"/>
                <w:i w:val="0"/>
                <w:color w:val="000000"/>
                <w:sz w:val="12"/>
              </w:rPr>
              <w:t xml:space="preserve">执行</w:t>
            </w:r>
          </w:p>
          <w:p>
            <w:pPr>
              <w:snapToGrid w:val="0"/>
              <w:spacing w:before="0" w:beforeAutospacing="0" w:after="0" w:afterAutospacing="0" w:line="240" w:lineRule="auto"/>
              <w:jc w:val="center"/>
              <w:rPr/>
            </w:pPr>
            <w:r>
              <w:rPr>
                <w:rFonts w:ascii="Calibri" w:eastAsia="Calibri" w:hAnsi="Calibri" w:cs="Calibri"/>
                <w:b w:val="0"/>
                <w:i w:val="0"/>
                <w:color w:val="000000"/>
                <w:sz w:val="12"/>
              </w:rPr>
              <w:t xml:space="preserve">情况</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2"/>
              </w:rPr>
              <w:t xml:space="preserve">年初预算数</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2"/>
              </w:rPr>
              <w:t xml:space="preserve">全年预算数</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全年执行数</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分值</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预算执行率</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得分</w:t>
            </w:r>
          </w:p>
        </w:tc>
      </w:tr>
      <w:tr>
        <w:trPr>
          <w:trHeight w:hRule="exact" w:val="159"/>
          <w:jc w:val="center"/>
        </w:trPr>
        <w:tc>
          <w:tcPr>
            <w:tcW w:w="70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04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部门预算总额</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31.63</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32.12</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2"/>
              </w:rPr>
              <w:t xml:space="preserve">32.12</w:t>
            </w:r>
          </w:p>
        </w:tc>
        <w:tc>
          <w:tcPr>
            <w:tcW w:w="44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2"/>
              </w:rPr>
              <w:t xml:space="preserve">1</w:t>
            </w:r>
          </w:p>
        </w:tc>
        <w:tc>
          <w:tcPr>
            <w:tcW w:w="1022"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r>
      <w:tr>
        <w:trPr>
          <w:trHeight w:hRule="exact" w:val="188"/>
          <w:jc w:val="center"/>
        </w:trPr>
        <w:tc>
          <w:tcPr>
            <w:tcW w:w="70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资金来源</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政府预算资金</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31.63</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32.12</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2"/>
              </w:rPr>
              <w:t xml:space="preserve">32.12</w:t>
            </w:r>
          </w:p>
        </w:tc>
        <w:tc>
          <w:tcPr>
            <w:tcW w:w="446"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2"/>
              </w:rPr>
              <w:t xml:space="preserve">1</w:t>
            </w:r>
          </w:p>
        </w:tc>
        <w:tc>
          <w:tcPr>
            <w:tcW w:w="1022"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8"/>
          <w:jc w:val="center"/>
        </w:trPr>
        <w:tc>
          <w:tcPr>
            <w:tcW w:w="70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  财政专户管理资金</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46"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22"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8"/>
          <w:jc w:val="center"/>
        </w:trPr>
        <w:tc>
          <w:tcPr>
            <w:tcW w:w="70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单位资金</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4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22"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8"/>
          <w:jc w:val="center"/>
        </w:trPr>
        <w:tc>
          <w:tcPr>
            <w:tcW w:w="70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2"/>
              </w:rPr>
              <w:t xml:space="preserve">履职</w:t>
            </w:r>
          </w:p>
          <w:p>
            <w:pPr>
              <w:snapToGrid w:val="0"/>
              <w:spacing w:before="0" w:beforeAutospacing="0" w:after="0" w:afterAutospacing="0" w:line="240" w:lineRule="auto"/>
              <w:jc w:val="center"/>
              <w:rPr/>
            </w:pPr>
            <w:r>
              <w:rPr>
                <w:rFonts w:ascii="Calibri" w:eastAsia="Calibri" w:hAnsi="Calibri" w:cs="Calibri"/>
                <w:b w:val="0"/>
                <w:i w:val="0"/>
                <w:color w:val="000000"/>
                <w:sz w:val="12"/>
              </w:rPr>
              <w:t xml:space="preserve">目标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51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8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27"/>
          <w:jc w:val="center"/>
        </w:trPr>
        <w:tc>
          <w:tcPr>
            <w:tcW w:w="70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2"/>
              </w:rPr>
              <w:t xml:space="preserve">目标名称</w:t>
            </w:r>
          </w:p>
        </w:tc>
        <w:tc>
          <w:tcPr>
            <w:tcW w:w="452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8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目标完成情况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76"/>
          <w:jc w:val="center"/>
        </w:trPr>
        <w:tc>
          <w:tcPr>
            <w:tcW w:w="70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2"/>
              </w:rPr>
              <w:t xml:space="preserve">认真履行监管职责</w:t>
            </w:r>
          </w:p>
        </w:tc>
        <w:tc>
          <w:tcPr>
            <w:tcW w:w="452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持续深入优化招投标市场营商环境，进一步规范市本级财政投资项目招标投标活动，招投标市场更加公平公正规范有序。</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8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已完成</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17"/>
          <w:jc w:val="center"/>
        </w:trPr>
        <w:tc>
          <w:tcPr>
            <w:tcW w:w="70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2"/>
              </w:rPr>
              <w:t xml:space="preserve">主要</w:t>
            </w:r>
          </w:p>
          <w:p>
            <w:pPr>
              <w:snapToGrid w:val="0"/>
              <w:spacing w:before="0" w:beforeAutospacing="0" w:after="0" w:afterAutospacing="0" w:line="240" w:lineRule="auto"/>
              <w:jc w:val="center"/>
              <w:rPr/>
            </w:pPr>
            <w:r>
              <w:rPr>
                <w:rFonts w:ascii="Calibri" w:eastAsia="Calibri" w:hAnsi="Calibri" w:cs="Calibri"/>
                <w:b w:val="0"/>
                <w:i w:val="0"/>
                <w:color w:val="000000"/>
                <w:sz w:val="12"/>
              </w:rPr>
              <w:t xml:space="preserve">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2"/>
              </w:rPr>
              <w:t xml:space="preserve">任务名称</w:t>
            </w:r>
          </w:p>
        </w:tc>
        <w:tc>
          <w:tcPr>
            <w:tcW w:w="452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8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任务完成情况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15"/>
          <w:jc w:val="center"/>
        </w:trPr>
        <w:tc>
          <w:tcPr>
            <w:tcW w:w="70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2"/>
              </w:rPr>
              <w:t xml:space="preserve">继续做好招投标日常行业监管， 进一步优化招投标市场营商环境</w:t>
            </w:r>
          </w:p>
        </w:tc>
        <w:tc>
          <w:tcPr>
            <w:tcW w:w="452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1"/>
              </w:rPr>
              <w:t xml:space="preserve">加强对市本级财政投资项目招投标活动监管，进一步优化招标文件备案、招投标书面情况报告备案办理流程，对招标人、代理机构进行业务指导，进一步提升服务办事效率和服务质量。</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8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已完成</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18"/>
          <w:jc w:val="center"/>
        </w:trPr>
        <w:tc>
          <w:tcPr>
            <w:tcW w:w="3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一级指标</w:t>
            </w:r>
          </w:p>
        </w:tc>
        <w:tc>
          <w:tcPr>
            <w:tcW w:w="35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分值</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二级指标</w:t>
            </w:r>
          </w:p>
        </w:tc>
        <w:tc>
          <w:tcPr>
            <w:tcW w:w="10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三级指标</w:t>
            </w:r>
          </w:p>
        </w:tc>
        <w:tc>
          <w:tcPr>
            <w:tcW w:w="8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年度指标值</w:t>
            </w:r>
          </w:p>
        </w:tc>
        <w:tc>
          <w:tcPr>
            <w:tcW w:w="2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指标值说明</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实际完成值</w:t>
            </w:r>
          </w:p>
        </w:tc>
        <w:tc>
          <w:tcPr>
            <w:tcW w:w="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分值</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得分</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偏差原因分析及改进措施</w:t>
            </w:r>
          </w:p>
        </w:tc>
      </w:tr>
      <w:tr>
        <w:trPr>
          <w:trHeight w:hRule="exact" w:val="218"/>
          <w:jc w:val="center"/>
        </w:trPr>
        <w:tc>
          <w:tcPr>
            <w:tcW w:w="3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75"/>
          <w:jc w:val="center"/>
        </w:trPr>
        <w:tc>
          <w:tcPr>
            <w:tcW w:w="35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投入管理指标</w:t>
            </w:r>
          </w:p>
        </w:tc>
        <w:tc>
          <w:tcPr>
            <w:tcW w:w="35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30</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2"/>
              </w:rPr>
              <w:t xml:space="preserve">工作目标管理</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年度履职目标相关性</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相关</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1.年度履职目标是否符合国家、省委省政府战略部署和发展规划，与国家、省宏观政策、行业政策一致；2.年度履职目标是否与部门职责、工作规划和重点工作相关；3.确定的预算项目是否合理，是否与履职目标密切相关。</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相关</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55"/>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2"/>
              </w:rPr>
              <w:t xml:space="preserve">工作任务科学性</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科学</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1.工作任务是否有明确的绩效目标，是否能体现工作任务的产出和效果；2.工作任务对应的预算项目是否有明确的绩效目标，绩效目标是否与部门职责目标、工作任务目标一致，是否能体现预算项目的产出和效果。</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科学</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75"/>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2"/>
              </w:rPr>
              <w:t xml:space="preserve">绩效指标合理性</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合理</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1.预算项目绩效指标设置是否准确反映部门绩效完成情况；2.预算项目绩效指标是否清晰、细化、可评价、可衡量，是否与部门年度的任务数或计划数相对应；3.预算项目绩效指标的评价标准是否清晰、可衡量。</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合理</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56"/>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预算和财务管理</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预算编制完整性</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完整</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1.部门所有收入是否全部纳入部门预算；2.部门支出预算是否统筹各类资金来源，全部纳入部门预算管理。</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完整</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7"/>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专项资金细化率</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东文宋体" w:eastAsia="东文宋体" w:hAnsi="东文宋体" w:cs="东文宋体"/>
                <w:b w:val="0"/>
                <w:i w:val="0"/>
                <w:color w:val="000000"/>
                <w:sz w:val="12"/>
              </w:rPr>
              <w:t xml:space="preserve">≥90%</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专项资金细化率=（已细化到具体市县和承担单位的资金数/部门参与分配资金总数）×100%。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东文宋体" w:eastAsia="东文宋体" w:hAnsi="东文宋体" w:cs="东文宋体"/>
                <w:b w:val="0"/>
                <w:i w:val="0"/>
                <w:color w:val="000000"/>
                <w:sz w:val="12"/>
              </w:rPr>
              <w:t xml:space="preserve">≥90%</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66"/>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预算调整率</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Arial" w:eastAsia="Arial" w:hAnsi="Arial" w:cs="Arial"/>
                <w:b w:val="0"/>
                <w:i w:val="0"/>
                <w:color w:val="000000"/>
                <w:sz w:val="12"/>
              </w:rPr>
              <w:t xml:space="preserve">≤15%</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0.015</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56"/>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结转结余率</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Arial" w:eastAsia="Arial" w:hAnsi="Arial" w:cs="Arial"/>
                <w:b w:val="0"/>
                <w:i w:val="0"/>
                <w:color w:val="000000"/>
                <w:sz w:val="12"/>
              </w:rPr>
              <w:t xml:space="preserve">≤20%</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结转结余率=结转结余总额/预算数*100%。结转结余总额是指部门本年度的结转结余资金之和。预算数是指财政部门批复的本年度部门的（调整）预算数。</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0</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37"/>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“三公经费”控制率</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东文宋体" w:eastAsia="东文宋体" w:hAnsi="东文宋体" w:cs="东文宋体"/>
                <w:b w:val="0"/>
                <w:i w:val="0"/>
                <w:color w:val="000000"/>
                <w:sz w:val="12"/>
              </w:rPr>
              <w:t xml:space="preserve">100%</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“三公经费”控制率=本年度“三公经费”实际支出数/“三公经费”预算数*100%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0</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36"/>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政府采购执行率</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东文宋体" w:eastAsia="东文宋体" w:hAnsi="东文宋体" w:cs="东文宋体"/>
                <w:b w:val="0"/>
                <w:i w:val="0"/>
                <w:color w:val="000000"/>
                <w:sz w:val="12"/>
              </w:rPr>
              <w:t xml:space="preserve">≥80%</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政府采购执行率=（实际政府采购金额/政府采购预算数）×100%。政府采购预算：采购机关根据事业发展计划和行政任务编制的、并经过规定程序批准的年度政府采购计划。</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0</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7"/>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决算真实性</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真实</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反映本部门决算工作情况。决算编制数据是否账表一致，即决算报表数据与会计账簿数据是否一致。</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真实</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66"/>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资金使用合规性</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合规</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合规</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654"/>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管理制度健全性</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健全</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健全</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4</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615"/>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预决算信息公开性</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公开</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公开</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882"/>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资产管理规范性</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规范</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规范</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06"/>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绩效管理</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绩效监控完成率</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部门（单位）按要求实施绩效监控的项目数量占应实施绩效监控项目总数的比重。部门绩效监控完成率=已完成绩效监控项目数量/部门项目总数*100%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37"/>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绩效自评完成率</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部门（单位）按要求实施绩效自评的项目数量占应实施绩效自评项目总数的比重。部门绩效自评完成率=已完成评价项目数量/部门项目总数*100%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76"/>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部门绩效评价完成率</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部门重点绩效评价项目评价完成情况。部门绩效评价完成率=已完成评价项目数量/部门重点绩效评价项目数*100%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67"/>
          <w:jc w:val="center"/>
        </w:trPr>
        <w:tc>
          <w:tcPr>
            <w:tcW w:w="35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评价结果应用率</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8"/>
              </w:rPr>
              <w:t xml:space="preserve">绩效监控、单位自评、部门绩效评价、财政重点绩效评价结果应用情况。评价结果应用率=评价提出的意见建议采纳数/提出的意见建议总数*100%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36"/>
          <w:jc w:val="center"/>
        </w:trPr>
        <w:tc>
          <w:tcPr>
            <w:tcW w:w="3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产出指标</w:t>
            </w:r>
          </w:p>
        </w:tc>
        <w:tc>
          <w:tcPr>
            <w:tcW w:w="35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25</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重点工作任务完成</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继续做好招投标日常行业监管， 进一步优化招投标市场营商环境</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7"/>
          <w:jc w:val="center"/>
        </w:trPr>
        <w:tc>
          <w:tcPr>
            <w:tcW w:w="3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履职目标实现</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2"/>
              </w:rPr>
              <w:t xml:space="preserve">认真履行监管职责</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95%</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99%</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17"/>
          <w:jc w:val="center"/>
        </w:trPr>
        <w:tc>
          <w:tcPr>
            <w:tcW w:w="35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效益指标</w:t>
            </w:r>
          </w:p>
        </w:tc>
        <w:tc>
          <w:tcPr>
            <w:tcW w:w="35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35</w:t>
            </w:r>
          </w:p>
        </w:tc>
        <w:tc>
          <w:tcPr>
            <w:tcW w:w="99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履职效益</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经济效益</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保障</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5</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5</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7"/>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社会效益</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保障</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5</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5</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7"/>
          <w:jc w:val="center"/>
        </w:trPr>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满意度</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社会公众满意度</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≥95%</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≥95%</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5</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5</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17"/>
          <w:jc w:val="center"/>
        </w:trPr>
        <w:tc>
          <w:tcPr>
            <w:tcW w:w="35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服务对象满意度</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26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5</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5</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96"/>
          <w:jc w:val="center"/>
        </w:trPr>
        <w:tc>
          <w:tcPr>
            <w:tcW w:w="74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总分（100分）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=SUM(H19:H42)</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=SUM(I19:I42)</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852"/>
          <w:jc w:val="center"/>
        </w:trPr>
        <w:tc>
          <w:tcPr>
            <w:tcW w:w="9908"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74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