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许昌市建安医院</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许昌市建安医院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许昌市建安医院概况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为人民群众（心理）精神健康提供医疗与护理保健服务，为毗邻地市人民群众提供各种精神障碍、心理疾患、物质依赖、精神康复等病症的诊断治疗、预防康复、科研教学工作及许昌市重性精神疾病管理工作。</w:t>
        <w:br/>
        <w:t xml:space="preserve">    （二）精神残疾鉴定、社区医疗卫生服务等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许昌市建安医院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28</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心境障碍一科、儿童少年精神医学科、中西医结合精神医学科、临床心理科、精神病性障碍科、心境障碍二科、心身医学科、老年病科、心理咨询中心、康复科、社区卫生服务中心、医技科（检验室）、党委办公室、行政办公室、医教科（信息化）、护理部、医院感染管理办公室、质量控制管理办公室（创甲晋级）、人事科教科、门诊部、财务科、药械科、医保办、事业发展科（686、健康教育）、后勤保障科（营养科）、安全保卫科、工会、团委</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许昌市建安医院</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许昌市建安医院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445.02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6,307.43</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192.33</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6,941.70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6,944.77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6,944.20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1,180.51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1,181.09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8,125.28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8,125.28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6,944.77</w:t>
            </w:r>
          </w:p>
        </w:tc>
        <w:tc>
          <w:tcPr>
            <w:tcW w:w="1440" w:type="dxa"/>
            <w:tcBorders/>
            <w:vAlign w:val="center"/>
          </w:tcPr>
          <w:p>
            <w:pPr>
              <w:jc w:val="right"/>
            </w:pPr>
            <w:r>
              <w:rPr>
                <w:rFonts w:ascii="宋体" w:eastAsia="宋体" w:hAnsi="宋体" w:cs="宋体"/>
                <w:b/>
                <w:i w:val="0"/>
                <w:color w:val="000000"/>
                <w:sz w:val="17"/>
              </w:rPr>
              <w:t xml:space="preserve">445.02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6,307.43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192.33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6,942.27</w:t>
            </w:r>
          </w:p>
        </w:tc>
        <w:tc>
          <w:tcPr>
            <w:tcW w:w="1440" w:type="dxa"/>
            <w:tcBorders/>
            <w:vAlign w:val="center"/>
          </w:tcPr>
          <w:p>
            <w:pPr>
              <w:jc w:val="right"/>
            </w:pPr>
            <w:r>
              <w:rPr>
                <w:rFonts w:ascii="宋体" w:eastAsia="宋体" w:hAnsi="宋体" w:cs="宋体"/>
                <w:b w:val="0"/>
                <w:i w:val="0"/>
                <w:color w:val="000000"/>
                <w:sz w:val="17"/>
              </w:rPr>
              <w:t xml:space="preserve">442.52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6,307.43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192.33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公立医院</w:t>
            </w:r>
          </w:p>
        </w:tc>
        <w:tc>
          <w:tcPr>
            <w:tcW w:w="1440" w:type="dxa"/>
            <w:tcBorders/>
            <w:vAlign w:val="center"/>
          </w:tcPr>
          <w:p>
            <w:pPr>
              <w:jc w:val="right"/>
            </w:pPr>
            <w:r>
              <w:rPr>
                <w:rFonts w:ascii="宋体" w:eastAsia="宋体" w:hAnsi="宋体" w:cs="宋体"/>
                <w:b w:val="0"/>
                <w:i w:val="0"/>
                <w:color w:val="000000"/>
                <w:sz w:val="17"/>
              </w:rPr>
              <w:t xml:space="preserve">6,889.96</w:t>
            </w:r>
          </w:p>
        </w:tc>
        <w:tc>
          <w:tcPr>
            <w:tcW w:w="1440" w:type="dxa"/>
            <w:tcBorders/>
            <w:vAlign w:val="center"/>
          </w:tcPr>
          <w:p>
            <w:pPr>
              <w:jc w:val="right"/>
            </w:pPr>
            <w:r>
              <w:rPr>
                <w:rFonts w:ascii="宋体" w:eastAsia="宋体" w:hAnsi="宋体" w:cs="宋体"/>
                <w:b w:val="0"/>
                <w:i w:val="0"/>
                <w:color w:val="000000"/>
                <w:sz w:val="17"/>
              </w:rPr>
              <w:t xml:space="preserve">390.21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6,307.43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192.33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精神病医院</w:t>
            </w:r>
          </w:p>
        </w:tc>
        <w:tc>
          <w:tcPr>
            <w:tcW w:w="1440" w:type="dxa"/>
            <w:tcBorders/>
            <w:vAlign w:val="center"/>
          </w:tcPr>
          <w:p>
            <w:pPr>
              <w:jc w:val="right"/>
            </w:pPr>
            <w:r>
              <w:rPr>
                <w:rFonts w:ascii="宋体" w:eastAsia="宋体" w:hAnsi="宋体" w:cs="宋体"/>
                <w:b w:val="0"/>
                <w:i w:val="0"/>
                <w:color w:val="000000"/>
                <w:sz w:val="17"/>
              </w:rPr>
              <w:t xml:space="preserve">6,787.66</w:t>
            </w:r>
          </w:p>
        </w:tc>
        <w:tc>
          <w:tcPr>
            <w:tcW w:w="1440" w:type="dxa"/>
            <w:tcBorders/>
            <w:vAlign w:val="center"/>
          </w:tcPr>
          <w:p>
            <w:pPr>
              <w:jc w:val="right"/>
            </w:pPr>
            <w:r>
              <w:rPr>
                <w:rFonts w:ascii="宋体" w:eastAsia="宋体" w:hAnsi="宋体" w:cs="宋体"/>
                <w:b w:val="0"/>
                <w:i w:val="0"/>
                <w:color w:val="000000"/>
                <w:sz w:val="17"/>
              </w:rPr>
              <w:t xml:space="preserve">287.91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6,307.43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192.33</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其他公立医院支出</w:t>
            </w:r>
          </w:p>
        </w:tc>
        <w:tc>
          <w:tcPr>
            <w:tcW w:w="1440" w:type="dxa"/>
            <w:tcBorders/>
            <w:vAlign w:val="center"/>
          </w:tcPr>
          <w:p>
            <w:pPr>
              <w:jc w:val="right"/>
            </w:pPr>
            <w:r>
              <w:rPr>
                <w:rFonts w:ascii="宋体" w:eastAsia="宋体" w:hAnsi="宋体" w:cs="宋体"/>
                <w:b w:val="0"/>
                <w:i w:val="0"/>
                <w:color w:val="000000"/>
                <w:sz w:val="17"/>
              </w:rPr>
              <w:t xml:space="preserve">102.30</w:t>
            </w:r>
          </w:p>
        </w:tc>
        <w:tc>
          <w:tcPr>
            <w:tcW w:w="1440" w:type="dxa"/>
            <w:tcBorders/>
            <w:vAlign w:val="center"/>
          </w:tcPr>
          <w:p>
            <w:pPr>
              <w:jc w:val="right"/>
            </w:pPr>
            <w:r>
              <w:rPr>
                <w:rFonts w:ascii="宋体" w:eastAsia="宋体" w:hAnsi="宋体" w:cs="宋体"/>
                <w:b w:val="0"/>
                <w:i w:val="0"/>
                <w:color w:val="000000"/>
                <w:sz w:val="17"/>
              </w:rPr>
              <w:t xml:space="preserve">102.30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52.31</w:t>
            </w:r>
          </w:p>
        </w:tc>
        <w:tc>
          <w:tcPr>
            <w:tcW w:w="1440" w:type="dxa"/>
            <w:tcBorders/>
            <w:vAlign w:val="center"/>
          </w:tcPr>
          <w:p>
            <w:pPr>
              <w:jc w:val="right"/>
            </w:pPr>
            <w:r>
              <w:rPr>
                <w:rFonts w:ascii="宋体" w:eastAsia="宋体" w:hAnsi="宋体" w:cs="宋体"/>
                <w:b w:val="0"/>
                <w:i w:val="0"/>
                <w:color w:val="000000"/>
                <w:sz w:val="17"/>
              </w:rPr>
              <w:t xml:space="preserve">52.31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17.92</w:t>
            </w:r>
          </w:p>
        </w:tc>
        <w:tc>
          <w:tcPr>
            <w:tcW w:w="1440" w:type="dxa"/>
            <w:tcBorders/>
            <w:vAlign w:val="center"/>
          </w:tcPr>
          <w:p>
            <w:pPr>
              <w:jc w:val="right"/>
            </w:pPr>
            <w:r>
              <w:rPr>
                <w:rFonts w:ascii="宋体" w:eastAsia="宋体" w:hAnsi="宋体" w:cs="宋体"/>
                <w:b w:val="0"/>
                <w:i w:val="0"/>
                <w:color w:val="000000"/>
                <w:sz w:val="17"/>
              </w:rPr>
              <w:t xml:space="preserve">17.92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29.80</w:t>
            </w:r>
          </w:p>
        </w:tc>
        <w:tc>
          <w:tcPr>
            <w:tcW w:w="1440" w:type="dxa"/>
            <w:tcBorders/>
            <w:vAlign w:val="center"/>
          </w:tcPr>
          <w:p>
            <w:pPr>
              <w:jc w:val="right"/>
            </w:pPr>
            <w:r>
              <w:rPr>
                <w:rFonts w:ascii="宋体" w:eastAsia="宋体" w:hAnsi="宋体" w:cs="宋体"/>
                <w:b w:val="0"/>
                <w:i w:val="0"/>
                <w:color w:val="000000"/>
                <w:sz w:val="17"/>
              </w:rPr>
              <w:t xml:space="preserve">29.80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4.59</w:t>
            </w:r>
          </w:p>
        </w:tc>
        <w:tc>
          <w:tcPr>
            <w:tcW w:w="1440" w:type="dxa"/>
            <w:tcBorders/>
            <w:vAlign w:val="center"/>
          </w:tcPr>
          <w:p>
            <w:pPr>
              <w:jc w:val="right"/>
            </w:pPr>
            <w:r>
              <w:rPr>
                <w:rFonts w:ascii="宋体" w:eastAsia="宋体" w:hAnsi="宋体" w:cs="宋体"/>
                <w:b w:val="0"/>
                <w:i w:val="0"/>
                <w:color w:val="000000"/>
                <w:sz w:val="17"/>
              </w:rPr>
              <w:t xml:space="preserve">4.59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6,944.20</w:t>
            </w:r>
          </w:p>
        </w:tc>
        <w:tc>
          <w:tcPr>
            <w:tcW w:w="1600" w:type="dxa"/>
            <w:tcBorders/>
            <w:vAlign w:val="center"/>
          </w:tcPr>
          <w:p>
            <w:pPr>
              <w:jc w:val="right"/>
            </w:pPr>
            <w:r>
              <w:rPr>
                <w:rFonts w:ascii="宋体" w:eastAsia="宋体" w:hAnsi="宋体" w:cs="宋体"/>
                <w:b/>
                <w:i w:val="0"/>
                <w:color w:val="000000"/>
                <w:sz w:val="19"/>
              </w:rPr>
              <w:t xml:space="preserve">6,787.09</w:t>
            </w:r>
          </w:p>
        </w:tc>
        <w:tc>
          <w:tcPr>
            <w:tcW w:w="1600" w:type="dxa"/>
            <w:tcBorders/>
            <w:vAlign w:val="center"/>
          </w:tcPr>
          <w:p>
            <w:pPr>
              <w:jc w:val="right"/>
            </w:pPr>
            <w:r>
              <w:rPr>
                <w:rFonts w:ascii="宋体" w:eastAsia="宋体" w:hAnsi="宋体" w:cs="宋体"/>
                <w:b/>
                <w:i w:val="0"/>
                <w:color w:val="000000"/>
                <w:sz w:val="19"/>
              </w:rPr>
              <w:t xml:space="preserve">157.11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6,941.70</w:t>
            </w:r>
          </w:p>
        </w:tc>
        <w:tc>
          <w:tcPr>
            <w:tcW w:w="1600" w:type="dxa"/>
            <w:tcBorders/>
            <w:vAlign w:val="center"/>
          </w:tcPr>
          <w:p>
            <w:pPr>
              <w:jc w:val="right"/>
            </w:pPr>
            <w:r>
              <w:rPr>
                <w:rFonts w:ascii="宋体" w:eastAsia="宋体" w:hAnsi="宋体" w:cs="宋体"/>
                <w:b w:val="0"/>
                <w:i w:val="0"/>
                <w:color w:val="000000"/>
                <w:sz w:val="19"/>
              </w:rPr>
              <w:t xml:space="preserve">6,787.09</w:t>
            </w:r>
          </w:p>
        </w:tc>
        <w:tc>
          <w:tcPr>
            <w:tcW w:w="1600" w:type="dxa"/>
            <w:tcBorders/>
            <w:vAlign w:val="center"/>
          </w:tcPr>
          <w:p>
            <w:pPr>
              <w:jc w:val="right"/>
            </w:pPr>
            <w:r>
              <w:rPr>
                <w:rFonts w:ascii="宋体" w:eastAsia="宋体" w:hAnsi="宋体" w:cs="宋体"/>
                <w:b w:val="0"/>
                <w:i w:val="0"/>
                <w:color w:val="000000"/>
                <w:sz w:val="19"/>
              </w:rPr>
              <w:t xml:space="preserve">154.61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公立医院</w:t>
            </w:r>
          </w:p>
        </w:tc>
        <w:tc>
          <w:tcPr>
            <w:tcW w:w="1600" w:type="dxa"/>
            <w:tcBorders/>
            <w:vAlign w:val="center"/>
          </w:tcPr>
          <w:p>
            <w:pPr>
              <w:jc w:val="right"/>
            </w:pPr>
            <w:r>
              <w:rPr>
                <w:rFonts w:ascii="宋体" w:eastAsia="宋体" w:hAnsi="宋体" w:cs="宋体"/>
                <w:b w:val="0"/>
                <w:i w:val="0"/>
                <w:color w:val="000000"/>
                <w:sz w:val="19"/>
              </w:rPr>
              <w:t xml:space="preserve">6,889.39</w:t>
            </w:r>
          </w:p>
        </w:tc>
        <w:tc>
          <w:tcPr>
            <w:tcW w:w="1600" w:type="dxa"/>
            <w:tcBorders/>
            <w:vAlign w:val="center"/>
          </w:tcPr>
          <w:p>
            <w:pPr>
              <w:jc w:val="right"/>
            </w:pPr>
            <w:r>
              <w:rPr>
                <w:rFonts w:ascii="宋体" w:eastAsia="宋体" w:hAnsi="宋体" w:cs="宋体"/>
                <w:b w:val="0"/>
                <w:i w:val="0"/>
                <w:color w:val="000000"/>
                <w:sz w:val="19"/>
              </w:rPr>
              <w:t xml:space="preserve">6,787.09</w:t>
            </w:r>
          </w:p>
        </w:tc>
        <w:tc>
          <w:tcPr>
            <w:tcW w:w="1600" w:type="dxa"/>
            <w:tcBorders/>
            <w:vAlign w:val="center"/>
          </w:tcPr>
          <w:p>
            <w:pPr>
              <w:jc w:val="right"/>
            </w:pPr>
            <w:r>
              <w:rPr>
                <w:rFonts w:ascii="宋体" w:eastAsia="宋体" w:hAnsi="宋体" w:cs="宋体"/>
                <w:b w:val="0"/>
                <w:i w:val="0"/>
                <w:color w:val="000000"/>
                <w:sz w:val="19"/>
              </w:rPr>
              <w:t xml:space="preserve">102.30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精神病医院</w:t>
            </w:r>
          </w:p>
        </w:tc>
        <w:tc>
          <w:tcPr>
            <w:tcW w:w="1600" w:type="dxa"/>
            <w:tcBorders/>
            <w:vAlign w:val="center"/>
          </w:tcPr>
          <w:p>
            <w:pPr>
              <w:jc w:val="right"/>
            </w:pPr>
            <w:r>
              <w:rPr>
                <w:rFonts w:ascii="宋体" w:eastAsia="宋体" w:hAnsi="宋体" w:cs="宋体"/>
                <w:b w:val="0"/>
                <w:i w:val="0"/>
                <w:color w:val="000000"/>
                <w:sz w:val="19"/>
              </w:rPr>
              <w:t xml:space="preserve">6,787.09</w:t>
            </w:r>
          </w:p>
        </w:tc>
        <w:tc>
          <w:tcPr>
            <w:tcW w:w="1600" w:type="dxa"/>
            <w:tcBorders/>
            <w:vAlign w:val="center"/>
          </w:tcPr>
          <w:p>
            <w:pPr>
              <w:jc w:val="right"/>
            </w:pPr>
            <w:r>
              <w:rPr>
                <w:rFonts w:ascii="宋体" w:eastAsia="宋体" w:hAnsi="宋体" w:cs="宋体"/>
                <w:b w:val="0"/>
                <w:i w:val="0"/>
                <w:color w:val="000000"/>
                <w:sz w:val="19"/>
              </w:rPr>
              <w:t xml:space="preserve">6,787.09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其他公立医院支出</w:t>
            </w:r>
          </w:p>
        </w:tc>
        <w:tc>
          <w:tcPr>
            <w:tcW w:w="1600" w:type="dxa"/>
            <w:tcBorders/>
            <w:vAlign w:val="center"/>
          </w:tcPr>
          <w:p>
            <w:pPr>
              <w:jc w:val="right"/>
            </w:pPr>
            <w:r>
              <w:rPr>
                <w:rFonts w:ascii="宋体" w:eastAsia="宋体" w:hAnsi="宋体" w:cs="宋体"/>
                <w:b w:val="0"/>
                <w:i w:val="0"/>
                <w:color w:val="000000"/>
                <w:sz w:val="19"/>
              </w:rPr>
              <w:t xml:space="preserve">102.30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102.30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52.31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17.92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17.92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29.80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29.80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4.59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442.52</w:t>
            </w:r>
          </w:p>
        </w:tc>
        <w:tc>
          <w:tcPr>
            <w:tcW w:w="1420" w:type="dxa"/>
            <w:tcBorders/>
            <w:vAlign w:val="center"/>
          </w:tcPr>
          <w:p>
            <w:pPr>
              <w:jc w:val="right"/>
            </w:pPr>
            <w:r>
              <w:rPr>
                <w:rFonts w:ascii="宋体" w:eastAsia="宋体" w:hAnsi="宋体" w:cs="宋体"/>
                <w:b w:val="0"/>
                <w:i w:val="0"/>
                <w:color w:val="000000"/>
                <w:sz w:val="18"/>
              </w:rPr>
              <w:t xml:space="preserve">442.52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1420" w:type="dxa"/>
            <w:tcBorders/>
            <w:vAlign w:val="center"/>
          </w:tcPr>
          <w:p>
            <w:pPr>
              <w:jc w:val="right"/>
            </w:pPr>
            <w:r>
              <w:rPr>
                <w:rFonts w:ascii="宋体" w:eastAsia="宋体" w:hAnsi="宋体" w:cs="宋体"/>
                <w:b w:val="0"/>
                <w:i w:val="0"/>
                <w:color w:val="000000"/>
                <w:sz w:val="18"/>
              </w:rPr>
              <w:t xml:space="preserve">445.02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445.02</w:t>
            </w:r>
          </w:p>
        </w:tc>
        <w:tc>
          <w:tcPr>
            <w:tcW w:w="2700" w:type="dxa"/>
            <w:tcBorders/>
            <w:vAlign w:val="center"/>
          </w:tcPr>
          <w:p>
            <w:pPr>
              <w:jc w:val="right"/>
            </w:pPr>
            <w:r>
              <w:rPr>
                <w:rFonts w:ascii="宋体" w:eastAsia="宋体" w:hAnsi="宋体" w:cs="宋体"/>
                <w:b/>
                <w:i w:val="0"/>
                <w:color w:val="000000"/>
                <w:sz w:val="25"/>
              </w:rPr>
              <w:t xml:space="preserve">287.91</w:t>
            </w:r>
          </w:p>
        </w:tc>
        <w:tc>
          <w:tcPr>
            <w:tcW w:w="2658" w:type="dxa"/>
            <w:tcBorders/>
            <w:vAlign w:val="center"/>
          </w:tcPr>
          <w:p>
            <w:pPr>
              <w:jc w:val="right"/>
            </w:pPr>
            <w:r>
              <w:rPr>
                <w:rFonts w:ascii="宋体" w:eastAsia="宋体" w:hAnsi="宋体" w:cs="宋体"/>
                <w:b/>
                <w:i w:val="0"/>
                <w:color w:val="000000"/>
                <w:sz w:val="25"/>
              </w:rPr>
              <w:t xml:space="preserve">157.11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442.52</w:t>
            </w:r>
          </w:p>
        </w:tc>
        <w:tc>
          <w:tcPr>
            <w:tcW w:w="2700" w:type="dxa"/>
            <w:tcBorders/>
            <w:vAlign w:val="center"/>
          </w:tcPr>
          <w:p>
            <w:pPr>
              <w:jc w:val="right"/>
            </w:pPr>
            <w:r>
              <w:rPr>
                <w:rFonts w:ascii="宋体" w:eastAsia="宋体" w:hAnsi="宋体" w:cs="宋体"/>
                <w:b w:val="0"/>
                <w:i w:val="0"/>
                <w:color w:val="000000"/>
                <w:sz w:val="25"/>
              </w:rPr>
              <w:t xml:space="preserve">287.91</w:t>
            </w:r>
          </w:p>
        </w:tc>
        <w:tc>
          <w:tcPr>
            <w:tcW w:w="2658" w:type="dxa"/>
            <w:tcBorders/>
            <w:vAlign w:val="center"/>
          </w:tcPr>
          <w:p>
            <w:pPr>
              <w:jc w:val="right"/>
            </w:pPr>
            <w:r>
              <w:rPr>
                <w:rFonts w:ascii="宋体" w:eastAsia="宋体" w:hAnsi="宋体" w:cs="宋体"/>
                <w:b w:val="0"/>
                <w:i w:val="0"/>
                <w:color w:val="000000"/>
                <w:sz w:val="25"/>
              </w:rPr>
              <w:t xml:space="preserve">154.61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公立医院</w:t>
            </w:r>
          </w:p>
        </w:tc>
        <w:tc>
          <w:tcPr>
            <w:tcW w:w="2700" w:type="dxa"/>
            <w:tcBorders/>
            <w:vAlign w:val="center"/>
          </w:tcPr>
          <w:p>
            <w:pPr>
              <w:jc w:val="right"/>
            </w:pPr>
            <w:r>
              <w:rPr>
                <w:rFonts w:ascii="宋体" w:eastAsia="宋体" w:hAnsi="宋体" w:cs="宋体"/>
                <w:b w:val="0"/>
                <w:i w:val="0"/>
                <w:color w:val="000000"/>
                <w:sz w:val="25"/>
              </w:rPr>
              <w:t xml:space="preserve">390.21</w:t>
            </w:r>
          </w:p>
        </w:tc>
        <w:tc>
          <w:tcPr>
            <w:tcW w:w="2700" w:type="dxa"/>
            <w:tcBorders/>
            <w:vAlign w:val="center"/>
          </w:tcPr>
          <w:p>
            <w:pPr>
              <w:jc w:val="right"/>
            </w:pPr>
            <w:r>
              <w:rPr>
                <w:rFonts w:ascii="宋体" w:eastAsia="宋体" w:hAnsi="宋体" w:cs="宋体"/>
                <w:b w:val="0"/>
                <w:i w:val="0"/>
                <w:color w:val="000000"/>
                <w:sz w:val="25"/>
              </w:rPr>
              <w:t xml:space="preserve">287.91</w:t>
            </w:r>
          </w:p>
        </w:tc>
        <w:tc>
          <w:tcPr>
            <w:tcW w:w="2658" w:type="dxa"/>
            <w:tcBorders/>
            <w:vAlign w:val="center"/>
          </w:tcPr>
          <w:p>
            <w:pPr>
              <w:jc w:val="right"/>
            </w:pPr>
            <w:r>
              <w:rPr>
                <w:rFonts w:ascii="宋体" w:eastAsia="宋体" w:hAnsi="宋体" w:cs="宋体"/>
                <w:b w:val="0"/>
                <w:i w:val="0"/>
                <w:color w:val="000000"/>
                <w:sz w:val="25"/>
              </w:rPr>
              <w:t xml:space="preserve">102.30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精神病医院</w:t>
            </w:r>
          </w:p>
        </w:tc>
        <w:tc>
          <w:tcPr>
            <w:tcW w:w="2700" w:type="dxa"/>
            <w:tcBorders/>
            <w:vAlign w:val="center"/>
          </w:tcPr>
          <w:p>
            <w:pPr>
              <w:jc w:val="right"/>
            </w:pPr>
            <w:r>
              <w:rPr>
                <w:rFonts w:ascii="宋体" w:eastAsia="宋体" w:hAnsi="宋体" w:cs="宋体"/>
                <w:b w:val="0"/>
                <w:i w:val="0"/>
                <w:color w:val="000000"/>
                <w:sz w:val="25"/>
              </w:rPr>
              <w:t xml:space="preserve">287.91</w:t>
            </w:r>
          </w:p>
        </w:tc>
        <w:tc>
          <w:tcPr>
            <w:tcW w:w="2700" w:type="dxa"/>
            <w:tcBorders/>
            <w:vAlign w:val="center"/>
          </w:tcPr>
          <w:p>
            <w:pPr>
              <w:jc w:val="right"/>
            </w:pPr>
            <w:r>
              <w:rPr>
                <w:rFonts w:ascii="宋体" w:eastAsia="宋体" w:hAnsi="宋体" w:cs="宋体"/>
                <w:b w:val="0"/>
                <w:i w:val="0"/>
                <w:color w:val="000000"/>
                <w:sz w:val="25"/>
              </w:rPr>
              <w:t xml:space="preserve">287.91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其他公立医院支出</w:t>
            </w:r>
          </w:p>
        </w:tc>
        <w:tc>
          <w:tcPr>
            <w:tcW w:w="2700" w:type="dxa"/>
            <w:tcBorders/>
            <w:vAlign w:val="center"/>
          </w:tcPr>
          <w:p>
            <w:pPr>
              <w:jc w:val="right"/>
            </w:pPr>
            <w:r>
              <w:rPr>
                <w:rFonts w:ascii="宋体" w:eastAsia="宋体" w:hAnsi="宋体" w:cs="宋体"/>
                <w:b w:val="0"/>
                <w:i w:val="0"/>
                <w:color w:val="000000"/>
                <w:sz w:val="25"/>
              </w:rPr>
              <w:t xml:space="preserve">102.30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102.30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52.31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52.31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17.92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17.92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29.80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29.80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4.59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282.30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5.61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199.40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23.12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59.79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5.61</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282.30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5.61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单位：许昌市建安医院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5.70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5.70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5.70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5.61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5.61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5.61</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8125.28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增加241.13万元，增长3.06%</w:t>
      </w:r>
      <w:r>
        <w:rPr>
          <w:rFonts w:ascii="仿宋" w:eastAsia="仿宋" w:hAnsi="仿宋" w:cs="仿宋" w:hint="eastAsia"/>
          <w:kern w:val="0"/>
          <w:sz w:val="32"/>
          <w:szCs w:val="32"/>
          <w:lang w:val="en-US" w:eastAsia="zh-CN"/>
        </w:rPr>
        <w:t xml:space="preserve">。主要原因是医疗收入有所增长。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6944.77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财政拨款收入445.02万元，占6.41%；上级补助收入0.00万元，占0.00%；事业收入6307.43万元，占90.82%；经营收入0.00万元，占0.00%；附属单位上缴收入0.00万元，占0.00%；其他收入192.33万元，占2.77%</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6944.20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基本支出6787.09万元，占97.74%；项目支出157.11万元，占2.26%；上缴上级支出0.00万元，占0.00%；经营支出0.00万元，占0.00%；对附属单位补助支出0.00万元，占0.00%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445.02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减少60.99万元，下降12.05%</w:t>
      </w:r>
      <w:r>
        <w:rPr>
          <w:rFonts w:ascii="仿宋" w:eastAsia="仿宋" w:hAnsi="仿宋" w:cs="仿宋" w:hint="eastAsia"/>
          <w:kern w:val="0"/>
          <w:sz w:val="32"/>
          <w:szCs w:val="32"/>
          <w:lang w:val="en-US" w:eastAsia="zh-CN"/>
        </w:rPr>
        <w:t xml:space="preserve">。主要原因是本年度财政项目资金减少。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445.02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6.41</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减少60.99万元，下降12.05%</w:t>
      </w:r>
      <w:r>
        <w:rPr>
          <w:rFonts w:ascii="仿宋" w:eastAsia="仿宋" w:hAnsi="仿宋" w:cs="仿宋" w:hint="eastAsia"/>
          <w:kern w:val="0"/>
          <w:sz w:val="32"/>
          <w:szCs w:val="32"/>
          <w:lang w:val="en-US" w:eastAsia="zh-CN"/>
        </w:rPr>
        <w:t xml:space="preserve">。主要原因是本年度财政项目收入减少。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445.02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卫生健康支出（类）442.52万元，占99.44%；农林水支出（类）2.50万元，占0.56%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287.91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445.02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154.57</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1.卫生健康支出（类）公立医院（款）精神病医院（项）</w:t>
      </w:r>
      <w:r>
        <w:rPr>
          <w:rFonts w:ascii="仿宋" w:eastAsia="仿宋" w:hAnsi="仿宋" w:cs="仿宋" w:hint="default"/>
          <w:kern w:val="2"/>
          <w:sz w:val="32"/>
          <w:szCs w:val="32"/>
          <w:lang w:val="en-US" w:eastAsia="zh-CN"/>
        </w:rPr>
        <w:t xml:space="preserve">年初预算数为287.91万元，决算数287.91万元,完成年初预算的100.00%，决算数与年初预算数不存在差异。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2.卫生健康支出（类）公立医院（款）其他公立医院支出（项）</w:t>
      </w:r>
      <w:r>
        <w:rPr>
          <w:rFonts w:ascii="仿宋" w:eastAsia="仿宋" w:hAnsi="仿宋" w:cs="仿宋" w:hint="default"/>
          <w:kern w:val="2"/>
          <w:sz w:val="32"/>
          <w:szCs w:val="32"/>
          <w:lang w:val="en-US" w:eastAsia="zh-CN"/>
        </w:rPr>
        <w:t xml:space="preserve">年初预算数为87.30万元，决算数102.30万元,完成年初预算的117.18%，决算数与年初预算数存在差异的主要原因是其中一个项目资金年初无预算。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3.卫生健康支出（类）公共卫生（款）基本公共卫生服务（项）</w:t>
      </w:r>
      <w:r>
        <w:rPr>
          <w:rFonts w:ascii="仿宋" w:eastAsia="仿宋" w:hAnsi="仿宋" w:cs="仿宋" w:hint="default"/>
          <w:kern w:val="2"/>
          <w:sz w:val="32"/>
          <w:szCs w:val="32"/>
          <w:lang w:val="en-US" w:eastAsia="zh-CN"/>
        </w:rPr>
        <w:t xml:space="preserve">年初预算数为0.00万元，决算数17.92万元,决算数与年初预算数存在差异的主要原因是该项目资金年初无预算。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4.卫生健康支出（类）公共卫生（款）重大公共卫生服务（项）</w:t>
      </w:r>
      <w:r>
        <w:rPr>
          <w:rFonts w:ascii="仿宋" w:eastAsia="仿宋" w:hAnsi="仿宋" w:cs="仿宋" w:hint="default"/>
          <w:kern w:val="2"/>
          <w:sz w:val="32"/>
          <w:szCs w:val="32"/>
          <w:lang w:val="en-US" w:eastAsia="zh-CN"/>
        </w:rPr>
        <w:t xml:space="preserve">年初预算数为29.80万元，决算数29.80万元,完成年初预算的100.00%，决算数与年初预算数不存在差异。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5.卫生健康支出（类）公共卫生（款）突发公共卫生事件应急处理（项）</w:t>
      </w:r>
      <w:r>
        <w:rPr>
          <w:rFonts w:ascii="仿宋" w:eastAsia="仿宋" w:hAnsi="仿宋" w:cs="仿宋" w:hint="default"/>
          <w:kern w:val="2"/>
          <w:sz w:val="32"/>
          <w:szCs w:val="32"/>
          <w:lang w:val="en-US" w:eastAsia="zh-CN"/>
        </w:rPr>
        <w:t xml:space="preserve">年初预算数为0.00万元，决算数4.59万元,决算数与年初预算数存在差异的主要原因是该项目资金年初无预算。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年初预算数为0.00万元，决算数2.50万元,决算数与年初预算数存在差异的主要原因是该项目资金年初无预算。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287.91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其中：人员经费282.30万元，主要包括：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公用经费5.61万元，主要包括：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5.70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5.61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，完成预算的98.42%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2023年度“三公”经费支出决算数与预算数存在差异的主要原因是根据要求控制三公经费支出。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5.61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,完成预算的98.42%</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5.70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5.61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，完成预算的98.42%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决算数与预算数存在差异的主要原因是控制公车运行支出。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5.61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主要用于公务用车日常运行及维修。</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3</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232.45</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232.45</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财政拨款的公务用车保有量与国有资产车辆差异原因:我单位共有车辆6辆，其中3辆为公务用车，3辆为救护车。</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7712.96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整体绩效自评情况良好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基于项目预期目标的实现程度，我单位对2023年度单位预算项目支出（含单位参与分配的转移支付项目）开展绩效自评，涉及项目4个，项目金额144.1万元。其中：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（1）2023年公立医院综合改革，自评得分为98分，等级为“优”。本项目自评结果良好、预算执行情况良好、目标完成情况良好、不存在问题。    </w:t>
        <w:br/>
        <w:t xml:space="preserve">    （2）2023年重症医疗资源建设补助资金，自评得分为100分，等级为“优”。本项目自评结果良好、预算执行情况良好、目标完成情况良好、不存在问题。</w:t>
        <w:br/>
        <w:t xml:space="preserve">    （3）2023年重大传染病防控经费，自评得分为95.01分，等级为“优”。本项目自评结果良好、预算执行情况良好、目标完成情况良好、不存在问题。</w:t>
        <w:br/>
        <w:t xml:space="preserve">    （4）2023年新冠疫情应急救治能力提升项目中央基建投资预算项目，自评得分为100分，等级为“优”。本项目自评结果良好、预算执行情况良好、目标完成情况良好、不存在问题。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从项目绩效自评情况来看，我单位四个项目执行情况良好，自评结果均为优。</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e0447098-7125-4b27-aea8-90c8aa55b76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89"/>
        <w:gridCol w:w="592"/>
        <w:gridCol w:w="1942"/>
        <w:gridCol w:w="2098"/>
        <w:gridCol w:w="1732"/>
        <w:gridCol w:w="1766"/>
        <w:gridCol w:w="1826"/>
        <w:gridCol w:w="697"/>
        <w:gridCol w:w="1398"/>
        <w:gridCol w:w="153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0"/>
        </w:trPr>
        <w:tc>
          <w:tcPr>
            <w:tcW w:type="auto" w:w="0"/>
            <w:gridSpan w:val="10"/>
            <w:tcBorders>
              <w:top w:val="nil"/>
              <w:left w:val="nil"/>
              <w:bottom w:val="nil"/>
              <w:right w:val="nil"/>
            </w:tcBorders>
            <w:shd w:val="clear" w:color="auto" w:fill="auto"/>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00"/>
        </w:trPr>
        <w:tc>
          <w:tcPr>
            <w:tcW w:type="auto" w:w="0"/>
            <w:gridSpan w:val="10"/>
            <w:tcBorders>
              <w:top w:val="nil"/>
              <w:left w:val="nil"/>
              <w:bottom w:val="nil"/>
              <w:right w:val="nil"/>
            </w:tcBorders>
            <w:shd w:val="clear" w:color="auto" w:fill="auto"/>
            <w:vAlign w:val="bottom"/>
          </w:tcPr>
          <w:p>
            <w:pPr>
              <w:pStyle w:val="Normal_c0981e85-5349-427a-80cf-29e266945e28"/>
              <w:jc w:val="center"/>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许昌市建安医院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预算</w:t>
            </w:r>
            <w:r>
              <w:rPr/>
              <w:br/>
            </w:r>
            <w:r>
              <w:rPr>
                <w:rFonts w:ascii="宋体" w:eastAsia="宋体" w:hAnsi="宋体" w:cs="宋体" w:hint="eastAsia"/>
                <w:i w:val="0"/>
                <w:iCs w:val="0"/>
                <w:color w:val="000000"/>
                <w:kern w:val="0"/>
                <w:sz w:val="22"/>
                <w:szCs w:val="22"/>
                <w:u w:val="none"/>
                <w:bdr w:val="none" w:sz="0" w:space="0" w:color="auto"/>
                <w:lang w:val="en-US" w:eastAsia="zh-CN"/>
              </w:rPr>
              <w:t xml:space="preserve">执行</w:t>
            </w:r>
            <w:r>
              <w:rPr/>
              <w:br/>
            </w:r>
            <w:r>
              <w:rPr>
                <w:rFonts w:ascii="宋体" w:eastAsia="宋体" w:hAnsi="宋体" w:cs="宋体" w:hint="eastAsia"/>
                <w:i w:val="0"/>
                <w:iCs w:val="0"/>
                <w:color w:val="000000"/>
                <w:kern w:val="0"/>
                <w:sz w:val="22"/>
                <w:szCs w:val="22"/>
                <w:u w:val="none"/>
                <w:bdr w:val="none" w:sz="0" w:space="0" w:color="auto"/>
                <w:lang w:val="en-US" w:eastAsia="zh-CN"/>
              </w:rPr>
              <w:t xml:space="preserve">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7,712.96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7712.96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6944.2</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405.01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405.01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445.02</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110%</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7307.95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7307.95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6499.18</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89%</w:t>
            </w:r>
          </w:p>
        </w:tc>
        <w:tc>
          <w:tcPr>
            <w:vMerge/>
            <w:tcBorders>
              <w:top w:val="single" w:sz="4" w:space="0" w:color="000000"/>
              <w:left w:val="single" w:sz="4" w:space="0" w:color="000000"/>
              <w:bottom w:val="nil"/>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年度</w:t>
            </w:r>
            <w:r>
              <w:rPr/>
              <w:br/>
            </w:r>
            <w:r>
              <w:rPr>
                <w:rFonts w:ascii="宋体" w:eastAsia="宋体" w:hAnsi="宋体" w:cs="宋体" w:hint="eastAsia"/>
                <w:i w:val="0"/>
                <w:iCs w:val="0"/>
                <w:color w:val="000000"/>
                <w:kern w:val="0"/>
                <w:sz w:val="22"/>
                <w:szCs w:val="22"/>
                <w:u w:val="none"/>
                <w:bdr w:val="none" w:sz="0" w:space="0" w:color="auto"/>
                <w:lang w:val="en-US" w:eastAsia="zh-CN"/>
              </w:rPr>
              <w:t xml:space="preserve">履职</w:t>
            </w:r>
            <w:r>
              <w:rPr/>
              <w:br/>
            </w:r>
            <w:r>
              <w:rPr>
                <w:rFonts w:ascii="宋体" w:eastAsia="宋体" w:hAnsi="宋体" w:cs="宋体" w:hint="eastAsia"/>
                <w:i w:val="0"/>
                <w:iCs w:val="0"/>
                <w:color w:val="000000"/>
                <w:kern w:val="0"/>
                <w:sz w:val="22"/>
                <w:szCs w:val="22"/>
                <w:u w:val="none"/>
                <w:bdr w:val="none" w:sz="0" w:space="0" w:color="auto"/>
                <w:lang w:val="en-US" w:eastAsia="zh-CN"/>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目标完成情况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目标1：促进精神卫生事业新发展</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维护和增进公民身心健康、预防和治疗精神障碍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目标2：促进医院服务能力和水平新提高</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引进新技术，提高医疗诊治水平</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c0981e85-5349-427a-80cf-29e266945e28"/>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年度</w:t>
            </w:r>
            <w:r>
              <w:rPr/>
              <w:br/>
            </w:r>
            <w:r>
              <w:rPr>
                <w:rFonts w:ascii="宋体" w:eastAsia="宋体" w:hAnsi="宋体" w:cs="宋体" w:hint="eastAsia"/>
                <w:i w:val="0"/>
                <w:iCs w:val="0"/>
                <w:color w:val="000000"/>
                <w:kern w:val="0"/>
                <w:sz w:val="22"/>
                <w:szCs w:val="22"/>
                <w:u w:val="none"/>
                <w:bdr w:val="none" w:sz="0" w:space="0" w:color="auto"/>
                <w:lang w:val="en-US" w:eastAsia="zh-CN"/>
              </w:rPr>
              <w:t xml:space="preserve">主要</w:t>
            </w:r>
            <w:r>
              <w:rPr/>
              <w:br/>
            </w:r>
            <w:r>
              <w:rPr>
                <w:rFonts w:ascii="宋体" w:eastAsia="宋体" w:hAnsi="宋体" w:cs="宋体" w:hint="eastAsia"/>
                <w:i w:val="0"/>
                <w:iCs w:val="0"/>
                <w:color w:val="000000"/>
                <w:kern w:val="0"/>
                <w:sz w:val="22"/>
                <w:szCs w:val="22"/>
                <w:u w:val="none"/>
                <w:bdr w:val="none" w:sz="0" w:space="0" w:color="auto"/>
                <w:lang w:val="en-US" w:eastAsia="zh-CN"/>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任务完成情况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8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任务1：精神卫生工作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实行预防为主的方针，坚持预防、治疗和康复相结合的原则，维护和增进公民身心健康、预防和治疗精神障碍，促进精神障碍患者康复与精神残疾鉴定工作，承担成瘾性疾病治疗康复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任务2：基本公卫工作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七里店办事处辖区社区卫生服务工作。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是</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是</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是</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同比降低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同比降低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精神卫生工作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基本公卫工作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促进精神卫生事业新发展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逐步提高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促进医院服务能力和水平新提高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逐步提高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逐步完成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c0981e85-5349-427a-80cf-29e266945e28"/>
              <w:rPr>
                <w:rFonts w:ascii="宋体" w:eastAsia="宋体" w:hAnsi="宋体" w:cs="宋体" w:hint="eastAsia"/>
                <w:i w:val="0"/>
                <w:iCs w:val="0"/>
                <w:color w:val="000000"/>
                <w:sz w:val="22"/>
                <w:szCs w:val="22"/>
                <w:u w:val="none"/>
              </w:rPr>
            </w:pPr>
          </w:p>
        </w:tc>
      </w:tr>
    </w:tbl>
    <w:p>
      <w:pPr>
        <w:pStyle w:val="Normal_c0981e85-5349-427a-80cf-29e266945e28"/>
        <w:sectPr>
          <w:pgSz w:w="16838" w:h="11906" w:orient="landscape"/>
          <w:pgMar w:top="1800" w:right="1440" w:bottom="1800" w:left="1440" w:header="851" w:footer="992" w:gutter="0"/>
          <w:cols w:num="1" w:space="425">
            <w:col w:w="13958" w:space="425"/>
          </w:cols>
          <w:docGrid w:type="lines" w:linePitch="312" w:charSpace="0"/>
        </w:sectPr>
      </w:pPr>
    </w:p>
    <w:tbl>
      <w:tblPr>
        <w:tblStyle w:val="NormalTable_e0447098-7125-4b27-aea8-90c8aa55b76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3"/>
        <w:gridCol w:w="1029"/>
        <w:gridCol w:w="884"/>
        <w:gridCol w:w="1562"/>
        <w:gridCol w:w="1029"/>
        <w:gridCol w:w="887"/>
        <w:gridCol w:w="1026"/>
        <w:gridCol w:w="1029"/>
        <w:gridCol w:w="899"/>
        <w:gridCol w:w="901"/>
        <w:gridCol w:w="206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提前下达2023年公立医院综合改革</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许昌市建安医院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w:t>
            </w:r>
          </w:p>
        </w:tc>
        <w:tc>
          <w:tcPr>
            <w:tcW w:type="auto" w:w="0"/>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深化以公益性为导向的公立医院改革，推动公立医院高质量发展，深入推进三明医改经验，促进医保、医疗、医药协同发展和治理。</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公立医院综合改革项目总金额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87.3万元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三级公立医院安防系统建设达标率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公立医院医疗服务收入（不含药品、耗材、检查、化验收入）占医疗收入的比例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较上年提高或高于全国平均值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三级公立医院安检覆盖率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三级公立医院平均住院日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三级公立医院门诊人次数与出院人次数比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公立医院人均住院费用增幅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公立医院资产负债率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2023年初我院按照政策要求借入银行贴息贷款，造成负债略增</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13"/>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公立医院次均门诊费用增幅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较上年降低或低于全国平均值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原因是为提升医疗质量，新购了医疗设备，开展了新的检查和治疗项目，提高了诊断的准确性，次均费用有所增长。措施：严格处方管理，在合理用药、合理检查、合理治疗的同时，优化服务流程、规范诊疗行为、在提高医疗质量和服务水平，减少医疗成本，降低患者负担</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公立医院门诊患者满意度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公立医院住院患者满意度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bl>
    <w:p>
      <w:pPr>
        <w:pStyle w:val="Normal_c0981e85-5349-427a-80cf-29e266945e28"/>
      </w:pPr>
    </w:p>
    <w:p>
      <w:pPr>
        <w:pStyle w:val="Normal_c0981e85-5349-427a-80cf-29e266945e28"/>
      </w:pPr>
    </w:p>
    <w:p>
      <w:pPr>
        <w:pStyle w:val="Normal_c0981e85-5349-427a-80cf-29e266945e28"/>
      </w:pPr>
    </w:p>
    <w:p>
      <w:pPr>
        <w:pStyle w:val="Normal_c0981e85-5349-427a-80cf-29e266945e28"/>
      </w:pPr>
    </w:p>
    <w:tbl>
      <w:tblPr>
        <w:tblStyle w:val="NormalTable_e0447098-7125-4b27-aea8-90c8aa55b76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01"/>
        <w:gridCol w:w="5"/>
        <w:gridCol w:w="938"/>
        <w:gridCol w:w="6"/>
        <w:gridCol w:w="1097"/>
        <w:gridCol w:w="3"/>
        <w:gridCol w:w="706"/>
        <w:gridCol w:w="323"/>
        <w:gridCol w:w="879"/>
        <w:gridCol w:w="119"/>
        <w:gridCol w:w="1443"/>
        <w:gridCol w:w="3"/>
        <w:gridCol w:w="1026"/>
        <w:gridCol w:w="111"/>
        <w:gridCol w:w="777"/>
        <w:gridCol w:w="6"/>
        <w:gridCol w:w="740"/>
        <w:gridCol w:w="281"/>
        <w:gridCol w:w="867"/>
        <w:gridCol w:w="162"/>
        <w:gridCol w:w="890"/>
        <w:gridCol w:w="9"/>
        <w:gridCol w:w="802"/>
        <w:gridCol w:w="96"/>
        <w:gridCol w:w="208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25"/>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b/>
                <w:bCs/>
                <w:i w:val="0"/>
                <w:iCs w:val="0"/>
                <w:color w:val="000000"/>
                <w:kern w:val="0"/>
                <w:sz w:val="38"/>
                <w:szCs w:val="38"/>
                <w:u w:val="none"/>
                <w:lang w:val="en-US" w:eastAsia="zh-CN"/>
              </w:rPr>
            </w:pPr>
          </w:p>
          <w:p>
            <w:pPr>
              <w:pStyle w:val="Normal_c0981e85-5349-427a-80cf-29e266945e2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2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2023年重症医疗资源建设补助资金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许昌市卫生健康委员会</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许昌市建安医院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严格按照国库集中支付制度有关规定支付资金，未出现违规将资金从国库转入财政专户或支付到预算单位实有资金账户等问题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1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全面提升救治能力</w:t>
            </w:r>
          </w:p>
        </w:tc>
        <w:tc>
          <w:tcPr>
            <w:tcW w:type="auto" w:w="0"/>
            <w:gridSpan w:val="1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重症医疗资源建设资金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培养储备一批重症救治医务人员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≥20人</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新增重症患者救治设备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重症抢救药品、医用耗材等物资储备的良好运行率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生命监护、抢救治疗设备维修保养的良好运行率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采购完成时间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重症救治医务人员能力</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得到提高</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重症病房设备救治能力</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满足救治需要</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医院患者满意度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25"/>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2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提前下达2023年重大传染病防控经费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许昌市卫生健康委员会</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许昌市建安医院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29.8</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29.8</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29.8</w:t>
            </w:r>
          </w:p>
        </w:tc>
        <w:tc>
          <w:tcPr>
            <w:tcW w:type="auto" w:w="0"/>
            <w:gridSpan w:val="2"/>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29.8</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29.8</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严格按照国库集中支付制度有关规定支付资金，未出现违规将资金从国库转入财政专户或支付到预算单位实有资金账户等问题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开展重大慢性病早期筛查干预项目，落实慢性病及其相关危险因素监测。加强严重精神障碍患者筛查、登记报告和随访服务</w:t>
            </w:r>
          </w:p>
        </w:tc>
        <w:tc>
          <w:tcPr>
            <w:tcW w:type="auto" w:w="0"/>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严重精神障碍病例筛查与诊断</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60元/例</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60元/例</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严重精神障碍患者筛查任务完成率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1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在册严重精神障碍患者治疗率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95.74%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9.61</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6.77%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是我市各级各部门对严重精神障碍管理工作重视。二是基层精防人员规范管理，按时随访，督导患者服药。三是2022年—2023年，许昌市686项目办进行了全市救治救助政策巡回讲座，到场患者了解到具体救助政策之后积极办理，规律服药。四是2023年加大健康教育力度，开展百余场健康教育，覆盖全市每一个乡镇，普及了服药的重要性，提高患者的规律服药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在册严重精神障碍患者管理率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98.28%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居民健康水平提高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中长期</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81.60%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20.4</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调查对象多为农村居民，对心理健康知识了解不够全面，且该次心理健康素养调查为线上手机问卷，部分年龄较大的填卷者操作不熟练，导致有些选项填写错误</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受益人群满意度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95.01</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bl>
    <w:p>
      <w:pPr>
        <w:pStyle w:val="Normal_c0981e85-5349-427a-80cf-29e266945e28"/>
      </w:pPr>
    </w:p>
    <w:p>
      <w:pPr>
        <w:pStyle w:val="Normal_c0981e85-5349-427a-80cf-29e266945e28"/>
      </w:pPr>
    </w:p>
    <w:p>
      <w:pPr>
        <w:pStyle w:val="Normal_c0981e85-5349-427a-80cf-29e266945e28"/>
      </w:pPr>
    </w:p>
    <w:p>
      <w:pPr>
        <w:pStyle w:val="Normal_c0981e85-5349-427a-80cf-29e266945e28"/>
      </w:pPr>
    </w:p>
    <w:p>
      <w:pPr>
        <w:pStyle w:val="Normal_c0981e85-5349-427a-80cf-29e266945e28"/>
      </w:pPr>
    </w:p>
    <w:p>
      <w:pPr>
        <w:pStyle w:val="Normal_c0981e85-5349-427a-80cf-29e266945e28"/>
      </w:pPr>
    </w:p>
    <w:p>
      <w:pPr>
        <w:pStyle w:val="Normal_c0981e85-5349-427a-80cf-29e266945e28"/>
      </w:pPr>
    </w:p>
    <w:p>
      <w:pPr>
        <w:pStyle w:val="Normal_c0981e85-5349-427a-80cf-29e266945e28"/>
      </w:pPr>
    </w:p>
    <w:tbl>
      <w:tblPr>
        <w:tblStyle w:val="NormalTable_e0447098-7125-4b27-aea8-90c8aa55b76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3"/>
        <w:gridCol w:w="1029"/>
        <w:gridCol w:w="884"/>
        <w:gridCol w:w="1562"/>
        <w:gridCol w:w="1029"/>
        <w:gridCol w:w="887"/>
        <w:gridCol w:w="1026"/>
        <w:gridCol w:w="1029"/>
        <w:gridCol w:w="899"/>
        <w:gridCol w:w="901"/>
        <w:gridCol w:w="206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2023年新冠疫情应急救治能力提升项目中央基建投资预算项目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许昌市建安医院</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nil"/>
              <w:left w:val="nil"/>
              <w:bottom w:val="nil"/>
              <w:right w:val="nil"/>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按照部门预算编制和资金管理办法的要求，进行项目论证、评审、立项等必要程序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严格按照国库集中支付制度有关规定支付资金，未出现违规将资金从国库转入财政专户或支付到预算单位实有资金账户等问题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严格按照下达预算的科目和项目执行，未出现截留、挤占、挪用和擅自调整等问题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将资金纳入绩效管理，设置绩效目标，开展绩效监控。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加强可转换ICU建设，提高应急救治能力，为满足人民群众健康需求提供保障</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已完成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新型冠状病毒感染肺炎应急救治能力提升项目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改造可转换ICU床位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15张</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15张</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购置医疗设备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采购完成时间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2023年底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医疗卫生资源配置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逐步优化</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改善医疗卫生基础设施条件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得到改善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受益群众满意度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c0981e85-5349-427a-80cf-29e266945e28"/>
              <w:jc w:val="center"/>
              <w:rPr>
                <w:rFonts w:ascii="宋体" w:eastAsia="宋体" w:hAnsi="宋体" w:cs="宋体" w:hint="eastAsia"/>
                <w:i w:val="0"/>
                <w:iCs w:val="0"/>
                <w:color w:val="000000"/>
                <w:sz w:val="18"/>
                <w:szCs w:val="18"/>
                <w:u w:val="none"/>
              </w:rPr>
            </w:pPr>
          </w:p>
        </w:tc>
      </w:tr>
    </w:tbl>
    <w:p>
      <w:pPr>
        <w:pStyle w:val="Normal_c0981e85-5349-427a-80cf-29e266945e28"/>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3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c0981e85-5349-427a-80cf-29e266945e28">
    <w:name w:val="Normal_c0981e85-5349-427a-80cf-29e266945e28"/>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e0447098-7125-4b27-aea8-90c8aa55b76b">
    <w:name w:val="Normal Table_e0447098-7125-4b27-aea8-90c8aa55b76b"/>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