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许昌市室内装饰行业发展服务中心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许昌市室内装饰行业发展服务中心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许昌市室内装饰行业发展服务中心概况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许昌市室内装饰行业发展服务中心隶属于许昌市住房和城乡建设局。根据2019年“三定”规定，主要履行下列职责：</w:t>
        <w:br/>
        <w:t xml:space="preserve">    （一）贯彻落实国家、省、市有关建筑装修装饰行业管理的政策、法规、规章。</w:t>
        <w:br/>
        <w:t xml:space="preserve">    （二）协助市住建局编制实施本市建筑装饰行业发展规划和计划。</w:t>
        <w:br/>
        <w:t xml:space="preserve">    （三）协助市住建局做好办理市本级建筑装修装饰工程施工许可证（投资额30万元以上或者建筑面积300平米以上单独发包的建筑装修装饰工程）。</w:t>
        <w:br/>
        <w:t xml:space="preserve">    （四）协助市住建局做好建筑装修装饰工程的竣工备案工作，对全市建筑装修装饰管理工作监督指导。</w:t>
        <w:br/>
        <w:t xml:space="preserve">    （五）协助市住建局做好办理建筑装饰企业资质审批及监督管理。</w:t>
        <w:br/>
        <w:t xml:space="preserve">    （六）承担建筑装修装饰行业信用信息综合评价工作。</w:t>
        <w:br/>
        <w:t xml:space="preserve">    （七）承担本市建筑装修装饰从业人员培训工作。</w:t>
        <w:br/>
        <w:t xml:space="preserve">    协助机关指导建筑装饰行业协会的工作。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许昌市室内装饰行业发展服务中心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综合科、工程管理科、企业管理科、住宅管理科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许昌市室内装饰行业发展服务中心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1.许昌市室内装饰行业发展服务中心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单位：许昌市室内装饰行业发展服务中心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284.43</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0.95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10.63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5.59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457.60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9.67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284.43</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484.43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200.00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484.43</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484.43</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单位：许昌市室内装饰行业发展服务中心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284.43</w:t>
            </w:r>
          </w:p>
        </w:tc>
        <w:tc>
          <w:tcPr>
            <w:tcW w:w="1440" w:type="dxa"/>
            <w:tcBorders/>
            <w:vAlign w:val="center"/>
          </w:tcPr>
          <w:p>
            <w:pPr>
              <w:jc w:val="right"/>
            </w:pPr>
            <w:r>
              <w:rPr>
                <w:rFonts w:ascii="宋体" w:eastAsia="宋体" w:hAnsi="宋体" w:cs="宋体"/>
                <w:b/>
                <w:i w:val="0"/>
                <w:color w:val="000000"/>
                <w:sz w:val="17"/>
              </w:rPr>
              <w:t xml:space="preserve">284.43</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0.95</w:t>
            </w:r>
          </w:p>
        </w:tc>
        <w:tc>
          <w:tcPr>
            <w:tcW w:w="1440" w:type="dxa"/>
            <w:tcBorders/>
            <w:vAlign w:val="center"/>
          </w:tcPr>
          <w:p>
            <w:pPr>
              <w:jc w:val="right"/>
            </w:pPr>
            <w:r>
              <w:rPr>
                <w:rFonts w:ascii="宋体" w:eastAsia="宋体" w:hAnsi="宋体" w:cs="宋体"/>
                <w:b w:val="0"/>
                <w:i w:val="0"/>
                <w:color w:val="000000"/>
                <w:sz w:val="17"/>
              </w:rPr>
              <w:t xml:space="preserve">0.95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0.95</w:t>
            </w:r>
          </w:p>
        </w:tc>
        <w:tc>
          <w:tcPr>
            <w:tcW w:w="1440" w:type="dxa"/>
            <w:tcBorders/>
            <w:vAlign w:val="center"/>
          </w:tcPr>
          <w:p>
            <w:pPr>
              <w:jc w:val="right"/>
            </w:pPr>
            <w:r>
              <w:rPr>
                <w:rFonts w:ascii="宋体" w:eastAsia="宋体" w:hAnsi="宋体" w:cs="宋体"/>
                <w:b w:val="0"/>
                <w:i w:val="0"/>
                <w:color w:val="000000"/>
                <w:sz w:val="17"/>
              </w:rPr>
              <w:t xml:space="preserve">0.95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0.95</w:t>
            </w:r>
          </w:p>
        </w:tc>
        <w:tc>
          <w:tcPr>
            <w:tcW w:w="1440" w:type="dxa"/>
            <w:tcBorders/>
            <w:vAlign w:val="center"/>
          </w:tcPr>
          <w:p>
            <w:pPr>
              <w:jc w:val="right"/>
            </w:pPr>
            <w:r>
              <w:rPr>
                <w:rFonts w:ascii="宋体" w:eastAsia="宋体" w:hAnsi="宋体" w:cs="宋体"/>
                <w:b w:val="0"/>
                <w:i w:val="0"/>
                <w:color w:val="000000"/>
                <w:sz w:val="17"/>
              </w:rPr>
              <w:t xml:space="preserve">0.95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10.63</w:t>
            </w:r>
          </w:p>
        </w:tc>
        <w:tc>
          <w:tcPr>
            <w:tcW w:w="1440" w:type="dxa"/>
            <w:tcBorders/>
            <w:vAlign w:val="center"/>
          </w:tcPr>
          <w:p>
            <w:pPr>
              <w:jc w:val="right"/>
            </w:pPr>
            <w:r>
              <w:rPr>
                <w:rFonts w:ascii="宋体" w:eastAsia="宋体" w:hAnsi="宋体" w:cs="宋体"/>
                <w:b w:val="0"/>
                <w:i w:val="0"/>
                <w:color w:val="000000"/>
                <w:sz w:val="17"/>
              </w:rPr>
              <w:t xml:space="preserve">10.63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10.63</w:t>
            </w:r>
          </w:p>
        </w:tc>
        <w:tc>
          <w:tcPr>
            <w:tcW w:w="1440" w:type="dxa"/>
            <w:tcBorders/>
            <w:vAlign w:val="center"/>
          </w:tcPr>
          <w:p>
            <w:pPr>
              <w:jc w:val="right"/>
            </w:pPr>
            <w:r>
              <w:rPr>
                <w:rFonts w:ascii="宋体" w:eastAsia="宋体" w:hAnsi="宋体" w:cs="宋体"/>
                <w:b w:val="0"/>
                <w:i w:val="0"/>
                <w:color w:val="000000"/>
                <w:sz w:val="17"/>
              </w:rPr>
              <w:t xml:space="preserve">10.63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10.63</w:t>
            </w:r>
          </w:p>
        </w:tc>
        <w:tc>
          <w:tcPr>
            <w:tcW w:w="1440" w:type="dxa"/>
            <w:tcBorders/>
            <w:vAlign w:val="center"/>
          </w:tcPr>
          <w:p>
            <w:pPr>
              <w:jc w:val="right"/>
            </w:pPr>
            <w:r>
              <w:rPr>
                <w:rFonts w:ascii="宋体" w:eastAsia="宋体" w:hAnsi="宋体" w:cs="宋体"/>
                <w:b w:val="0"/>
                <w:i w:val="0"/>
                <w:color w:val="000000"/>
                <w:sz w:val="17"/>
              </w:rPr>
              <w:t xml:space="preserve">10.63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5.59</w:t>
            </w:r>
          </w:p>
        </w:tc>
        <w:tc>
          <w:tcPr>
            <w:tcW w:w="1440" w:type="dxa"/>
            <w:tcBorders/>
            <w:vAlign w:val="center"/>
          </w:tcPr>
          <w:p>
            <w:pPr>
              <w:jc w:val="right"/>
            </w:pPr>
            <w:r>
              <w:rPr>
                <w:rFonts w:ascii="宋体" w:eastAsia="宋体" w:hAnsi="宋体" w:cs="宋体"/>
                <w:b w:val="0"/>
                <w:i w:val="0"/>
                <w:color w:val="000000"/>
                <w:sz w:val="17"/>
              </w:rPr>
              <w:t xml:space="preserve">5.59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5.59</w:t>
            </w:r>
          </w:p>
        </w:tc>
        <w:tc>
          <w:tcPr>
            <w:tcW w:w="1440" w:type="dxa"/>
            <w:tcBorders/>
            <w:vAlign w:val="center"/>
          </w:tcPr>
          <w:p>
            <w:pPr>
              <w:jc w:val="right"/>
            </w:pPr>
            <w:r>
              <w:rPr>
                <w:rFonts w:ascii="宋体" w:eastAsia="宋体" w:hAnsi="宋体" w:cs="宋体"/>
                <w:b w:val="0"/>
                <w:i w:val="0"/>
                <w:color w:val="000000"/>
                <w:sz w:val="17"/>
              </w:rPr>
              <w:t xml:space="preserve">5.59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5.59</w:t>
            </w:r>
          </w:p>
        </w:tc>
        <w:tc>
          <w:tcPr>
            <w:tcW w:w="1440" w:type="dxa"/>
            <w:tcBorders/>
            <w:vAlign w:val="center"/>
          </w:tcPr>
          <w:p>
            <w:pPr>
              <w:jc w:val="right"/>
            </w:pPr>
            <w:r>
              <w:rPr>
                <w:rFonts w:ascii="宋体" w:eastAsia="宋体" w:hAnsi="宋体" w:cs="宋体"/>
                <w:b w:val="0"/>
                <w:i w:val="0"/>
                <w:color w:val="000000"/>
                <w:sz w:val="17"/>
              </w:rPr>
              <w:t xml:space="preserve">5.59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资源勘探工业信息等支出</w:t>
            </w:r>
          </w:p>
        </w:tc>
        <w:tc>
          <w:tcPr>
            <w:tcW w:w="1440" w:type="dxa"/>
            <w:tcBorders/>
            <w:vAlign w:val="center"/>
          </w:tcPr>
          <w:p>
            <w:pPr>
              <w:jc w:val="right"/>
            </w:pPr>
            <w:r>
              <w:rPr>
                <w:rFonts w:ascii="宋体" w:eastAsia="宋体" w:hAnsi="宋体" w:cs="宋体"/>
                <w:b w:val="0"/>
                <w:i w:val="0"/>
                <w:color w:val="000000"/>
                <w:sz w:val="17"/>
              </w:rPr>
              <w:t xml:space="preserve">257.60</w:t>
            </w:r>
          </w:p>
        </w:tc>
        <w:tc>
          <w:tcPr>
            <w:tcW w:w="1440" w:type="dxa"/>
            <w:tcBorders/>
            <w:vAlign w:val="center"/>
          </w:tcPr>
          <w:p>
            <w:pPr>
              <w:jc w:val="right"/>
            </w:pPr>
            <w:r>
              <w:rPr>
                <w:rFonts w:ascii="宋体" w:eastAsia="宋体" w:hAnsi="宋体" w:cs="宋体"/>
                <w:b w:val="0"/>
                <w:i w:val="0"/>
                <w:color w:val="000000"/>
                <w:sz w:val="17"/>
              </w:rPr>
              <w:t xml:space="preserve">257.60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21503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建筑业</w:t>
            </w:r>
          </w:p>
        </w:tc>
        <w:tc>
          <w:tcPr>
            <w:tcW w:w="1440" w:type="dxa"/>
            <w:tcBorders/>
            <w:vAlign w:val="center"/>
          </w:tcPr>
          <w:p>
            <w:pPr>
              <w:jc w:val="right"/>
            </w:pPr>
            <w:r>
              <w:rPr>
                <w:rFonts w:ascii="宋体" w:eastAsia="宋体" w:hAnsi="宋体" w:cs="宋体"/>
                <w:b w:val="0"/>
                <w:i w:val="0"/>
                <w:color w:val="000000"/>
                <w:sz w:val="17"/>
              </w:rPr>
              <w:t xml:space="preserve">257.60</w:t>
            </w:r>
          </w:p>
        </w:tc>
        <w:tc>
          <w:tcPr>
            <w:tcW w:w="1440" w:type="dxa"/>
            <w:tcBorders/>
            <w:vAlign w:val="center"/>
          </w:tcPr>
          <w:p>
            <w:pPr>
              <w:jc w:val="right"/>
            </w:pPr>
            <w:r>
              <w:rPr>
                <w:rFonts w:ascii="宋体" w:eastAsia="宋体" w:hAnsi="宋体" w:cs="宋体"/>
                <w:b w:val="0"/>
                <w:i w:val="0"/>
                <w:color w:val="000000"/>
                <w:sz w:val="17"/>
              </w:rPr>
              <w:t xml:space="preserve">257.60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2150399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其他建筑业支出</w:t>
            </w:r>
          </w:p>
        </w:tc>
        <w:tc>
          <w:tcPr>
            <w:tcW w:w="1440" w:type="dxa"/>
            <w:tcBorders/>
            <w:vAlign w:val="center"/>
          </w:tcPr>
          <w:p>
            <w:pPr>
              <w:jc w:val="right"/>
            </w:pPr>
            <w:r>
              <w:rPr>
                <w:rFonts w:ascii="宋体" w:eastAsia="宋体" w:hAnsi="宋体" w:cs="宋体"/>
                <w:b w:val="0"/>
                <w:i w:val="0"/>
                <w:color w:val="000000"/>
                <w:sz w:val="17"/>
              </w:rPr>
              <w:t xml:space="preserve">257.60</w:t>
            </w:r>
          </w:p>
        </w:tc>
        <w:tc>
          <w:tcPr>
            <w:tcW w:w="1440" w:type="dxa"/>
            <w:tcBorders/>
            <w:vAlign w:val="center"/>
          </w:tcPr>
          <w:p>
            <w:pPr>
              <w:jc w:val="right"/>
            </w:pPr>
            <w:r>
              <w:rPr>
                <w:rFonts w:ascii="宋体" w:eastAsia="宋体" w:hAnsi="宋体" w:cs="宋体"/>
                <w:b w:val="0"/>
                <w:i w:val="0"/>
                <w:color w:val="000000"/>
                <w:sz w:val="17"/>
              </w:rPr>
              <w:t xml:space="preserve">257.60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9.67</w:t>
            </w:r>
          </w:p>
        </w:tc>
        <w:tc>
          <w:tcPr>
            <w:tcW w:w="1440" w:type="dxa"/>
            <w:tcBorders/>
            <w:vAlign w:val="center"/>
          </w:tcPr>
          <w:p>
            <w:pPr>
              <w:jc w:val="right"/>
            </w:pPr>
            <w:r>
              <w:rPr>
                <w:rFonts w:ascii="宋体" w:eastAsia="宋体" w:hAnsi="宋体" w:cs="宋体"/>
                <w:b w:val="0"/>
                <w:i w:val="0"/>
                <w:color w:val="000000"/>
                <w:sz w:val="17"/>
              </w:rPr>
              <w:t xml:space="preserve">9.67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9.67</w:t>
            </w:r>
          </w:p>
        </w:tc>
        <w:tc>
          <w:tcPr>
            <w:tcW w:w="1440" w:type="dxa"/>
            <w:tcBorders/>
            <w:vAlign w:val="center"/>
          </w:tcPr>
          <w:p>
            <w:pPr>
              <w:jc w:val="right"/>
            </w:pPr>
            <w:r>
              <w:rPr>
                <w:rFonts w:ascii="宋体" w:eastAsia="宋体" w:hAnsi="宋体" w:cs="宋体"/>
                <w:b w:val="0"/>
                <w:i w:val="0"/>
                <w:color w:val="000000"/>
                <w:sz w:val="17"/>
              </w:rPr>
              <w:t xml:space="preserve">9.67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9.67</w:t>
            </w:r>
          </w:p>
        </w:tc>
        <w:tc>
          <w:tcPr>
            <w:tcW w:w="1440" w:type="dxa"/>
            <w:tcBorders/>
            <w:vAlign w:val="center"/>
          </w:tcPr>
          <w:p>
            <w:pPr>
              <w:jc w:val="right"/>
            </w:pPr>
            <w:r>
              <w:rPr>
                <w:rFonts w:ascii="宋体" w:eastAsia="宋体" w:hAnsi="宋体" w:cs="宋体"/>
                <w:b w:val="0"/>
                <w:i w:val="0"/>
                <w:color w:val="000000"/>
                <w:sz w:val="17"/>
              </w:rPr>
              <w:t xml:space="preserve">9.67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单位：许昌市室内装饰行业发展服务中心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484.43</w:t>
            </w:r>
          </w:p>
        </w:tc>
        <w:tc>
          <w:tcPr>
            <w:tcW w:w="1600" w:type="dxa"/>
            <w:tcBorders/>
            <w:vAlign w:val="center"/>
          </w:tcPr>
          <w:p>
            <w:pPr>
              <w:jc w:val="right"/>
            </w:pPr>
            <w:r>
              <w:rPr>
                <w:rFonts w:ascii="宋体" w:eastAsia="宋体" w:hAnsi="宋体" w:cs="宋体"/>
                <w:b/>
                <w:i w:val="0"/>
                <w:color w:val="000000"/>
                <w:sz w:val="19"/>
              </w:rPr>
              <w:t xml:space="preserve">184.43</w:t>
            </w:r>
          </w:p>
        </w:tc>
        <w:tc>
          <w:tcPr>
            <w:tcW w:w="1600" w:type="dxa"/>
            <w:tcBorders/>
            <w:vAlign w:val="center"/>
          </w:tcPr>
          <w:p>
            <w:pPr>
              <w:jc w:val="right"/>
            </w:pPr>
            <w:r>
              <w:rPr>
                <w:rFonts w:ascii="宋体" w:eastAsia="宋体" w:hAnsi="宋体" w:cs="宋体"/>
                <w:b/>
                <w:i w:val="0"/>
                <w:color w:val="000000"/>
                <w:sz w:val="19"/>
              </w:rPr>
              <w:t xml:space="preserve">300.00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0.95</w:t>
            </w:r>
          </w:p>
        </w:tc>
        <w:tc>
          <w:tcPr>
            <w:tcW w:w="1600" w:type="dxa"/>
            <w:tcBorders/>
            <w:vAlign w:val="center"/>
          </w:tcPr>
          <w:p>
            <w:pPr>
              <w:jc w:val="right"/>
            </w:pPr>
            <w:r>
              <w:rPr>
                <w:rFonts w:ascii="宋体" w:eastAsia="宋体" w:hAnsi="宋体" w:cs="宋体"/>
                <w:b w:val="0"/>
                <w:i w:val="0"/>
                <w:color w:val="000000"/>
                <w:sz w:val="19"/>
              </w:rPr>
              <w:t xml:space="preserve">0.95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0.95</w:t>
            </w:r>
          </w:p>
        </w:tc>
        <w:tc>
          <w:tcPr>
            <w:tcW w:w="1600" w:type="dxa"/>
            <w:tcBorders/>
            <w:vAlign w:val="center"/>
          </w:tcPr>
          <w:p>
            <w:pPr>
              <w:jc w:val="right"/>
            </w:pPr>
            <w:r>
              <w:rPr>
                <w:rFonts w:ascii="宋体" w:eastAsia="宋体" w:hAnsi="宋体" w:cs="宋体"/>
                <w:b w:val="0"/>
                <w:i w:val="0"/>
                <w:color w:val="000000"/>
                <w:sz w:val="19"/>
              </w:rPr>
              <w:t xml:space="preserve">0.95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0.95</w:t>
            </w:r>
          </w:p>
        </w:tc>
        <w:tc>
          <w:tcPr>
            <w:tcW w:w="1600" w:type="dxa"/>
            <w:tcBorders/>
            <w:vAlign w:val="center"/>
          </w:tcPr>
          <w:p>
            <w:pPr>
              <w:jc w:val="right"/>
            </w:pPr>
            <w:r>
              <w:rPr>
                <w:rFonts w:ascii="宋体" w:eastAsia="宋体" w:hAnsi="宋体" w:cs="宋体"/>
                <w:b w:val="0"/>
                <w:i w:val="0"/>
                <w:color w:val="000000"/>
                <w:sz w:val="19"/>
              </w:rPr>
              <w:t xml:space="preserve">0.95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10.63</w:t>
            </w:r>
          </w:p>
        </w:tc>
        <w:tc>
          <w:tcPr>
            <w:tcW w:w="1600" w:type="dxa"/>
            <w:tcBorders/>
            <w:vAlign w:val="center"/>
          </w:tcPr>
          <w:p>
            <w:pPr>
              <w:jc w:val="right"/>
            </w:pPr>
            <w:r>
              <w:rPr>
                <w:rFonts w:ascii="宋体" w:eastAsia="宋体" w:hAnsi="宋体" w:cs="宋体"/>
                <w:b w:val="0"/>
                <w:i w:val="0"/>
                <w:color w:val="000000"/>
                <w:sz w:val="19"/>
              </w:rPr>
              <w:t xml:space="preserve">10.63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10.63</w:t>
            </w:r>
          </w:p>
        </w:tc>
        <w:tc>
          <w:tcPr>
            <w:tcW w:w="1600" w:type="dxa"/>
            <w:tcBorders/>
            <w:vAlign w:val="center"/>
          </w:tcPr>
          <w:p>
            <w:pPr>
              <w:jc w:val="right"/>
            </w:pPr>
            <w:r>
              <w:rPr>
                <w:rFonts w:ascii="宋体" w:eastAsia="宋体" w:hAnsi="宋体" w:cs="宋体"/>
                <w:b w:val="0"/>
                <w:i w:val="0"/>
                <w:color w:val="000000"/>
                <w:sz w:val="19"/>
              </w:rPr>
              <w:t xml:space="preserve">10.63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10.63</w:t>
            </w:r>
          </w:p>
        </w:tc>
        <w:tc>
          <w:tcPr>
            <w:tcW w:w="1600" w:type="dxa"/>
            <w:tcBorders/>
            <w:vAlign w:val="center"/>
          </w:tcPr>
          <w:p>
            <w:pPr>
              <w:jc w:val="right"/>
            </w:pPr>
            <w:r>
              <w:rPr>
                <w:rFonts w:ascii="宋体" w:eastAsia="宋体" w:hAnsi="宋体" w:cs="宋体"/>
                <w:b w:val="0"/>
                <w:i w:val="0"/>
                <w:color w:val="000000"/>
                <w:sz w:val="19"/>
              </w:rPr>
              <w:t xml:space="preserve">10.63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5.59</w:t>
            </w:r>
          </w:p>
        </w:tc>
        <w:tc>
          <w:tcPr>
            <w:tcW w:w="1600" w:type="dxa"/>
            <w:tcBorders/>
            <w:vAlign w:val="center"/>
          </w:tcPr>
          <w:p>
            <w:pPr>
              <w:jc w:val="right"/>
            </w:pPr>
            <w:r>
              <w:rPr>
                <w:rFonts w:ascii="宋体" w:eastAsia="宋体" w:hAnsi="宋体" w:cs="宋体"/>
                <w:b w:val="0"/>
                <w:i w:val="0"/>
                <w:color w:val="000000"/>
                <w:sz w:val="19"/>
              </w:rPr>
              <w:t xml:space="preserve">5.59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5.59</w:t>
            </w:r>
          </w:p>
        </w:tc>
        <w:tc>
          <w:tcPr>
            <w:tcW w:w="1600" w:type="dxa"/>
            <w:tcBorders/>
            <w:vAlign w:val="center"/>
          </w:tcPr>
          <w:p>
            <w:pPr>
              <w:jc w:val="right"/>
            </w:pPr>
            <w:r>
              <w:rPr>
                <w:rFonts w:ascii="宋体" w:eastAsia="宋体" w:hAnsi="宋体" w:cs="宋体"/>
                <w:b w:val="0"/>
                <w:i w:val="0"/>
                <w:color w:val="000000"/>
                <w:sz w:val="19"/>
              </w:rPr>
              <w:t xml:space="preserve">5.59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5.59</w:t>
            </w:r>
          </w:p>
        </w:tc>
        <w:tc>
          <w:tcPr>
            <w:tcW w:w="1600" w:type="dxa"/>
            <w:tcBorders/>
            <w:vAlign w:val="center"/>
          </w:tcPr>
          <w:p>
            <w:pPr>
              <w:jc w:val="right"/>
            </w:pPr>
            <w:r>
              <w:rPr>
                <w:rFonts w:ascii="宋体" w:eastAsia="宋体" w:hAnsi="宋体" w:cs="宋体"/>
                <w:b w:val="0"/>
                <w:i w:val="0"/>
                <w:color w:val="000000"/>
                <w:sz w:val="19"/>
              </w:rPr>
              <w:t xml:space="preserve">5.59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资源勘探工业信息等支出</w:t>
            </w:r>
          </w:p>
        </w:tc>
        <w:tc>
          <w:tcPr>
            <w:tcW w:w="1600" w:type="dxa"/>
            <w:tcBorders/>
            <w:vAlign w:val="center"/>
          </w:tcPr>
          <w:p>
            <w:pPr>
              <w:jc w:val="right"/>
            </w:pPr>
            <w:r>
              <w:rPr>
                <w:rFonts w:ascii="宋体" w:eastAsia="宋体" w:hAnsi="宋体" w:cs="宋体"/>
                <w:b w:val="0"/>
                <w:i w:val="0"/>
                <w:color w:val="000000"/>
                <w:sz w:val="19"/>
              </w:rPr>
              <w:t xml:space="preserve">457.60</w:t>
            </w:r>
          </w:p>
        </w:tc>
        <w:tc>
          <w:tcPr>
            <w:tcW w:w="1600" w:type="dxa"/>
            <w:tcBorders/>
            <w:vAlign w:val="center"/>
          </w:tcPr>
          <w:p>
            <w:pPr>
              <w:jc w:val="right"/>
            </w:pPr>
            <w:r>
              <w:rPr>
                <w:rFonts w:ascii="宋体" w:eastAsia="宋体" w:hAnsi="宋体" w:cs="宋体"/>
                <w:b w:val="0"/>
                <w:i w:val="0"/>
                <w:color w:val="000000"/>
                <w:sz w:val="19"/>
              </w:rPr>
              <w:t xml:space="preserve">157.60</w:t>
            </w:r>
          </w:p>
        </w:tc>
        <w:tc>
          <w:tcPr>
            <w:tcW w:w="1600" w:type="dxa"/>
            <w:tcBorders/>
            <w:vAlign w:val="center"/>
          </w:tcPr>
          <w:p>
            <w:pPr>
              <w:jc w:val="right"/>
            </w:pPr>
            <w:r>
              <w:rPr>
                <w:rFonts w:ascii="宋体" w:eastAsia="宋体" w:hAnsi="宋体" w:cs="宋体"/>
                <w:b w:val="0"/>
                <w:i w:val="0"/>
                <w:color w:val="000000"/>
                <w:sz w:val="19"/>
              </w:rPr>
              <w:t xml:space="preserve">300.00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21503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建筑业</w:t>
            </w:r>
          </w:p>
        </w:tc>
        <w:tc>
          <w:tcPr>
            <w:tcW w:w="1600" w:type="dxa"/>
            <w:tcBorders/>
            <w:vAlign w:val="center"/>
          </w:tcPr>
          <w:p>
            <w:pPr>
              <w:jc w:val="right"/>
            </w:pPr>
            <w:r>
              <w:rPr>
                <w:rFonts w:ascii="宋体" w:eastAsia="宋体" w:hAnsi="宋体" w:cs="宋体"/>
                <w:b w:val="0"/>
                <w:i w:val="0"/>
                <w:color w:val="000000"/>
                <w:sz w:val="19"/>
              </w:rPr>
              <w:t xml:space="preserve">457.60</w:t>
            </w:r>
          </w:p>
        </w:tc>
        <w:tc>
          <w:tcPr>
            <w:tcW w:w="1600" w:type="dxa"/>
            <w:tcBorders/>
            <w:vAlign w:val="center"/>
          </w:tcPr>
          <w:p>
            <w:pPr>
              <w:jc w:val="right"/>
            </w:pPr>
            <w:r>
              <w:rPr>
                <w:rFonts w:ascii="宋体" w:eastAsia="宋体" w:hAnsi="宋体" w:cs="宋体"/>
                <w:b w:val="0"/>
                <w:i w:val="0"/>
                <w:color w:val="000000"/>
                <w:sz w:val="19"/>
              </w:rPr>
              <w:t xml:space="preserve">157.60</w:t>
            </w:r>
          </w:p>
        </w:tc>
        <w:tc>
          <w:tcPr>
            <w:tcW w:w="1600" w:type="dxa"/>
            <w:tcBorders/>
            <w:vAlign w:val="center"/>
          </w:tcPr>
          <w:p>
            <w:pPr>
              <w:jc w:val="right"/>
            </w:pPr>
            <w:r>
              <w:rPr>
                <w:rFonts w:ascii="宋体" w:eastAsia="宋体" w:hAnsi="宋体" w:cs="宋体"/>
                <w:b w:val="0"/>
                <w:i w:val="0"/>
                <w:color w:val="000000"/>
                <w:sz w:val="19"/>
              </w:rPr>
              <w:t xml:space="preserve">300.00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2150399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其他建筑业支出</w:t>
            </w:r>
          </w:p>
        </w:tc>
        <w:tc>
          <w:tcPr>
            <w:tcW w:w="1600" w:type="dxa"/>
            <w:tcBorders/>
            <w:vAlign w:val="center"/>
          </w:tcPr>
          <w:p>
            <w:pPr>
              <w:jc w:val="right"/>
            </w:pPr>
            <w:r>
              <w:rPr>
                <w:rFonts w:ascii="宋体" w:eastAsia="宋体" w:hAnsi="宋体" w:cs="宋体"/>
                <w:b w:val="0"/>
                <w:i w:val="0"/>
                <w:color w:val="000000"/>
                <w:sz w:val="19"/>
              </w:rPr>
              <w:t xml:space="preserve">457.60</w:t>
            </w:r>
          </w:p>
        </w:tc>
        <w:tc>
          <w:tcPr>
            <w:tcW w:w="1600" w:type="dxa"/>
            <w:tcBorders/>
            <w:vAlign w:val="center"/>
          </w:tcPr>
          <w:p>
            <w:pPr>
              <w:jc w:val="right"/>
            </w:pPr>
            <w:r>
              <w:rPr>
                <w:rFonts w:ascii="宋体" w:eastAsia="宋体" w:hAnsi="宋体" w:cs="宋体"/>
                <w:b w:val="0"/>
                <w:i w:val="0"/>
                <w:color w:val="000000"/>
                <w:sz w:val="19"/>
              </w:rPr>
              <w:t xml:space="preserve">157.60</w:t>
            </w:r>
          </w:p>
        </w:tc>
        <w:tc>
          <w:tcPr>
            <w:tcW w:w="1600" w:type="dxa"/>
            <w:tcBorders/>
            <w:vAlign w:val="center"/>
          </w:tcPr>
          <w:p>
            <w:pPr>
              <w:jc w:val="right"/>
            </w:pPr>
            <w:r>
              <w:rPr>
                <w:rFonts w:ascii="宋体" w:eastAsia="宋体" w:hAnsi="宋体" w:cs="宋体"/>
                <w:b w:val="0"/>
                <w:i w:val="0"/>
                <w:color w:val="000000"/>
                <w:sz w:val="19"/>
              </w:rPr>
              <w:t xml:space="preserve">300.00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9.67</w:t>
            </w:r>
          </w:p>
        </w:tc>
        <w:tc>
          <w:tcPr>
            <w:tcW w:w="1600" w:type="dxa"/>
            <w:tcBorders/>
            <w:vAlign w:val="center"/>
          </w:tcPr>
          <w:p>
            <w:pPr>
              <w:jc w:val="right"/>
            </w:pPr>
            <w:r>
              <w:rPr>
                <w:rFonts w:ascii="宋体" w:eastAsia="宋体" w:hAnsi="宋体" w:cs="宋体"/>
                <w:b w:val="0"/>
                <w:i w:val="0"/>
                <w:color w:val="000000"/>
                <w:sz w:val="19"/>
              </w:rPr>
              <w:t xml:space="preserve">9.67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9.67</w:t>
            </w:r>
          </w:p>
        </w:tc>
        <w:tc>
          <w:tcPr>
            <w:tcW w:w="1600" w:type="dxa"/>
            <w:tcBorders/>
            <w:vAlign w:val="center"/>
          </w:tcPr>
          <w:p>
            <w:pPr>
              <w:jc w:val="right"/>
            </w:pPr>
            <w:r>
              <w:rPr>
                <w:rFonts w:ascii="宋体" w:eastAsia="宋体" w:hAnsi="宋体" w:cs="宋体"/>
                <w:b w:val="0"/>
                <w:i w:val="0"/>
                <w:color w:val="000000"/>
                <w:sz w:val="19"/>
              </w:rPr>
              <w:t xml:space="preserve">9.67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9.67</w:t>
            </w:r>
          </w:p>
        </w:tc>
        <w:tc>
          <w:tcPr>
            <w:tcW w:w="1600" w:type="dxa"/>
            <w:tcBorders/>
            <w:vAlign w:val="center"/>
          </w:tcPr>
          <w:p>
            <w:pPr>
              <w:jc w:val="right"/>
            </w:pPr>
            <w:r>
              <w:rPr>
                <w:rFonts w:ascii="宋体" w:eastAsia="宋体" w:hAnsi="宋体" w:cs="宋体"/>
                <w:b w:val="0"/>
                <w:i w:val="0"/>
                <w:color w:val="000000"/>
                <w:sz w:val="19"/>
              </w:rPr>
              <w:t xml:space="preserve">9.67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单位：许昌市室内装饰行业发展服务中心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284.43</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0.95</w:t>
            </w:r>
          </w:p>
        </w:tc>
        <w:tc>
          <w:tcPr>
            <w:tcW w:w="1420" w:type="dxa"/>
            <w:tcBorders/>
            <w:vAlign w:val="center"/>
          </w:tcPr>
          <w:p>
            <w:pPr>
              <w:jc w:val="right"/>
            </w:pPr>
            <w:r>
              <w:rPr>
                <w:rFonts w:ascii="宋体" w:eastAsia="宋体" w:hAnsi="宋体" w:cs="宋体"/>
                <w:b w:val="0"/>
                <w:i w:val="0"/>
                <w:color w:val="000000"/>
                <w:sz w:val="18"/>
              </w:rPr>
              <w:t xml:space="preserve">0.95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10.63</w:t>
            </w:r>
          </w:p>
        </w:tc>
        <w:tc>
          <w:tcPr>
            <w:tcW w:w="1420" w:type="dxa"/>
            <w:tcBorders/>
            <w:vAlign w:val="center"/>
          </w:tcPr>
          <w:p>
            <w:pPr>
              <w:jc w:val="right"/>
            </w:pPr>
            <w:r>
              <w:rPr>
                <w:rFonts w:ascii="宋体" w:eastAsia="宋体" w:hAnsi="宋体" w:cs="宋体"/>
                <w:b w:val="0"/>
                <w:i w:val="0"/>
                <w:color w:val="000000"/>
                <w:sz w:val="18"/>
              </w:rPr>
              <w:t xml:space="preserve">10.63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5.59</w:t>
            </w:r>
          </w:p>
        </w:tc>
        <w:tc>
          <w:tcPr>
            <w:tcW w:w="1420" w:type="dxa"/>
            <w:tcBorders/>
            <w:vAlign w:val="center"/>
          </w:tcPr>
          <w:p>
            <w:pPr>
              <w:jc w:val="right"/>
            </w:pPr>
            <w:r>
              <w:rPr>
                <w:rFonts w:ascii="宋体" w:eastAsia="宋体" w:hAnsi="宋体" w:cs="宋体"/>
                <w:b w:val="0"/>
                <w:i w:val="0"/>
                <w:color w:val="000000"/>
                <w:sz w:val="18"/>
              </w:rPr>
              <w:t xml:space="preserve">5.59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457.60</w:t>
            </w:r>
          </w:p>
        </w:tc>
        <w:tc>
          <w:tcPr>
            <w:tcW w:w="1420" w:type="dxa"/>
            <w:tcBorders/>
            <w:vAlign w:val="center"/>
          </w:tcPr>
          <w:p>
            <w:pPr>
              <w:jc w:val="right"/>
            </w:pPr>
            <w:r>
              <w:rPr>
                <w:rFonts w:ascii="宋体" w:eastAsia="宋体" w:hAnsi="宋体" w:cs="宋体"/>
                <w:b w:val="0"/>
                <w:i w:val="0"/>
                <w:color w:val="000000"/>
                <w:sz w:val="18"/>
              </w:rPr>
              <w:t xml:space="preserve">457.60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9.67</w:t>
            </w:r>
          </w:p>
        </w:tc>
        <w:tc>
          <w:tcPr>
            <w:tcW w:w="1420" w:type="dxa"/>
            <w:tcBorders/>
            <w:vAlign w:val="center"/>
          </w:tcPr>
          <w:p>
            <w:pPr>
              <w:jc w:val="right"/>
            </w:pPr>
            <w:r>
              <w:rPr>
                <w:rFonts w:ascii="宋体" w:eastAsia="宋体" w:hAnsi="宋体" w:cs="宋体"/>
                <w:b w:val="0"/>
                <w:i w:val="0"/>
                <w:color w:val="000000"/>
                <w:sz w:val="18"/>
              </w:rPr>
              <w:t xml:space="preserve">9.67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284.43</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484.43</w:t>
            </w:r>
          </w:p>
        </w:tc>
        <w:tc>
          <w:tcPr>
            <w:tcW w:w="1420" w:type="dxa"/>
            <w:tcBorders/>
            <w:vAlign w:val="center"/>
          </w:tcPr>
          <w:p>
            <w:pPr>
              <w:jc w:val="right"/>
            </w:pPr>
            <w:r>
              <w:rPr>
                <w:rFonts w:ascii="宋体" w:eastAsia="宋体" w:hAnsi="宋体" w:cs="宋体"/>
                <w:b w:val="0"/>
                <w:i w:val="0"/>
                <w:color w:val="000000"/>
                <w:sz w:val="18"/>
              </w:rPr>
              <w:t xml:space="preserve">484.43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200.00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200.00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484.43</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484.43</w:t>
            </w:r>
          </w:p>
        </w:tc>
        <w:tc>
          <w:tcPr>
            <w:tcW w:w="1420" w:type="dxa"/>
            <w:tcBorders/>
            <w:vAlign w:val="center"/>
          </w:tcPr>
          <w:p>
            <w:pPr>
              <w:jc w:val="right"/>
            </w:pPr>
            <w:r>
              <w:rPr>
                <w:rFonts w:ascii="宋体" w:eastAsia="宋体" w:hAnsi="宋体" w:cs="宋体"/>
                <w:b w:val="0"/>
                <w:i w:val="0"/>
                <w:color w:val="000000"/>
                <w:sz w:val="18"/>
              </w:rPr>
              <w:t xml:space="preserve">484.43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单位：许昌市室内装饰行业发展服务中心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484.43</w:t>
            </w:r>
          </w:p>
        </w:tc>
        <w:tc>
          <w:tcPr>
            <w:tcW w:w="2700" w:type="dxa"/>
            <w:tcBorders/>
            <w:vAlign w:val="center"/>
          </w:tcPr>
          <w:p>
            <w:pPr>
              <w:jc w:val="right"/>
            </w:pPr>
            <w:r>
              <w:rPr>
                <w:rFonts w:ascii="宋体" w:eastAsia="宋体" w:hAnsi="宋体" w:cs="宋体"/>
                <w:b/>
                <w:i w:val="0"/>
                <w:color w:val="000000"/>
                <w:sz w:val="25"/>
              </w:rPr>
              <w:t xml:space="preserve">184.43</w:t>
            </w:r>
          </w:p>
        </w:tc>
        <w:tc>
          <w:tcPr>
            <w:tcW w:w="2658" w:type="dxa"/>
            <w:tcBorders/>
            <w:vAlign w:val="center"/>
          </w:tcPr>
          <w:p>
            <w:pPr>
              <w:jc w:val="right"/>
            </w:pPr>
            <w:r>
              <w:rPr>
                <w:rFonts w:ascii="宋体" w:eastAsia="宋体" w:hAnsi="宋体" w:cs="宋体"/>
                <w:b/>
                <w:i w:val="0"/>
                <w:color w:val="000000"/>
                <w:sz w:val="25"/>
              </w:rPr>
              <w:t xml:space="preserve">300.00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0.95</w:t>
            </w:r>
          </w:p>
        </w:tc>
        <w:tc>
          <w:tcPr>
            <w:tcW w:w="2700" w:type="dxa"/>
            <w:tcBorders/>
            <w:vAlign w:val="center"/>
          </w:tcPr>
          <w:p>
            <w:pPr>
              <w:jc w:val="right"/>
            </w:pPr>
            <w:r>
              <w:rPr>
                <w:rFonts w:ascii="宋体" w:eastAsia="宋体" w:hAnsi="宋体" w:cs="宋体"/>
                <w:b w:val="0"/>
                <w:i w:val="0"/>
                <w:color w:val="000000"/>
                <w:sz w:val="25"/>
              </w:rPr>
              <w:t xml:space="preserve">0.95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0.95</w:t>
            </w:r>
          </w:p>
        </w:tc>
        <w:tc>
          <w:tcPr>
            <w:tcW w:w="2700" w:type="dxa"/>
            <w:tcBorders/>
            <w:vAlign w:val="center"/>
          </w:tcPr>
          <w:p>
            <w:pPr>
              <w:jc w:val="right"/>
            </w:pPr>
            <w:r>
              <w:rPr>
                <w:rFonts w:ascii="宋体" w:eastAsia="宋体" w:hAnsi="宋体" w:cs="宋体"/>
                <w:b w:val="0"/>
                <w:i w:val="0"/>
                <w:color w:val="000000"/>
                <w:sz w:val="25"/>
              </w:rPr>
              <w:t xml:space="preserve">0.95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0.95</w:t>
            </w:r>
          </w:p>
        </w:tc>
        <w:tc>
          <w:tcPr>
            <w:tcW w:w="2700" w:type="dxa"/>
            <w:tcBorders/>
            <w:vAlign w:val="center"/>
          </w:tcPr>
          <w:p>
            <w:pPr>
              <w:jc w:val="right"/>
            </w:pPr>
            <w:r>
              <w:rPr>
                <w:rFonts w:ascii="宋体" w:eastAsia="宋体" w:hAnsi="宋体" w:cs="宋体"/>
                <w:b w:val="0"/>
                <w:i w:val="0"/>
                <w:color w:val="000000"/>
                <w:sz w:val="25"/>
              </w:rPr>
              <w:t xml:space="preserve">0.95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10.63</w:t>
            </w:r>
          </w:p>
        </w:tc>
        <w:tc>
          <w:tcPr>
            <w:tcW w:w="2700" w:type="dxa"/>
            <w:tcBorders/>
            <w:vAlign w:val="center"/>
          </w:tcPr>
          <w:p>
            <w:pPr>
              <w:jc w:val="right"/>
            </w:pPr>
            <w:r>
              <w:rPr>
                <w:rFonts w:ascii="宋体" w:eastAsia="宋体" w:hAnsi="宋体" w:cs="宋体"/>
                <w:b w:val="0"/>
                <w:i w:val="0"/>
                <w:color w:val="000000"/>
                <w:sz w:val="25"/>
              </w:rPr>
              <w:t xml:space="preserve">10.63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10.63</w:t>
            </w:r>
          </w:p>
        </w:tc>
        <w:tc>
          <w:tcPr>
            <w:tcW w:w="2700" w:type="dxa"/>
            <w:tcBorders/>
            <w:vAlign w:val="center"/>
          </w:tcPr>
          <w:p>
            <w:pPr>
              <w:jc w:val="right"/>
            </w:pPr>
            <w:r>
              <w:rPr>
                <w:rFonts w:ascii="宋体" w:eastAsia="宋体" w:hAnsi="宋体" w:cs="宋体"/>
                <w:b w:val="0"/>
                <w:i w:val="0"/>
                <w:color w:val="000000"/>
                <w:sz w:val="25"/>
              </w:rPr>
              <w:t xml:space="preserve">10.63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10.63</w:t>
            </w:r>
          </w:p>
        </w:tc>
        <w:tc>
          <w:tcPr>
            <w:tcW w:w="2700" w:type="dxa"/>
            <w:tcBorders/>
            <w:vAlign w:val="center"/>
          </w:tcPr>
          <w:p>
            <w:pPr>
              <w:jc w:val="right"/>
            </w:pPr>
            <w:r>
              <w:rPr>
                <w:rFonts w:ascii="宋体" w:eastAsia="宋体" w:hAnsi="宋体" w:cs="宋体"/>
                <w:b w:val="0"/>
                <w:i w:val="0"/>
                <w:color w:val="000000"/>
                <w:sz w:val="25"/>
              </w:rPr>
              <w:t xml:space="preserve">10.63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5.59</w:t>
            </w:r>
          </w:p>
        </w:tc>
        <w:tc>
          <w:tcPr>
            <w:tcW w:w="2700" w:type="dxa"/>
            <w:tcBorders/>
            <w:vAlign w:val="center"/>
          </w:tcPr>
          <w:p>
            <w:pPr>
              <w:jc w:val="right"/>
            </w:pPr>
            <w:r>
              <w:rPr>
                <w:rFonts w:ascii="宋体" w:eastAsia="宋体" w:hAnsi="宋体" w:cs="宋体"/>
                <w:b w:val="0"/>
                <w:i w:val="0"/>
                <w:color w:val="000000"/>
                <w:sz w:val="25"/>
              </w:rPr>
              <w:t xml:space="preserve">5.59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5.59</w:t>
            </w:r>
          </w:p>
        </w:tc>
        <w:tc>
          <w:tcPr>
            <w:tcW w:w="2700" w:type="dxa"/>
            <w:tcBorders/>
            <w:vAlign w:val="center"/>
          </w:tcPr>
          <w:p>
            <w:pPr>
              <w:jc w:val="right"/>
            </w:pPr>
            <w:r>
              <w:rPr>
                <w:rFonts w:ascii="宋体" w:eastAsia="宋体" w:hAnsi="宋体" w:cs="宋体"/>
                <w:b w:val="0"/>
                <w:i w:val="0"/>
                <w:color w:val="000000"/>
                <w:sz w:val="25"/>
              </w:rPr>
              <w:t xml:space="preserve">5.59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5.59</w:t>
            </w:r>
          </w:p>
        </w:tc>
        <w:tc>
          <w:tcPr>
            <w:tcW w:w="2700" w:type="dxa"/>
            <w:tcBorders/>
            <w:vAlign w:val="center"/>
          </w:tcPr>
          <w:p>
            <w:pPr>
              <w:jc w:val="right"/>
            </w:pPr>
            <w:r>
              <w:rPr>
                <w:rFonts w:ascii="宋体" w:eastAsia="宋体" w:hAnsi="宋体" w:cs="宋体"/>
                <w:b w:val="0"/>
                <w:i w:val="0"/>
                <w:color w:val="000000"/>
                <w:sz w:val="25"/>
              </w:rPr>
              <w:t xml:space="preserve">5.59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资源勘探工业信息等支出</w:t>
            </w:r>
          </w:p>
        </w:tc>
        <w:tc>
          <w:tcPr>
            <w:tcW w:w="2700" w:type="dxa"/>
            <w:tcBorders/>
            <w:vAlign w:val="center"/>
          </w:tcPr>
          <w:p>
            <w:pPr>
              <w:jc w:val="right"/>
            </w:pPr>
            <w:r>
              <w:rPr>
                <w:rFonts w:ascii="宋体" w:eastAsia="宋体" w:hAnsi="宋体" w:cs="宋体"/>
                <w:b w:val="0"/>
                <w:i w:val="0"/>
                <w:color w:val="000000"/>
                <w:sz w:val="25"/>
              </w:rPr>
              <w:t xml:space="preserve">457.60</w:t>
            </w:r>
          </w:p>
        </w:tc>
        <w:tc>
          <w:tcPr>
            <w:tcW w:w="2700" w:type="dxa"/>
            <w:tcBorders/>
            <w:vAlign w:val="center"/>
          </w:tcPr>
          <w:p>
            <w:pPr>
              <w:jc w:val="right"/>
            </w:pPr>
            <w:r>
              <w:rPr>
                <w:rFonts w:ascii="宋体" w:eastAsia="宋体" w:hAnsi="宋体" w:cs="宋体"/>
                <w:b w:val="0"/>
                <w:i w:val="0"/>
                <w:color w:val="000000"/>
                <w:sz w:val="25"/>
              </w:rPr>
              <w:t xml:space="preserve">157.60</w:t>
            </w:r>
          </w:p>
        </w:tc>
        <w:tc>
          <w:tcPr>
            <w:tcW w:w="2658" w:type="dxa"/>
            <w:tcBorders/>
            <w:vAlign w:val="center"/>
          </w:tcPr>
          <w:p>
            <w:pPr>
              <w:jc w:val="right"/>
            </w:pPr>
            <w:r>
              <w:rPr>
                <w:rFonts w:ascii="宋体" w:eastAsia="宋体" w:hAnsi="宋体" w:cs="宋体"/>
                <w:b w:val="0"/>
                <w:i w:val="0"/>
                <w:color w:val="000000"/>
                <w:sz w:val="25"/>
              </w:rPr>
              <w:t xml:space="preserve">300.00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21503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建筑业</w:t>
            </w:r>
          </w:p>
        </w:tc>
        <w:tc>
          <w:tcPr>
            <w:tcW w:w="2700" w:type="dxa"/>
            <w:tcBorders/>
            <w:vAlign w:val="center"/>
          </w:tcPr>
          <w:p>
            <w:pPr>
              <w:jc w:val="right"/>
            </w:pPr>
            <w:r>
              <w:rPr>
                <w:rFonts w:ascii="宋体" w:eastAsia="宋体" w:hAnsi="宋体" w:cs="宋体"/>
                <w:b w:val="0"/>
                <w:i w:val="0"/>
                <w:color w:val="000000"/>
                <w:sz w:val="25"/>
              </w:rPr>
              <w:t xml:space="preserve">457.60</w:t>
            </w:r>
          </w:p>
        </w:tc>
        <w:tc>
          <w:tcPr>
            <w:tcW w:w="2700" w:type="dxa"/>
            <w:tcBorders/>
            <w:vAlign w:val="center"/>
          </w:tcPr>
          <w:p>
            <w:pPr>
              <w:jc w:val="right"/>
            </w:pPr>
            <w:r>
              <w:rPr>
                <w:rFonts w:ascii="宋体" w:eastAsia="宋体" w:hAnsi="宋体" w:cs="宋体"/>
                <w:b w:val="0"/>
                <w:i w:val="0"/>
                <w:color w:val="000000"/>
                <w:sz w:val="25"/>
              </w:rPr>
              <w:t xml:space="preserve">157.60</w:t>
            </w:r>
          </w:p>
        </w:tc>
        <w:tc>
          <w:tcPr>
            <w:tcW w:w="2658" w:type="dxa"/>
            <w:tcBorders/>
            <w:vAlign w:val="center"/>
          </w:tcPr>
          <w:p>
            <w:pPr>
              <w:jc w:val="right"/>
            </w:pPr>
            <w:r>
              <w:rPr>
                <w:rFonts w:ascii="宋体" w:eastAsia="宋体" w:hAnsi="宋体" w:cs="宋体"/>
                <w:b w:val="0"/>
                <w:i w:val="0"/>
                <w:color w:val="000000"/>
                <w:sz w:val="25"/>
              </w:rPr>
              <w:t xml:space="preserve">300.00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2150399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其他建筑业支出</w:t>
            </w:r>
          </w:p>
        </w:tc>
        <w:tc>
          <w:tcPr>
            <w:tcW w:w="2700" w:type="dxa"/>
            <w:tcBorders/>
            <w:vAlign w:val="center"/>
          </w:tcPr>
          <w:p>
            <w:pPr>
              <w:jc w:val="right"/>
            </w:pPr>
            <w:r>
              <w:rPr>
                <w:rFonts w:ascii="宋体" w:eastAsia="宋体" w:hAnsi="宋体" w:cs="宋体"/>
                <w:b w:val="0"/>
                <w:i w:val="0"/>
                <w:color w:val="000000"/>
                <w:sz w:val="25"/>
              </w:rPr>
              <w:t xml:space="preserve">457.60</w:t>
            </w:r>
          </w:p>
        </w:tc>
        <w:tc>
          <w:tcPr>
            <w:tcW w:w="2700" w:type="dxa"/>
            <w:tcBorders/>
            <w:vAlign w:val="center"/>
          </w:tcPr>
          <w:p>
            <w:pPr>
              <w:jc w:val="right"/>
            </w:pPr>
            <w:r>
              <w:rPr>
                <w:rFonts w:ascii="宋体" w:eastAsia="宋体" w:hAnsi="宋体" w:cs="宋体"/>
                <w:b w:val="0"/>
                <w:i w:val="0"/>
                <w:color w:val="000000"/>
                <w:sz w:val="25"/>
              </w:rPr>
              <w:t xml:space="preserve">157.60</w:t>
            </w:r>
          </w:p>
        </w:tc>
        <w:tc>
          <w:tcPr>
            <w:tcW w:w="2658" w:type="dxa"/>
            <w:tcBorders/>
            <w:vAlign w:val="center"/>
          </w:tcPr>
          <w:p>
            <w:pPr>
              <w:jc w:val="right"/>
            </w:pPr>
            <w:r>
              <w:rPr>
                <w:rFonts w:ascii="宋体" w:eastAsia="宋体" w:hAnsi="宋体" w:cs="宋体"/>
                <w:b w:val="0"/>
                <w:i w:val="0"/>
                <w:color w:val="000000"/>
                <w:sz w:val="25"/>
              </w:rPr>
              <w:t xml:space="preserve">300.00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9.67</w:t>
            </w:r>
          </w:p>
        </w:tc>
        <w:tc>
          <w:tcPr>
            <w:tcW w:w="2700" w:type="dxa"/>
            <w:tcBorders/>
            <w:vAlign w:val="center"/>
          </w:tcPr>
          <w:p>
            <w:pPr>
              <w:jc w:val="right"/>
            </w:pPr>
            <w:r>
              <w:rPr>
                <w:rFonts w:ascii="宋体" w:eastAsia="宋体" w:hAnsi="宋体" w:cs="宋体"/>
                <w:b w:val="0"/>
                <w:i w:val="0"/>
                <w:color w:val="000000"/>
                <w:sz w:val="25"/>
              </w:rPr>
              <w:t xml:space="preserve">9.67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9.67</w:t>
            </w:r>
          </w:p>
        </w:tc>
        <w:tc>
          <w:tcPr>
            <w:tcW w:w="2700" w:type="dxa"/>
            <w:tcBorders/>
            <w:vAlign w:val="center"/>
          </w:tcPr>
          <w:p>
            <w:pPr>
              <w:jc w:val="right"/>
            </w:pPr>
            <w:r>
              <w:rPr>
                <w:rFonts w:ascii="宋体" w:eastAsia="宋体" w:hAnsi="宋体" w:cs="宋体"/>
                <w:b w:val="0"/>
                <w:i w:val="0"/>
                <w:color w:val="000000"/>
                <w:sz w:val="25"/>
              </w:rPr>
              <w:t xml:space="preserve">9.67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9.67</w:t>
            </w:r>
          </w:p>
        </w:tc>
        <w:tc>
          <w:tcPr>
            <w:tcW w:w="2700" w:type="dxa"/>
            <w:tcBorders/>
            <w:vAlign w:val="center"/>
          </w:tcPr>
          <w:p>
            <w:pPr>
              <w:jc w:val="right"/>
            </w:pPr>
            <w:r>
              <w:rPr>
                <w:rFonts w:ascii="宋体" w:eastAsia="宋体" w:hAnsi="宋体" w:cs="宋体"/>
                <w:b w:val="0"/>
                <w:i w:val="0"/>
                <w:color w:val="000000"/>
                <w:sz w:val="25"/>
              </w:rPr>
              <w:t xml:space="preserve">9.67</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单位：许昌市室内装饰行业发展服务中心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172.61</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11.82</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47.73</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1.50</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73.74</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24.24</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10.63</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0.20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5.59</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0.27</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0.64</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9.67</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0.15</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0.76</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6.04</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0.95</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1.17</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0.16</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172.61</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11.82</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单位：许昌市室内装饰行业发展服务中心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单位：许昌市室内装饰行业发展服务中心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单位：许昌市室内装饰行业发展服务中心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484.43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增加315.19万元，增长186.24%</w:t>
      </w:r>
      <w:r>
        <w:rPr>
          <w:rFonts w:ascii="仿宋" w:eastAsia="仿宋" w:hAnsi="仿宋" w:cs="仿宋" w:hint="eastAsia"/>
          <w:kern w:val="0"/>
          <w:sz w:val="32"/>
          <w:szCs w:val="32"/>
          <w:lang w:val="en-US" w:eastAsia="zh-CN"/>
        </w:rPr>
        <w:t xml:space="preserve">。主要原因是按规定程序调整人员经费。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284.43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财政拨款收入284.43万元，占100.00%；上级补助收入0.00万元，占0.00%；事业收入0.00万元，占0.00%；经营收入0.00万元，占0.00%；附属单位上缴收入0.00万元，占0.00%；其他收入0.00万元，占0.00%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484.43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基本支出184.43万元，占38.07%；项目支出300.00万元，占61.93%；上缴上级支出0.00万元，占0.00%；经营支出0.00万元，占0.00%；对附属单位补助支出0.00万元，占0.00%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484.43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增加315.19万元，增长186.24%</w:t>
      </w:r>
      <w:r>
        <w:rPr>
          <w:rFonts w:ascii="仿宋" w:eastAsia="仿宋" w:hAnsi="仿宋" w:cs="仿宋" w:hint="eastAsia"/>
          <w:kern w:val="0"/>
          <w:sz w:val="32"/>
          <w:szCs w:val="32"/>
          <w:lang w:val="en-US" w:eastAsia="zh-CN"/>
        </w:rPr>
        <w:t xml:space="preserve">。主要原因是按规定程序调整人员经费。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484.43</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增加315.19万元，增长186.24%</w:t>
      </w:r>
      <w:r>
        <w:rPr>
          <w:rFonts w:ascii="仿宋" w:eastAsia="仿宋" w:hAnsi="仿宋" w:cs="仿宋" w:hint="eastAsia"/>
          <w:kern w:val="0"/>
          <w:sz w:val="32"/>
          <w:szCs w:val="32"/>
          <w:lang w:val="en-US" w:eastAsia="zh-CN"/>
        </w:rPr>
        <w:t xml:space="preserve">。主要原因是年中增加惠民消费预算。</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484.43</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0.95万元，占0.20%；社会保障和就业支出（类）10.63万元，占2.19%；卫生健康支出（类）5.59万元，占1.15%；资源勘探工业信息等支出（类）457.60万元，占94.46%；住房保障支出（类）9.67万元，占2.00%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172.59</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484.43</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280.68</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年初预算数为0.95万元，决算数0.95万元,完成年初预算的100.00%，决算数与年初预算数不存在差异。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年初预算数为10.63万元，决算数10.63万元,完成年初预算的100.00%，决算数与年初预算数不存在差异。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3.卫生健康支出（类）行政事业单位医疗（款）事业单位医疗（项）</w:t>
      </w:r>
      <w:r>
        <w:rPr>
          <w:rFonts w:ascii="仿宋" w:eastAsia="仿宋" w:hAnsi="仿宋" w:cs="仿宋" w:hint="default"/>
          <w:kern w:val="2"/>
          <w:sz w:val="32"/>
          <w:szCs w:val="32"/>
          <w:lang w:val="en-US" w:eastAsia="zh-CN"/>
        </w:rPr>
        <w:t xml:space="preserve">年初预算数为5.59万元，决算数5.59万元,完成年初预算的100.00%，决算数与年初预算数不存在差异。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4.资源勘探工业信息等支出（类）建筑业（款）其他建筑业支出（项）</w:t>
      </w:r>
      <w:r>
        <w:rPr>
          <w:rFonts w:ascii="仿宋" w:eastAsia="仿宋" w:hAnsi="仿宋" w:cs="仿宋" w:hint="default"/>
          <w:kern w:val="2"/>
          <w:sz w:val="32"/>
          <w:szCs w:val="32"/>
          <w:lang w:val="en-US" w:eastAsia="zh-CN"/>
        </w:rPr>
        <w:t xml:space="preserve">年初预算数为457.60万元，决算数457.60万元,完成年初预算的100.00%，决算数与年初预算数不存在差异。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5.住房保障支出（类）住房改革支出（款）住房公积金（项）</w:t>
      </w:r>
      <w:r>
        <w:rPr>
          <w:rFonts w:ascii="仿宋" w:eastAsia="仿宋" w:hAnsi="仿宋" w:cs="仿宋" w:hint="default"/>
          <w:kern w:val="2"/>
          <w:sz w:val="32"/>
          <w:szCs w:val="32"/>
          <w:lang w:val="en-US" w:eastAsia="zh-CN"/>
        </w:rPr>
        <w:t xml:space="preserve">年初预算数为9.67万元，决算数9.67万元,完成年初预算的100.00%，决算数与年初预算数不存在差异。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184.43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其中：人员经费172.61万元，主要包括：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公用经费11.82万元，主要包括：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主要用于公车维修保养、保险及加油费。</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484.43</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单位能够完成既定的工作内容，并将各项支出控制在预算范围内，对所支出的行业和工作起到了支撑和带动作用，社会满意度和可持续影响较好。</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基于项目预期目标的实现程度，我单位对2023年度单位预算项目支出（含单位参与分配的转移支付项目）开展绩效自评，涉及项目1个，项目金额300万元。其中：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（1）夏季家装行业政府消费券，自评得分为100分，等级为“优”。项目活动投入发放300万元，直接带动装饰家居建材社会交易额达3亿元，促进交易笔数近20000单。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从项目绩效自评情况来看，各项工作圆满完成，活动极大激发了消费者热情，拉动了我市装饰装修及家居建材消防市场。</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9f8c2f61-8542-45cd-9838-d4b79402d748"/>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396"/>
        <w:gridCol w:w="396"/>
        <w:gridCol w:w="1244"/>
        <w:gridCol w:w="1560"/>
        <w:gridCol w:w="1271"/>
        <w:gridCol w:w="1299"/>
        <w:gridCol w:w="1348"/>
        <w:gridCol w:w="576"/>
        <w:gridCol w:w="1116"/>
        <w:gridCol w:w="1476"/>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0"/>
            <w:tcBorders>
              <w:top w:val="nil"/>
              <w:left w:val="nil"/>
              <w:bottom w:val="single" w:sz="4" w:space="0" w:color="000000"/>
              <w:right w:val="nil"/>
            </w:tcBorders>
            <w:shd w:val="clear" w:color="auto" w:fill="auto"/>
            <w:vAlign w:val="bottom"/>
          </w:tcPr>
          <w:p>
            <w:pPr>
              <w:pStyle w:val="Normal_0ff4d841-dfec-462b-8ecc-55714f6b7e61"/>
              <w:keepNext w:val="0"/>
              <w:keepLines w:val="0"/>
              <w:widowControl/>
              <w:suppressLineNumbers w:val="0"/>
              <w:jc w:val="center"/>
              <w:textAlignment w:val="bottom"/>
              <w:rPr>
                <w:rFonts w:ascii="宋体" w:eastAsia="宋体" w:hAnsi="宋体" w:cs="宋体" w:hint="eastAsia"/>
                <w:b/>
                <w:bCs/>
                <w:i w:val="0"/>
                <w:iCs w:val="0"/>
                <w:color w:val="000000"/>
                <w:sz w:val="32"/>
                <w:szCs w:val="32"/>
                <w:u w:val="none"/>
              </w:rPr>
            </w:pPr>
            <w:r>
              <w:rPr>
                <w:rFonts w:ascii="宋体" w:eastAsia="宋体" w:hAnsi="宋体" w:cs="宋体" w:hint="eastAsia"/>
                <w:b/>
                <w:bCs/>
                <w:i w:val="0"/>
                <w:iCs w:val="0"/>
                <w:color w:val="000000"/>
                <w:kern w:val="0"/>
                <w:sz w:val="32"/>
                <w:szCs w:val="32"/>
                <w:u w:val="none"/>
                <w:lang w:val="en-US" w:eastAsia="zh-CN"/>
              </w:rPr>
              <w:t xml:space="preserve">单位整体自评表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tcW w:type="auto" w:w="0"/>
            <w:gridSpan w:val="3"/>
            <w:vMerge w:val="restart"/>
            <w:tcBorders>
              <w:top w:val="nil"/>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部门（单位）名称</w:t>
            </w:r>
          </w:p>
        </w:tc>
        <w:tc>
          <w:tcPr>
            <w:tcW w:type="auto" w:w="0"/>
            <w:gridSpan w:val="7"/>
            <w:vMerge w:val="restart"/>
            <w:tcBorders>
              <w:top w:val="nil"/>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许昌市室内装饰行业发展服务中心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gridSpan w:val="3"/>
            <w:vMerge/>
            <w:tcBorders>
              <w:top w:val="nil"/>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gridSpan w:val="7"/>
            <w:vMerge/>
            <w:tcBorders>
              <w:top w:val="nil"/>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单位整体支出情况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单位预算总额（万元）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172.59</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0ff4d841-dfec-462b-8ecc-55714f6b7e61"/>
              <w:keepNext w:val="0"/>
              <w:keepLines w:val="0"/>
              <w:widowControl/>
              <w:suppressLineNumbers w:val="0"/>
              <w:jc w:val="center"/>
              <w:textAlignment w:val="bottom"/>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484.43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0ff4d841-dfec-462b-8ecc-55714f6b7e61"/>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sz w:val="18"/>
                <w:szCs w:val="18"/>
                <w:u w:val="none"/>
                <w:lang w:val="en-US" w:eastAsia="zh-CN"/>
              </w:rPr>
              <w:t xml:space="preserve">484.43</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0ff4d841-dfec-462b-8ecc-55714f6b7e61"/>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资金来源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172.59</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0ff4d841-dfec-462b-8ecc-55714f6b7e61"/>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sz w:val="18"/>
                <w:szCs w:val="18"/>
                <w:u w:val="none"/>
                <w:lang w:val="en-US" w:eastAsia="zh-CN"/>
              </w:rPr>
              <w:t xml:space="preserve">484.43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0ff4d841-dfec-462b-8ecc-55714f6b7e61"/>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sz w:val="18"/>
                <w:szCs w:val="18"/>
                <w:u w:val="none"/>
                <w:lang w:val="en-US" w:eastAsia="zh-CN"/>
              </w:rPr>
              <w:t xml:space="preserve">484.43</w:t>
            </w: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0ff4d841-dfec-462b-8ecc-55714f6b7e61"/>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  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年度</w:t>
            </w:r>
            <w:r>
              <w:rPr/>
              <w:br/>
            </w:r>
            <w:r>
              <w:rPr>
                <w:rFonts w:ascii="宋体" w:eastAsia="宋体" w:hAnsi="宋体" w:cs="宋体" w:hint="eastAsia"/>
                <w:i w:val="0"/>
                <w:iCs w:val="0"/>
                <w:color w:val="000000"/>
                <w:kern w:val="0"/>
                <w:sz w:val="18"/>
                <w:szCs w:val="18"/>
                <w:u w:val="none"/>
                <w:lang w:val="en-US" w:eastAsia="zh-CN"/>
              </w:rPr>
              <w:t xml:space="preserve">履职</w:t>
            </w:r>
            <w:r>
              <w:rPr/>
              <w:br/>
            </w:r>
            <w:r>
              <w:rPr>
                <w:rFonts w:ascii="宋体" w:eastAsia="宋体" w:hAnsi="宋体" w:cs="宋体" w:hint="eastAsia"/>
                <w:i w:val="0"/>
                <w:iCs w:val="0"/>
                <w:color w:val="000000"/>
                <w:kern w:val="0"/>
                <w:sz w:val="18"/>
                <w:szCs w:val="18"/>
                <w:u w:val="none"/>
                <w:lang w:val="en-US" w:eastAsia="zh-CN"/>
              </w:rPr>
              <w:t xml:space="preserve">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预期目标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目标名称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主要内容 </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目标完成情况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保障全市室内装饰工程管理工作</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为全市室内装饰工程管理工作提供保障服务</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6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协助市住建局对建筑装修装饰企业进行管理</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协助市住建局对建筑装修装饰企业进行管理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8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监督指导建筑装修装饰管理工作</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监督指导建筑装修装饰管理工作</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年度</w:t>
            </w:r>
            <w:r>
              <w:rPr/>
              <w:br/>
            </w:r>
            <w:r>
              <w:rPr>
                <w:rFonts w:ascii="宋体" w:eastAsia="宋体" w:hAnsi="宋体" w:cs="宋体" w:hint="eastAsia"/>
                <w:i w:val="0"/>
                <w:iCs w:val="0"/>
                <w:color w:val="000000"/>
                <w:kern w:val="0"/>
                <w:sz w:val="18"/>
                <w:szCs w:val="18"/>
                <w:u w:val="none"/>
                <w:lang w:val="en-US" w:eastAsia="zh-CN"/>
              </w:rPr>
              <w:t xml:space="preserve">主要</w:t>
            </w:r>
            <w:r>
              <w:rPr/>
              <w:br/>
            </w:r>
            <w:r>
              <w:rPr>
                <w:rFonts w:ascii="宋体" w:eastAsia="宋体" w:hAnsi="宋体" w:cs="宋体" w:hint="eastAsia"/>
                <w:i w:val="0"/>
                <w:iCs w:val="0"/>
                <w:color w:val="000000"/>
                <w:kern w:val="0"/>
                <w:sz w:val="18"/>
                <w:szCs w:val="18"/>
                <w:u w:val="none"/>
                <w:lang w:val="en-US" w:eastAsia="zh-CN"/>
              </w:rPr>
              <w:t xml:space="preserve">任务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主要内容 </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任务完成情况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8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保障全市室内装饰工程管理工作</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规范全市室内装修装饰行业市场</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协助市住建局对建筑装修装饰企业进行管理</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协助市住建局对建筑装修装饰企业进行管理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8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监督指导建筑装修装饰管理工作</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监督指导建筑装修装饰管理工作</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二级指标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实际完成值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单位2023年无专项资金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年末无结转结余</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单位2023年无政府采购计划</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25</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重点工作履行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保障全市室内装饰工程管理工作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协助市住建局对建筑装修装饰企业进行管理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为全市室内装饰工程管理工作提供保障服务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市住建局建筑装修装饰管理相关协助工作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效益指标</w:t>
            </w: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35</w:t>
            </w:r>
          </w:p>
        </w:tc>
        <w:tc>
          <w:tcPr>
            <w:tcW w:type="auto" w:w="0"/>
            <w:tcBorders>
              <w:top w:val="nil"/>
              <w:left w:val="single" w:sz="4" w:space="0" w:color="000000"/>
              <w:bottom w:val="nil"/>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履职效益</w:t>
            </w:r>
          </w:p>
        </w:tc>
        <w:tc>
          <w:tcPr>
            <w:tcW w:type="auto" w:w="0"/>
            <w:tcBorders>
              <w:top w:val="nil"/>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保障单位工作正常运转</w:t>
            </w:r>
          </w:p>
        </w:tc>
        <w:tc>
          <w:tcPr>
            <w:tcW w:type="auto" w:w="0"/>
            <w:tcBorders>
              <w:top w:val="nil"/>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保障</w:t>
            </w:r>
          </w:p>
        </w:tc>
        <w:tc>
          <w:tcPr>
            <w:tcW w:type="auto" w:w="0"/>
            <w:tcBorders>
              <w:top w:val="nil"/>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保障</w:t>
            </w:r>
          </w:p>
        </w:tc>
        <w:tc>
          <w:tcPr>
            <w:tcW w:type="auto" w:w="0"/>
            <w:tcBorders>
              <w:top w:val="nil"/>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25</w:t>
            </w:r>
          </w:p>
        </w:tc>
        <w:tc>
          <w:tcPr>
            <w:tcW w:type="auto" w:w="0"/>
            <w:tcBorders>
              <w:top w:val="nil"/>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25</w:t>
            </w:r>
          </w:p>
        </w:tc>
        <w:tc>
          <w:tcPr>
            <w:tcW w:type="auto" w:w="0"/>
            <w:tcBorders>
              <w:top w:val="nil"/>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nil"/>
              <w:left w:val="single" w:sz="4" w:space="0" w:color="000000"/>
              <w:bottom w:val="nil"/>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总分</w:t>
            </w:r>
          </w:p>
        </w:tc>
        <w:tc>
          <w:tcPr>
            <w:tcW w:type="auto" w:w="0"/>
            <w:tcBorders>
              <w:top w:val="nil"/>
              <w:left w:val="single" w:sz="4" w:space="0" w:color="000000"/>
              <w:bottom w:val="nil"/>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 </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0ff4d841-dfec-462b-8ecc-55714f6b7e61"/>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98"/>
        </w:trPr>
        <w:tc>
          <w:tcPr>
            <w:tcW w:type="auto" w:w="0"/>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Normal_0ff4d841-dfec-462b-8ecc-55714f6b7e61"/>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注：1.自评采取打分评价的形式，满分为100分，各部门（单位）可根据指标的重要程度自主确定各项三级指标的权重分值，各项指标得分加总得出该项目绩效自评的总分。原则</w:t>
            </w:r>
            <w:r>
              <w:rPr>
                <w:rFonts w:ascii="宋体" w:eastAsia="宋体" w:hAnsi="宋体" w:cs="宋体" w:hint="eastAsia"/>
                <w:i w:val="0"/>
                <w:iCs w:val="0"/>
                <w:color w:val="000000"/>
                <w:kern w:val="0"/>
                <w:sz w:val="18"/>
                <w:szCs w:val="18"/>
                <w:u w:val="none"/>
                <w:lang w:val="en-US" w:eastAsia="zh-CN"/>
              </w:rPr>
              <w:t xml:space="preserve">上一级指标分值统一设置为：投入管理指标30分、产出指标25分、效益指标35分、预算执行率10分。2.偏差原因分析及改进措施：说明偏离目标、不能完成目标的原因及改进措施。3.定性指标完成情况分为好、较好、一般、较差四档，在相应档次分别按照100％-90%(含)、90%-80％(含)、80％-60％(含)、60％-0％合理确定分值。定量指标完成指标值的，记该指标所赋全部分值；未完成的，按照完成值与指标值的比例计分。</w:t>
            </w:r>
          </w:p>
        </w:tc>
      </w:tr>
    </w:tbl>
    <w:p>
      <w:pPr>
        <w:pStyle w:val="Normal_0ff4d841-dfec-462b-8ecc-55714f6b7e61"/>
        <w:sectPr>
          <w:pgSz w:w="11906" w:h="16838" w:orient="portrait"/>
          <w:pgMar w:top="720" w:right="720" w:bottom="720" w:left="720" w:header="851" w:footer="992" w:gutter="0"/>
          <w:cols w:num="1" w:space="425">
            <w:col w:w="10466" w:space="425"/>
          </w:cols>
          <w:docGrid w:type="lines" w:linePitch="312" w:charSpace="0"/>
        </w:sectPr>
      </w:pPr>
    </w:p>
    <w:p>
      <w:pPr>
        <w:pStyle w:val="Normal_0ff4d841-dfec-462b-8ecc-55714f6b7e61"/>
        <w:widowControl w:val="0"/>
        <w:spacing w:line="0" w:lineRule="atLeast"/>
        <w:contextualSpacing w:val="0"/>
        <w:rPr>
          <w:rFonts w:ascii="Times New Roman" w:eastAsia="Times New Roman" w:hAnsi="Times New Roman" w:cs="Times New Roman"/>
          <w:sz w:val="2"/>
        </w:rPr>
      </w:pPr>
    </w:p>
    <w:tbl>
      <w:tblPr>
        <w:tblW w:w="14869" w:type="dxa"/>
        <w:tblLayout w:type="fixed"/>
        <w:tblCellMar>
          <w:top w:w="0" w:type="dxa"/>
          <w:left w:w="0" w:type="dxa"/>
          <w:bottom w:w="0" w:type="dxa"/>
          <w:right w:w="0" w:type="dxa"/>
        </w:tblCellMar>
        <w:tblLook w:firstRow="0" w:lastRow="0" w:firstColumn="0" w:lastColumn="0" w:noHBand="1" w:noVBand="1"/>
      </w:tblPr>
      <w:tblGrid>
        <w:gridCol w:w="854"/>
        <w:gridCol w:w="989"/>
        <w:gridCol w:w="1159"/>
        <w:gridCol w:w="1079"/>
        <w:gridCol w:w="929"/>
        <w:gridCol w:w="1634"/>
        <w:gridCol w:w="1079"/>
        <w:gridCol w:w="929"/>
        <w:gridCol w:w="1079"/>
        <w:gridCol w:w="1079"/>
        <w:gridCol w:w="944"/>
        <w:gridCol w:w="944"/>
        <w:gridCol w:w="1079"/>
        <w:gridCol w:w="1079"/>
      </w:tblGrid>
      <w:tr>
        <w:tblPrEx>
          <w:tblW w:w="14869" w:type="dxa"/>
          <w:tblBorders/>
          <w:shd w:val="clear" w:color="auto" w:fill="auto"/>
          <w:tblLayout w:type="fixed"/>
          <w:tblCellMar>
            <w:top w:w="0" w:type="dxa"/>
            <w:left w:w="0" w:type="dxa"/>
            <w:bottom w:w="0" w:type="dxa"/>
            <w:right w:w="0" w:type="dxa"/>
          </w:tblCellMar>
        </w:tblPrEx>
        <w:trPr>
          <w:trHeight w:hRule="exact" w:val="566"/>
        </w:trPr>
        <w:tc>
          <w:tcPr>
            <w:tcW w:w="14856"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pPr>
              <w:pStyle w:val="Normal_0ff4d841-dfec-462b-8ecc-55714f6b7e61"/>
              <w:widowControl w:val="0"/>
              <w:spacing w:line="465" w:lineRule="exact"/>
              <w:ind w:left="20" w:right="0" w:firstLine="0"/>
              <w:contextualSpacing w:val="0"/>
              <w:jc w:val="center"/>
              <w:rPr>
                <w:rFonts w:ascii="SimSun" w:eastAsia="SimSun" w:hAnsi="SimSun" w:cs="SimSun"/>
                <w:b w:val="0"/>
                <w:color w:val="000000"/>
                <w:sz w:val="40"/>
              </w:rPr>
            </w:pPr>
            <w:r>
              <w:rPr>
                <w:rFonts w:ascii="SimSun" w:eastAsia="SimSun" w:hAnsi="SimSun" w:cs="SimSun"/>
                <w:b/>
                <w:color w:val="000000"/>
                <w:sz w:val="40"/>
              </w:rPr>
              <w:t xml:space="preserve">项目单位自评表</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项目名称</w:t>
            </w:r>
          </w:p>
        </w:tc>
        <w:tc>
          <w:tcPr>
            <w:tcW w:w="13013" w:type="dxa"/>
            <w:gridSpan w:val="1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夏季家装行业政府消费券</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许昌市住房和城乡建设局</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实施单位</w:t>
            </w:r>
          </w:p>
        </w:tc>
        <w:tc>
          <w:tcPr>
            <w:tcW w:w="6204"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许昌市室内装饰行业发展服务中心</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全年执行数</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分值</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执行率 %</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得分</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300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300</w:t>
            </w:r>
          </w:p>
        </w:tc>
        <w:tc>
          <w:tcPr>
            <w:tcW w:w="944" w:type="dxa"/>
            <w:tcBorders>
              <w:top w:val="single" w:sz="4" w:space="0" w:color="FFFFFF"/>
              <w:left w:val="single" w:sz="4" w:space="0" w:color="FFFFFF"/>
              <w:bottom w:val="single" w:sz="4" w:space="0" w:color="FFFFFF"/>
              <w:right w:val="single" w:sz="4" w:space="0" w:color="FFFFFF"/>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300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300</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rPr>
                <w:rFonts w:ascii="Times New Roman" w:eastAsia="Times New Roman" w:hAnsi="Times New Roman" w:cs="Times New Roman"/>
                <w:sz w:val="24"/>
              </w:rPr>
            </w:pP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 情况说明</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分值</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得分</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存在问题和改进措施</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资金统一管理</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Times New Roman" w:eastAsia="Times New Roman" w:hAnsi="Times New Roman" w:cs="Times New Roman"/>
                <w:sz w:val="24"/>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按照资金拨付流程拨付</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Times New Roman" w:eastAsia="Times New Roman" w:hAnsi="Times New Roman" w:cs="Times New Roman"/>
                <w:sz w:val="24"/>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严格按照财务制度及活动方案执行</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Times New Roman" w:eastAsia="Times New Roman" w:hAnsi="Times New Roman" w:cs="Times New Roman"/>
                <w:sz w:val="24"/>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全程绩效监控，绩效管理全覆盖</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预期目标</w:t>
            </w:r>
          </w:p>
        </w:tc>
        <w:tc>
          <w:tcPr>
            <w:tcW w:w="8212"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实际完成情况</w:t>
            </w:r>
          </w:p>
        </w:tc>
      </w:tr>
      <w:tr>
        <w:tblPrEx>
          <w:tblW w:w="14869" w:type="dxa"/>
          <w:tblBorders/>
          <w:shd w:val="clear" w:color="auto" w:fill="auto"/>
          <w:tblLayout w:type="fixed"/>
          <w:tblCellMar>
            <w:top w:w="0" w:type="dxa"/>
            <w:left w:w="0" w:type="dxa"/>
            <w:bottom w:w="0" w:type="dxa"/>
            <w:right w:w="0" w:type="dxa"/>
          </w:tblCellMar>
        </w:tblPrEx>
        <w:trPr>
          <w:trHeight w:hRule="exact" w:val="90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SimSun" w:eastAsia="SimSun" w:hAnsi="SimSun" w:cs="SimSun"/>
                <w:color w:val="000000"/>
                <w:sz w:val="18"/>
              </w:rPr>
            </w:pPr>
          </w:p>
        </w:tc>
        <w:tc>
          <w:tcPr>
            <w:tcW w:w="579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按照许昌市委、市政府要求，通过家装行业惠民家居政府消费券补贴促销活动促进消费扩容提质，加快消费回升和潜力释放的统一部署，有效激发装饰装修行业消费潜力，优化家装行业的营商环境，努力打造许昌家居建材行业诚信品牌。</w:t>
            </w:r>
          </w:p>
        </w:tc>
        <w:tc>
          <w:tcPr>
            <w:tcW w:w="8212"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严格按照活动方案实施，预定目标圆满完成，政策资金全部使用，释放消费潜力，带动我市装饰行业经济发展</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绩效指标</w:t>
            </w:r>
          </w:p>
        </w:tc>
        <w:tc>
          <w:tcPr>
            <w:tcW w:w="98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一级指标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三级指标</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实际完成值</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分值</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得分</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偏差度 %</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偏差原因分析及改进措施</w:t>
            </w:r>
          </w:p>
        </w:tc>
      </w:tr>
      <w:tr>
        <w:tblPrEx>
          <w:tblW w:w="14869" w:type="dxa"/>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SimSun" w:eastAsia="SimSun" w:hAnsi="SimSun" w:cs="SimSun"/>
                <w:color w:val="000000"/>
                <w:sz w:val="18"/>
              </w:rPr>
            </w:pPr>
          </w:p>
        </w:tc>
        <w:tc>
          <w:tcPr>
            <w:tcW w:w="98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成本指标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消费券金额</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300万元</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300万元</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宣传活动开展次数</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≥1次</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1次</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Times New Roman" w:eastAsia="Times New Roman" w:hAnsi="Times New Roman" w:cs="Times New Roman"/>
                <w:sz w:val="24"/>
              </w:rPr>
            </w:pPr>
          </w:p>
        </w:tc>
        <w:tc>
          <w:tcPr>
            <w:tcW w:w="98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产出指标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活动签单数</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≥5000单</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5000单</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活动开展合规率</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合规</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活动开展及时率</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及时</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Times New Roman" w:eastAsia="Times New Roman" w:hAnsi="Times New Roman" w:cs="Times New Roman"/>
                <w:sz w:val="24"/>
              </w:rPr>
            </w:pPr>
          </w:p>
        </w:tc>
        <w:tc>
          <w:tcPr>
            <w:tcW w:w="98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效益指标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带动家装消费市场提升</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提升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15</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公众影响力</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提升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Times New Roman" w:eastAsia="Times New Roman" w:hAnsi="Times New Roman" w:cs="Times New Roman"/>
                <w:sz w:val="24"/>
              </w:rPr>
            </w:pPr>
          </w:p>
        </w:tc>
        <w:tc>
          <w:tcPr>
            <w:tcW w:w="98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满意度指标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受益对象满意度</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≥90%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90%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contextualSpacing w:val="0"/>
              <w:rPr>
                <w:rFonts w:ascii="Times New Roman" w:eastAsia="Times New Roman" w:hAnsi="Times New Roman" w:cs="Times New Roman"/>
                <w:sz w:val="24"/>
              </w:rPr>
            </w:pPr>
          </w:p>
        </w:tc>
        <w:tc>
          <w:tcPr>
            <w:tcW w:w="7798"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总分</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0ff4d841-dfec-462b-8ecc-55714f6b7e61"/>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0ff4d841-dfec-462b-8ecc-55714f6b7e61"/>
              <w:widowControl w:val="0"/>
              <w:ind w:left="0" w:right="0" w:firstLine="0"/>
              <w:contextualSpacing w:val="0"/>
              <w:rPr>
                <w:rFonts w:ascii="Times New Roman" w:eastAsia="Times New Roman" w:hAnsi="Times New Roman" w:cs="Times New Roman"/>
                <w:sz w:val="24"/>
              </w:rPr>
            </w:pPr>
          </w:p>
        </w:tc>
        <w:tc>
          <w:tcPr>
            <w:tcW w:w="98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0ff4d841-dfec-462b-8ecc-55714f6b7e61"/>
              <w:widowControl w:val="0"/>
              <w:ind w:left="0" w:right="0" w:firstLine="0"/>
              <w:contextualSpacing w:val="0"/>
              <w:rPr>
                <w:rFonts w:ascii="Times New Roman" w:eastAsia="Times New Roman" w:hAnsi="Times New Roman" w:cs="Times New Roman"/>
                <w:sz w:val="24"/>
              </w:rPr>
            </w:pPr>
          </w:p>
        </w:tc>
        <w:tc>
          <w:tcPr>
            <w:tcW w:w="115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0ff4d841-dfec-462b-8ecc-55714f6b7e61"/>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0ff4d841-dfec-462b-8ecc-55714f6b7e61"/>
              <w:widowControl w:val="0"/>
              <w:ind w:left="0" w:right="0" w:firstLine="0"/>
              <w:contextualSpacing w:val="0"/>
              <w:rPr>
                <w:rFonts w:ascii="Times New Roman" w:eastAsia="Times New Roman" w:hAnsi="Times New Roman" w:cs="Times New Roman"/>
                <w:sz w:val="24"/>
              </w:rPr>
            </w:pPr>
          </w:p>
        </w:tc>
        <w:tc>
          <w:tcPr>
            <w:tcW w:w="92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0ff4d841-dfec-462b-8ecc-55714f6b7e61"/>
              <w:widowControl w:val="0"/>
              <w:ind w:left="0" w:right="0" w:firstLine="0"/>
              <w:contextualSpacing w:val="0"/>
              <w:rPr>
                <w:rFonts w:ascii="Times New Roman" w:eastAsia="Times New Roman" w:hAnsi="Times New Roman" w:cs="Times New Roman"/>
                <w:sz w:val="24"/>
              </w:rPr>
            </w:pPr>
          </w:p>
        </w:tc>
        <w:tc>
          <w:tcPr>
            <w:tcW w:w="1634"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0ff4d841-dfec-462b-8ecc-55714f6b7e61"/>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0ff4d841-dfec-462b-8ecc-55714f6b7e61"/>
              <w:widowControl w:val="0"/>
              <w:ind w:left="0" w:right="0" w:firstLine="0"/>
              <w:contextualSpacing w:val="0"/>
              <w:rPr>
                <w:rFonts w:ascii="Times New Roman" w:eastAsia="Times New Roman" w:hAnsi="Times New Roman" w:cs="Times New Roman"/>
                <w:sz w:val="24"/>
              </w:rPr>
            </w:pPr>
          </w:p>
        </w:tc>
        <w:tc>
          <w:tcPr>
            <w:tcW w:w="92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0ff4d841-dfec-462b-8ecc-55714f6b7e61"/>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0ff4d841-dfec-462b-8ecc-55714f6b7e61"/>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0ff4d841-dfec-462b-8ecc-55714f6b7e61"/>
              <w:widowControl w:val="0"/>
              <w:ind w:left="0" w:right="0" w:firstLine="0"/>
              <w:contextualSpacing w:val="0"/>
              <w:rPr>
                <w:rFonts w:ascii="Times New Roman" w:eastAsia="Times New Roman" w:hAnsi="Times New Roman" w:cs="Times New Roman"/>
                <w:sz w:val="24"/>
              </w:rPr>
            </w:pPr>
          </w:p>
        </w:tc>
        <w:tc>
          <w:tcPr>
            <w:tcW w:w="944"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0ff4d841-dfec-462b-8ecc-55714f6b7e61"/>
              <w:widowControl w:val="0"/>
              <w:ind w:left="0" w:right="0" w:firstLine="0"/>
              <w:contextualSpacing w:val="0"/>
              <w:rPr>
                <w:rFonts w:ascii="Times New Roman" w:eastAsia="Times New Roman" w:hAnsi="Times New Roman" w:cs="Times New Roman"/>
                <w:sz w:val="24"/>
              </w:rPr>
            </w:pPr>
          </w:p>
        </w:tc>
        <w:tc>
          <w:tcPr>
            <w:tcW w:w="944"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0ff4d841-dfec-462b-8ecc-55714f6b7e61"/>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0ff4d841-dfec-462b-8ecc-55714f6b7e61"/>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0ff4d841-dfec-462b-8ecc-55714f6b7e61"/>
              <w:widowControl w:val="0"/>
              <w:ind w:left="0" w:right="0" w:firstLine="0"/>
              <w:contextualSpacing w:val="0"/>
              <w:rPr>
                <w:rFonts w:ascii="Times New Roman" w:eastAsia="Times New Roman" w:hAnsi="Times New Roman" w:cs="Times New Roman"/>
                <w:sz w:val="24"/>
              </w:rPr>
            </w:pPr>
          </w:p>
        </w:tc>
      </w:tr>
    </w:tbl>
    <w:p>
      <w:pPr>
        <w:sectPr>
          <w:type w:val="nextPage"/>
          <w:pgSz w:w="20409" w:h="85039"/>
          <w:pgMar w:top="388" w:right="1080" w:bottom="388" w:left="1080" w:header="720" w:footer="720" w:gutter="0"/>
          <w:pgBorders/>
          <w:cols w:sep="0" w:equalWidth="1"/>
          <w:vAlign w:val="top"/>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8"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152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0ff4d841-dfec-462b-8ecc-55714f6b7e61">
    <w:name w:val="Normal_0ff4d841-dfec-462b-8ecc-55714f6b7e61"/>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9f8c2f61-8542-45cd-9838-d4b79402d748">
    <w:name w:val="Normal Table_9f8c2f61-8542-45cd-9838-d4b79402d748"/>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