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textAlignment w:val="auto"/>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textAlignment w:val="auto"/>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许昌市城市管理执法支队单位决算</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textAlignment w:val="auto"/>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textAlignment w:val="auto"/>
      </w:pPr>
      <w:r>
        <w:rPr>
          <w:rFonts w:hint="eastAsia" w:ascii="黑体" w:hAnsi="宋体" w:eastAsia="黑体" w:cs="黑体"/>
          <w:kern w:val="2"/>
          <w:sz w:val="32"/>
          <w:szCs w:val="32"/>
          <w:lang w:val="en-US" w:eastAsia="zh-CN"/>
        </w:rPr>
        <w:t>二〇二四年九月</w:t>
      </w:r>
    </w:p>
    <w:p>
      <w:pPr>
        <w:keepNext w:val="0"/>
        <w:keepLines w:val="0"/>
        <w:pageBreakBefore w:val="0"/>
        <w:widowControl w:val="0"/>
        <w:kinsoku/>
        <w:overflowPunct/>
        <w:topLinePunct w:val="0"/>
        <w:autoSpaceDN/>
        <w:bidi w:val="0"/>
        <w:adjustRightInd/>
        <w:textAlignment w:val="auto"/>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textAlignment w:val="auto"/>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许昌市城市管理执法支队概况</w:t>
      </w:r>
    </w:p>
    <w:p>
      <w:pPr>
        <w:keepNext w:val="0"/>
        <w:keepLines w:val="0"/>
        <w:pageBreakBefore w:val="0"/>
        <w:widowControl w:val="0"/>
        <w:numPr>
          <w:ilvl w:val="0"/>
          <w:numId w:val="1"/>
        </w:numPr>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pageBreakBefore w:val="0"/>
        <w:widowControl w:val="0"/>
        <w:numPr>
          <w:ilvl w:val="0"/>
          <w:numId w:val="1"/>
        </w:numPr>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ind w:left="0" w:right="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pageBreakBefore w:val="0"/>
        <w:widowControl w:val="0"/>
        <w:kinsoku/>
        <w:overflowPunct/>
        <w:topLinePunct w:val="0"/>
        <w:autoSpaceDN/>
        <w:bidi w:val="0"/>
        <w:adjustRightInd/>
        <w:textAlignment w:val="auto"/>
        <w:rPr>
          <w:rFonts w:hint="eastAsia"/>
          <w:lang w:val="en-US" w:eastAsia="zh-CN"/>
        </w:rPr>
      </w:pPr>
    </w:p>
    <w:p>
      <w:pPr>
        <w:keepNext w:val="0"/>
        <w:keepLines w:val="0"/>
        <w:pageBreakBefore w:val="0"/>
        <w:widowControl w:val="0"/>
        <w:kinsoku/>
        <w:overflowPunct/>
        <w:topLinePunct w:val="0"/>
        <w:autoSpaceDN/>
        <w:bidi w:val="0"/>
        <w:adjustRightInd/>
        <w:textAlignment w:val="auto"/>
        <w:rPr>
          <w:rFonts w:hint="eastAsia"/>
          <w:lang w:val="en-US" w:eastAsia="zh-CN"/>
        </w:rPr>
      </w:pPr>
    </w:p>
    <w:p>
      <w:pPr>
        <w:keepNext w:val="0"/>
        <w:keepLines w:val="0"/>
        <w:pageBreakBefore w:val="0"/>
        <w:widowControl w:val="0"/>
        <w:kinsoku/>
        <w:overflowPunct/>
        <w:topLinePunct w:val="0"/>
        <w:autoSpaceDN/>
        <w:bidi w:val="0"/>
        <w:adjustRightInd/>
        <w:textAlignment w:val="auto"/>
        <w:rPr>
          <w:rFonts w:hint="eastAsia"/>
          <w:lang w:val="en-US" w:eastAsia="zh-CN"/>
        </w:rPr>
      </w:pPr>
    </w:p>
    <w:p>
      <w:pPr>
        <w:keepNext w:val="0"/>
        <w:keepLines w:val="0"/>
        <w:pageBreakBefore w:val="0"/>
        <w:widowControl w:val="0"/>
        <w:kinsoku/>
        <w:overflowPunct/>
        <w:topLinePunct w:val="0"/>
        <w:autoSpaceDN/>
        <w:bidi w:val="0"/>
        <w:adjustRightInd/>
        <w:textAlignment w:val="auto"/>
        <w:rPr>
          <w:rFonts w:hint="eastAsia"/>
          <w:lang w:val="en-US" w:eastAsia="zh-CN"/>
        </w:rPr>
      </w:pPr>
    </w:p>
    <w:p>
      <w:pPr>
        <w:keepNext w:val="0"/>
        <w:keepLines w:val="0"/>
        <w:pageBreakBefore w:val="0"/>
        <w:widowControl w:val="0"/>
        <w:kinsoku/>
        <w:overflowPunct/>
        <w:topLinePunct w:val="0"/>
        <w:autoSpaceDN/>
        <w:bidi w:val="0"/>
        <w:adjustRightInd/>
        <w:textAlignment w:val="auto"/>
        <w:rPr>
          <w:rFonts w:hint="eastAsia"/>
          <w:lang w:val="en-US" w:eastAsia="zh-CN"/>
        </w:rPr>
      </w:pPr>
    </w:p>
    <w:p>
      <w:pPr>
        <w:keepNext w:val="0"/>
        <w:keepLines w:val="0"/>
        <w:pageBreakBefore w:val="0"/>
        <w:widowControl w:val="0"/>
        <w:kinsoku/>
        <w:overflowPunct/>
        <w:topLinePunct w:val="0"/>
        <w:autoSpaceDN/>
        <w:bidi w:val="0"/>
        <w:adjustRightInd/>
        <w:textAlignment w:val="auto"/>
        <w:rPr>
          <w:rFonts w:hint="eastAsia"/>
          <w:lang w:val="en-US" w:eastAsia="zh-CN"/>
        </w:rPr>
      </w:pPr>
    </w:p>
    <w:p>
      <w:pPr>
        <w:keepNext w:val="0"/>
        <w:keepLines w:val="0"/>
        <w:pageBreakBefore w:val="0"/>
        <w:widowControl w:val="0"/>
        <w:kinsoku/>
        <w:overflowPunct/>
        <w:topLinePunct w:val="0"/>
        <w:autoSpaceDN/>
        <w:bidi w:val="0"/>
        <w:adjustRightInd/>
        <w:textAlignment w:val="auto"/>
        <w:rPr>
          <w:rFonts w:hint="eastAsia"/>
          <w:lang w:val="en-US" w:eastAsia="zh-CN"/>
        </w:rPr>
      </w:pPr>
    </w:p>
    <w:p>
      <w:pPr>
        <w:keepNext w:val="0"/>
        <w:keepLines w:val="0"/>
        <w:pageBreakBefore w:val="0"/>
        <w:widowControl w:val="0"/>
        <w:kinsoku/>
        <w:overflowPunct/>
        <w:topLinePunct w:val="0"/>
        <w:autoSpaceDN/>
        <w:bidi w:val="0"/>
        <w:adjustRightInd/>
        <w:textAlignment w:val="auto"/>
        <w:rPr>
          <w:rFonts w:hint="eastAsia"/>
          <w:lang w:val="en-US" w:eastAsia="zh-CN"/>
        </w:rPr>
      </w:pPr>
    </w:p>
    <w:p>
      <w:pPr>
        <w:keepNext w:val="0"/>
        <w:keepLines w:val="0"/>
        <w:pageBreakBefore w:val="0"/>
        <w:widowControl w:val="0"/>
        <w:kinsoku/>
        <w:overflowPunct/>
        <w:topLinePunct w:val="0"/>
        <w:autoSpaceDN/>
        <w:bidi w:val="0"/>
        <w:adjustRightInd/>
        <w:textAlignment w:val="auto"/>
        <w:rPr>
          <w:rFonts w:hint="eastAsia"/>
          <w:lang w:val="en-US" w:eastAsia="zh-CN"/>
        </w:rPr>
      </w:pPr>
    </w:p>
    <w:p>
      <w:pPr>
        <w:keepNext w:val="0"/>
        <w:keepLines w:val="0"/>
        <w:pageBreakBefore w:val="0"/>
        <w:widowControl w:val="0"/>
        <w:kinsoku/>
        <w:overflowPunct/>
        <w:topLinePunct w:val="0"/>
        <w:autoSpaceDN/>
        <w:bidi w:val="0"/>
        <w:adjustRightInd/>
        <w:textAlignment w:val="auto"/>
        <w:rPr>
          <w:rFonts w:hint="eastAsia"/>
          <w:lang w:val="en-US" w:eastAsia="zh-CN"/>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textAlignment w:val="auto"/>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许昌市城市管理执法支队概况</w:t>
      </w:r>
    </w:p>
    <w:p>
      <w:pPr>
        <w:keepNext w:val="0"/>
        <w:keepLines w:val="0"/>
        <w:pageBreakBefore w:val="0"/>
        <w:widowControl w:val="0"/>
        <w:kinsoku/>
        <w:overflowPunct/>
        <w:topLinePunct w:val="0"/>
        <w:autoSpaceDN/>
        <w:bidi w:val="0"/>
        <w:adjustRightInd/>
        <w:textAlignment w:val="auto"/>
        <w:rPr>
          <w:rFonts w:hint="eastAsia"/>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firstLine="640" w:firstLineChars="200"/>
        <w:jc w:val="left"/>
        <w:textAlignment w:val="auto"/>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firstLine="640" w:firstLineChars="200"/>
        <w:jc w:val="left"/>
        <w:textAlignment w:val="auto"/>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(一）负责全市城市管理综合执法的统筹协调、组织调度和监督考核，负责市级承担的城市管理综合执法事项、跨区域及重大复杂违法违规案件的查纠；</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(二）住房城乡建设领域法律法规规章规定的全部行政处罚权（含市容市貌管理方面的行政处罚权）；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(三）环境保护管理方面社会噪声污染、建筑施工噪声污染、建筑施工扬尘污染、餐饮服务业油烟污染、露天烧烤污染、城市焚烧沥青塑料垃圾等烟尘和恶臭污染、露天焚烧秸秆落叶等烟尘污染的行政处罚权；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(四）工商管理方面户外公共场所无照经营、违规设置户外广告的行政处罚权；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(五）食品药品监管方面户外公共场所食品销售和餐饮摊点无证经营的行政处罚权。</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firstLine="640" w:firstLineChars="200"/>
        <w:jc w:val="left"/>
        <w:textAlignment w:val="auto"/>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城市管理执法支队内设机构11个,包括：市容执法一大队、市容执法二大队、市容执法三大队、城市空间管理执法大队、住房建设执法大队、城乡规划执法大队、固体废弃物与园林绿化执法大队和综合科、法制审核科、督查应急科、计财装备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从决算单位构成看，许昌市城市管理执法支队单位决算包括：本级决算（1个）。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许昌市城市管理执法支队</w:t>
      </w:r>
    </w:p>
    <w:p>
      <w:pPr>
        <w:keepNext w:val="0"/>
        <w:keepLines w:val="0"/>
        <w:pageBreakBefore w:val="0"/>
        <w:widowControl w:val="0"/>
        <w:kinsoku/>
        <w:overflowPunct/>
        <w:topLinePunct w:val="0"/>
        <w:autoSpaceDN/>
        <w:bidi w:val="0"/>
        <w:adjustRightInd/>
        <w:textAlignment w:val="auto"/>
        <w:rPr>
          <w:rFonts w:hint="eastAsia"/>
          <w:lang w:val="en-US" w:eastAsia="zh-CN"/>
        </w:rPr>
      </w:pPr>
    </w:p>
    <w:p>
      <w:pPr>
        <w:keepNext w:val="0"/>
        <w:keepLines w:val="0"/>
        <w:pageBreakBefore w:val="0"/>
        <w:widowControl w:val="0"/>
        <w:kinsoku/>
        <w:overflowPunct/>
        <w:topLinePunct w:val="0"/>
        <w:autoSpaceDN/>
        <w:bidi w:val="0"/>
        <w:adjustRightInd/>
        <w:textAlignment w:val="auto"/>
        <w:rPr>
          <w:rFonts w:hint="eastAsia"/>
          <w:lang w:val="en-US" w:eastAsia="zh-CN"/>
        </w:rPr>
      </w:pPr>
    </w:p>
    <w:p>
      <w:pPr>
        <w:keepNext w:val="0"/>
        <w:keepLines w:val="0"/>
        <w:pageBreakBefore w:val="0"/>
        <w:widowControl w:val="0"/>
        <w:kinsoku/>
        <w:overflowPunct/>
        <w:topLinePunct w:val="0"/>
        <w:autoSpaceDN/>
        <w:bidi w:val="0"/>
        <w:adjustRightInd/>
        <w:textAlignment w:val="auto"/>
        <w:rPr>
          <w:rFonts w:hint="default"/>
          <w:lang w:val="en-US" w:eastAsia="zh-CN"/>
        </w:rPr>
      </w:pPr>
    </w:p>
    <w:p>
      <w:pPr>
        <w:keepNext w:val="0"/>
        <w:keepLines w:val="0"/>
        <w:pageBreakBefore w:val="0"/>
        <w:widowControl w:val="0"/>
        <w:kinsoku/>
        <w:overflowPunct/>
        <w:topLinePunct w:val="0"/>
        <w:autoSpaceDN/>
        <w:bidi w:val="0"/>
        <w:adjustRightInd/>
        <w:textAlignment w:val="auto"/>
        <w:rPr>
          <w:rFonts w:hint="eastAsia"/>
          <w:lang w:val="en-US" w:eastAsia="zh-CN"/>
        </w:rPr>
      </w:pPr>
      <w:r>
        <w:rPr>
          <w:rFonts w:hint="eastAsia"/>
          <w:lang w:val="en-US" w:eastAsia="zh-CN"/>
        </w:rPr>
        <w:t xml:space="preserve"> </w:t>
      </w:r>
    </w:p>
    <w:p>
      <w:pPr>
        <w:keepNext w:val="0"/>
        <w:keepLines w:val="0"/>
        <w:pageBreakBefore w:val="0"/>
        <w:widowControl w:val="0"/>
        <w:kinsoku/>
        <w:overflowPunct/>
        <w:topLinePunct w:val="0"/>
        <w:autoSpaceDN/>
        <w:bidi w:val="0"/>
        <w:adjustRightInd/>
        <w:textAlignment w:val="auto"/>
        <w:rPr>
          <w:rFonts w:hint="eastAsia"/>
        </w:rPr>
      </w:pPr>
      <w:r>
        <w:rPr>
          <w:rFonts w:hint="eastAsia"/>
          <w:lang w:val="en-US" w:eastAsia="zh-CN"/>
        </w:rPr>
        <w:t xml:space="preserve"> </w:t>
      </w:r>
    </w:p>
    <w:p>
      <w:pPr>
        <w:keepNext w:val="0"/>
        <w:keepLines w:val="0"/>
        <w:pageBreakBefore w:val="0"/>
        <w:widowControl w:val="0"/>
        <w:kinsoku/>
        <w:overflowPunct/>
        <w:topLinePunct w:val="0"/>
        <w:autoSpaceDN/>
        <w:bidi w:val="0"/>
        <w:adjustRightInd/>
        <w:textAlignment w:val="auto"/>
        <w:rPr>
          <w:rFonts w:hint="eastAsia"/>
        </w:rPr>
      </w:pPr>
      <w:r>
        <w:rPr>
          <w:rFonts w:hint="eastAsia"/>
          <w:lang w:val="en-US" w:eastAsia="zh-CN"/>
        </w:rPr>
        <w:t xml:space="preserve"> </w:t>
      </w:r>
    </w:p>
    <w:p>
      <w:pPr>
        <w:keepNext w:val="0"/>
        <w:keepLines w:val="0"/>
        <w:pageBreakBefore w:val="0"/>
        <w:widowControl w:val="0"/>
        <w:kinsoku/>
        <w:overflowPunct/>
        <w:topLinePunct w:val="0"/>
        <w:autoSpaceDN/>
        <w:bidi w:val="0"/>
        <w:adjustRightInd/>
        <w:textAlignment w:val="auto"/>
        <w:rPr>
          <w:rFonts w:hint="eastAsia"/>
        </w:rPr>
      </w:pPr>
      <w:r>
        <w:rPr>
          <w:rFonts w:hint="eastAsia"/>
          <w:lang w:val="en-US" w:eastAsia="zh-CN"/>
        </w:rPr>
        <w:t xml:space="preserve"> </w:t>
      </w:r>
    </w:p>
    <w:p>
      <w:pPr>
        <w:keepNext w:val="0"/>
        <w:keepLines w:val="0"/>
        <w:pageBreakBefore w:val="0"/>
        <w:widowControl w:val="0"/>
        <w:kinsoku/>
        <w:overflowPunct/>
        <w:topLinePunct w:val="0"/>
        <w:autoSpaceDN/>
        <w:bidi w:val="0"/>
        <w:adjustRightInd/>
        <w:textAlignment w:val="auto"/>
        <w:rPr>
          <w:rFonts w:hint="eastAsia"/>
        </w:rPr>
      </w:pPr>
      <w:r>
        <w:rPr>
          <w:rFonts w:hint="eastAsia"/>
          <w:lang w:val="en-US" w:eastAsia="zh-CN"/>
        </w:rPr>
        <w:t xml:space="preserve"> </w:t>
      </w:r>
    </w:p>
    <w:p>
      <w:pPr>
        <w:keepNext w:val="0"/>
        <w:keepLines w:val="0"/>
        <w:pageBreakBefore w:val="0"/>
        <w:widowControl w:val="0"/>
        <w:kinsoku/>
        <w:overflowPunct/>
        <w:topLinePunct w:val="0"/>
        <w:autoSpaceDN/>
        <w:bidi w:val="0"/>
        <w:adjustRightInd/>
        <w:textAlignment w:val="auto"/>
        <w:rPr>
          <w:rFonts w:hint="eastAsia"/>
        </w:rPr>
      </w:pPr>
      <w:r>
        <w:rPr>
          <w:rFonts w:hint="eastAsia"/>
          <w:lang w:val="en-US" w:eastAsia="zh-CN"/>
        </w:rPr>
        <w:t xml:space="preserve"> </w:t>
      </w:r>
    </w:p>
    <w:p>
      <w:pPr>
        <w:keepNext w:val="0"/>
        <w:keepLines w:val="0"/>
        <w:pageBreakBefore w:val="0"/>
        <w:widowControl w:val="0"/>
        <w:kinsoku/>
        <w:overflowPunct/>
        <w:topLinePunct w:val="0"/>
        <w:autoSpaceDN/>
        <w:bidi w:val="0"/>
        <w:adjustRightInd/>
        <w:textAlignment w:val="auto"/>
        <w:rPr>
          <w:rFonts w:hint="eastAsia"/>
        </w:rPr>
      </w:pPr>
      <w:r>
        <w:rPr>
          <w:rFonts w:hint="eastAsia"/>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textAlignment w:val="auto"/>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keepNext w:val="0"/>
        <w:keepLines w:val="0"/>
        <w:pageBreakBefore w:val="0"/>
        <w:widowControl w:val="0"/>
        <w:kinsoku/>
        <w:overflowPunct/>
        <w:topLinePunct w:val="0"/>
        <w:autoSpaceDN/>
        <w:bidi w:val="0"/>
        <w:adjustRightInd/>
        <w:jc w:val="center"/>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sz w:val="20"/>
              </w:rPr>
              <w:t>单位：许昌市城市管理执法支队</w:t>
            </w:r>
          </w:p>
        </w:tc>
        <w:tc>
          <w:tcPr>
            <w:tcW w:w="2000" w:type="dxa"/>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收入</w:t>
            </w:r>
          </w:p>
        </w:tc>
        <w:tc>
          <w:tcPr>
            <w:tcW w:w="4160" w:type="dxa"/>
            <w:gridSpan w:val="3"/>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项目</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行次</w:t>
            </w:r>
          </w:p>
        </w:tc>
        <w:tc>
          <w:tcPr>
            <w:tcW w:w="222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金额</w:t>
            </w:r>
          </w:p>
        </w:tc>
        <w:tc>
          <w:tcPr>
            <w:tcW w:w="4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项目</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行次</w:t>
            </w:r>
          </w:p>
        </w:tc>
        <w:tc>
          <w:tcPr>
            <w:tcW w:w="2218"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栏次</w:t>
            </w:r>
          </w:p>
        </w:tc>
        <w:tc>
          <w:tcPr>
            <w:tcW w:w="600" w:type="dxa"/>
            <w:vAlign w:val="center"/>
          </w:tcPr>
          <w:p>
            <w:pPr>
              <w:keepNext w:val="0"/>
              <w:keepLines w:val="0"/>
              <w:pageBreakBefore w:val="0"/>
              <w:widowControl w:val="0"/>
              <w:kinsoku/>
              <w:overflowPunct/>
              <w:topLinePunct w:val="0"/>
              <w:autoSpaceDN/>
              <w:bidi w:val="0"/>
              <w:adjustRightInd/>
              <w:textAlignment w:val="auto"/>
            </w:pPr>
          </w:p>
        </w:tc>
        <w:tc>
          <w:tcPr>
            <w:tcW w:w="222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1</w:t>
            </w:r>
          </w:p>
        </w:tc>
        <w:tc>
          <w:tcPr>
            <w:tcW w:w="4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栏次</w:t>
            </w:r>
          </w:p>
        </w:tc>
        <w:tc>
          <w:tcPr>
            <w:tcW w:w="600" w:type="dxa"/>
            <w:vAlign w:val="center"/>
          </w:tcPr>
          <w:p>
            <w:pPr>
              <w:keepNext w:val="0"/>
              <w:keepLines w:val="0"/>
              <w:pageBreakBefore w:val="0"/>
              <w:widowControl w:val="0"/>
              <w:kinsoku/>
              <w:overflowPunct/>
              <w:topLinePunct w:val="0"/>
              <w:autoSpaceDN/>
              <w:bidi w:val="0"/>
              <w:adjustRightInd/>
              <w:textAlignment w:val="auto"/>
            </w:pPr>
          </w:p>
        </w:tc>
        <w:tc>
          <w:tcPr>
            <w:tcW w:w="2218"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一、一般公共预算财政拨款收入</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1</w:t>
            </w:r>
          </w:p>
        </w:tc>
        <w:tc>
          <w:tcPr>
            <w:tcW w:w="22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2,721.20</w:t>
            </w: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一、一般公共服务支出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32</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1,836.92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二、政府性基金预算财政拨款收入</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2</w:t>
            </w:r>
          </w:p>
        </w:tc>
        <w:tc>
          <w:tcPr>
            <w:tcW w:w="22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二、外交支出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33</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三、国有资本经营预算财政拨款收入</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3</w:t>
            </w:r>
          </w:p>
        </w:tc>
        <w:tc>
          <w:tcPr>
            <w:tcW w:w="22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三、国防支出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34</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四、上级补助收入</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4</w:t>
            </w:r>
          </w:p>
        </w:tc>
        <w:tc>
          <w:tcPr>
            <w:tcW w:w="22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四、公共安全支出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35</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五、事业收入</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5</w:t>
            </w:r>
          </w:p>
        </w:tc>
        <w:tc>
          <w:tcPr>
            <w:tcW w:w="22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五、教育支出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36</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六、经营收入</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6</w:t>
            </w:r>
          </w:p>
        </w:tc>
        <w:tc>
          <w:tcPr>
            <w:tcW w:w="22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六、科学技术支出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37</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七、附属单位上缴收入</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7</w:t>
            </w:r>
          </w:p>
        </w:tc>
        <w:tc>
          <w:tcPr>
            <w:tcW w:w="22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七、文化旅游体育与传媒支出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38</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八、其他收入</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8</w:t>
            </w:r>
          </w:p>
        </w:tc>
        <w:tc>
          <w:tcPr>
            <w:tcW w:w="22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0.54</w:t>
            </w: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八、社会保障和就业支出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39</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410.65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9</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九、卫生健康支出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40</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120.88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10</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十、节能环保支出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41</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8.90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11</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十一、城乡社区支出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42</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240.15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12</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十二、农林水支出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43</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13</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十三、交通运输支出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44</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14</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十四、资源勘探工业信息等支出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45</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15</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十五、商业服务业等支出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46</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16</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十六、金融支出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47</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17</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十七、援助其他地区支出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48</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18</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十八、自然资源海洋气象等支出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49</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19</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十九、住房保障支出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50</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112.58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20</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二十、粮油物资储备支出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51</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21</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二十一、国有资本经营预算支出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52</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22</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二十二、灾害防治及应急管理支出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53</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23</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二十三、其他支出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54</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24</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二十四、债务还本支出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55</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25</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二十五、债务付息支出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56</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26</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二十六、抗疫特别国债安排的支出</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57</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i w:val="0"/>
                <w:color w:val="000000"/>
                <w:sz w:val="21"/>
              </w:rPr>
              <w:t>本年收入合计</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27</w:t>
            </w:r>
          </w:p>
        </w:tc>
        <w:tc>
          <w:tcPr>
            <w:tcW w:w="22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2,721.73</w:t>
            </w:r>
          </w:p>
        </w:tc>
        <w:tc>
          <w:tcPr>
            <w:tcW w:w="4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i w:val="0"/>
                <w:color w:val="000000"/>
                <w:sz w:val="21"/>
              </w:rPr>
              <w:t>本年支出合计</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58</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2,730.10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使用非财政拨款结余和专用结余</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28</w:t>
            </w:r>
          </w:p>
        </w:tc>
        <w:tc>
          <w:tcPr>
            <w:tcW w:w="22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w:t>
            </w: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结余分配</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59</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年初结转和结余</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29</w:t>
            </w:r>
          </w:p>
        </w:tc>
        <w:tc>
          <w:tcPr>
            <w:tcW w:w="22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9.33</w:t>
            </w:r>
          </w:p>
        </w:tc>
        <w:tc>
          <w:tcPr>
            <w:tcW w:w="41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1"/>
              </w:rPr>
              <w:t>年末结转和结余</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60</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0.43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30</w:t>
            </w:r>
          </w:p>
        </w:tc>
        <w:tc>
          <w:tcPr>
            <w:tcW w:w="2220" w:type="dxa"/>
            <w:vAlign w:val="center"/>
          </w:tcPr>
          <w:p>
            <w:pPr>
              <w:keepNext w:val="0"/>
              <w:keepLines w:val="0"/>
              <w:pageBreakBefore w:val="0"/>
              <w:widowControl w:val="0"/>
              <w:kinsoku/>
              <w:overflowPunct/>
              <w:topLinePunct w:val="0"/>
              <w:autoSpaceDN/>
              <w:bidi w:val="0"/>
              <w:adjustRightInd/>
              <w:textAlignment w:val="auto"/>
            </w:pPr>
          </w:p>
        </w:tc>
        <w:tc>
          <w:tcPr>
            <w:tcW w:w="4160" w:type="dxa"/>
            <w:vAlign w:val="center"/>
          </w:tcPr>
          <w:p>
            <w:pPr>
              <w:keepNext w:val="0"/>
              <w:keepLines w:val="0"/>
              <w:pageBreakBefore w:val="0"/>
              <w:widowControl w:val="0"/>
              <w:kinsoku/>
              <w:overflowPunct/>
              <w:topLinePunct w:val="0"/>
              <w:autoSpaceDN/>
              <w:bidi w:val="0"/>
              <w:adjustRightInd/>
              <w:textAlignment w:val="auto"/>
            </w:pP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61</w:t>
            </w:r>
          </w:p>
        </w:tc>
        <w:tc>
          <w:tcPr>
            <w:tcW w:w="2218" w:type="dxa"/>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i w:val="0"/>
                <w:color w:val="000000"/>
                <w:sz w:val="21"/>
              </w:rPr>
              <w:t>总计</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31</w:t>
            </w:r>
          </w:p>
        </w:tc>
        <w:tc>
          <w:tcPr>
            <w:tcW w:w="22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2,731.07</w:t>
            </w:r>
          </w:p>
        </w:tc>
        <w:tc>
          <w:tcPr>
            <w:tcW w:w="4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i w:val="0"/>
                <w:color w:val="000000"/>
                <w:sz w:val="21"/>
              </w:rPr>
              <w:t>总计</w:t>
            </w:r>
          </w:p>
        </w:tc>
        <w:tc>
          <w:tcPr>
            <w:tcW w:w="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1"/>
              </w:rPr>
              <w:t>62</w:t>
            </w:r>
          </w:p>
        </w:tc>
        <w:tc>
          <w:tcPr>
            <w:tcW w:w="221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1"/>
              </w:rPr>
              <w:t>2,731.07</w:t>
            </w: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p>
      <w:pPr>
        <w:keepNext w:val="0"/>
        <w:keepLines w:val="0"/>
        <w:pageBreakBefore w:val="0"/>
        <w:widowControl w:val="0"/>
        <w:kinsoku/>
        <w:overflowPunct/>
        <w:topLinePunct w:val="0"/>
        <w:autoSpaceDN/>
        <w:bidi w:val="0"/>
        <w:adjustRightInd/>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keepNext w:val="0"/>
        <w:keepLines w:val="0"/>
        <w:pageBreakBefore w:val="0"/>
        <w:widowControl w:val="0"/>
        <w:kinsoku/>
        <w:overflowPunct/>
        <w:topLinePunct w:val="0"/>
        <w:autoSpaceDN/>
        <w:bidi w:val="0"/>
        <w:adjustRightInd/>
        <w:jc w:val="left"/>
        <w:textAlignment w:val="auto"/>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keepNext w:val="0"/>
        <w:keepLines w:val="0"/>
        <w:pageBreakBefore w:val="0"/>
        <w:widowControl w:val="0"/>
        <w:kinsoku/>
        <w:overflowPunct/>
        <w:topLinePunct w:val="0"/>
        <w:autoSpaceDN/>
        <w:bidi w:val="0"/>
        <w:adjustRightInd/>
        <w:jc w:val="left"/>
        <w:textAlignment w:val="auto"/>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pageBreakBefore w:val="0"/>
        <w:widowControl w:val="0"/>
        <w:kinsoku/>
        <w:overflowPunct/>
        <w:topLinePunct w:val="0"/>
        <w:autoSpaceDN/>
        <w:bidi w:val="0"/>
        <w:adjustRightInd/>
        <w:jc w:val="center"/>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sz w:val="20"/>
              </w:rPr>
              <w:t>单位：许昌市城市管理执法支队</w:t>
            </w:r>
          </w:p>
        </w:tc>
        <w:tc>
          <w:tcPr>
            <w:tcW w:w="2000" w:type="dxa"/>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项目</w:t>
            </w:r>
          </w:p>
        </w:tc>
        <w:tc>
          <w:tcPr>
            <w:tcW w:w="144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本年收入合计</w:t>
            </w:r>
          </w:p>
        </w:tc>
        <w:tc>
          <w:tcPr>
            <w:tcW w:w="144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财政拨款收入</w:t>
            </w:r>
          </w:p>
        </w:tc>
        <w:tc>
          <w:tcPr>
            <w:tcW w:w="144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上级补助收入</w:t>
            </w:r>
          </w:p>
        </w:tc>
        <w:tc>
          <w:tcPr>
            <w:tcW w:w="144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事业收入</w:t>
            </w:r>
          </w:p>
        </w:tc>
        <w:tc>
          <w:tcPr>
            <w:tcW w:w="144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经营收入</w:t>
            </w:r>
          </w:p>
        </w:tc>
        <w:tc>
          <w:tcPr>
            <w:tcW w:w="144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附属单位上缴收入</w:t>
            </w:r>
          </w:p>
        </w:tc>
        <w:tc>
          <w:tcPr>
            <w:tcW w:w="1398"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科目代码</w:t>
            </w:r>
          </w:p>
        </w:tc>
        <w:tc>
          <w:tcPr>
            <w:tcW w:w="314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科目名称</w:t>
            </w: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398" w:type="dxa"/>
            <w:vMerge w:val="continue"/>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31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398" w:type="dxa"/>
            <w:vMerge w:val="continue"/>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31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4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398" w:type="dxa"/>
            <w:vMerge w:val="continue"/>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栏次</w:t>
            </w:r>
          </w:p>
        </w:tc>
        <w:tc>
          <w:tcPr>
            <w:tcW w:w="144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1</w:t>
            </w:r>
          </w:p>
        </w:tc>
        <w:tc>
          <w:tcPr>
            <w:tcW w:w="144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2</w:t>
            </w:r>
          </w:p>
        </w:tc>
        <w:tc>
          <w:tcPr>
            <w:tcW w:w="144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3</w:t>
            </w:r>
          </w:p>
        </w:tc>
        <w:tc>
          <w:tcPr>
            <w:tcW w:w="144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4</w:t>
            </w:r>
          </w:p>
        </w:tc>
        <w:tc>
          <w:tcPr>
            <w:tcW w:w="144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5</w:t>
            </w:r>
          </w:p>
        </w:tc>
        <w:tc>
          <w:tcPr>
            <w:tcW w:w="144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6</w:t>
            </w:r>
          </w:p>
        </w:tc>
        <w:tc>
          <w:tcPr>
            <w:tcW w:w="1398"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合计</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i w:val="0"/>
                <w:color w:val="000000"/>
                <w:sz w:val="17"/>
              </w:rPr>
              <w:t>2,721.73</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i w:val="0"/>
                <w:color w:val="000000"/>
                <w:sz w:val="17"/>
              </w:rPr>
              <w:t>2,721.20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i w:val="0"/>
                <w:color w:val="000000"/>
                <w:sz w:val="17"/>
              </w:rPr>
              <w:t>0.54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201</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一般公共服务支出</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1,836.92</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1,836.92</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20101</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人大事务</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1,720.02</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1,720.02</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2010101</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行政运行</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1,720.02</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1,720.02</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20129</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群众团体事务</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10.23</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10.23</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2012906</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工会事务</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10.23</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10.23</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20199</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其他一般公共服务支出</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106.67</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106.67</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2019999</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其他一般公共服务支出</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106.67</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106.67</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208</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社会保障和就业支出</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410.65</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410.65</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20805</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行政事业单位养老支出</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410.65</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410.65</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2080501</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行政单位离退休</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294.85</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294.85</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2080505</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机关事业单位基本养老保险缴费支出</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115.80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115.80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210</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卫生健康支出</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120.88</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120.88</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21011</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行政事业单位医疗</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120.88</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120.88</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2101101</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行政单位医疗</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54.55</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54.55</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2101102</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事业单位医疗</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2.71</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2.71</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2101103</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公务员医疗补助</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63.62</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63.62</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212</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城乡社区支出</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240.69</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240.15</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21201</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城乡社区管理事务</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240.69</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240.15</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2120101</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行政运行</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164.45</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163.91</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2120102</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一般行政管理事务</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76.25</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76.25</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221</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住房保障支出</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112.58</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112.58</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22102</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住房改革支出</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112.58</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112.58</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2210201</w:t>
            </w:r>
          </w:p>
        </w:tc>
        <w:tc>
          <w:tcPr>
            <w:tcW w:w="314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7"/>
              </w:rPr>
              <w:t>住房公积金</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112.58</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112.58</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44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3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p>
      <w:pPr>
        <w:keepNext w:val="0"/>
        <w:keepLines w:val="0"/>
        <w:pageBreakBefore w:val="0"/>
        <w:widowControl w:val="0"/>
        <w:kinsoku/>
        <w:overflowPunct/>
        <w:topLinePunct w:val="0"/>
        <w:autoSpaceDN/>
        <w:bidi w:val="0"/>
        <w:adjustRightInd/>
        <w:jc w:val="left"/>
        <w:textAlignment w:val="auto"/>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keepNext w:val="0"/>
        <w:keepLines w:val="0"/>
        <w:pageBreakBefore w:val="0"/>
        <w:widowControl w:val="0"/>
        <w:kinsoku/>
        <w:overflowPunct/>
        <w:topLinePunct w:val="0"/>
        <w:autoSpaceDN/>
        <w:bidi w:val="0"/>
        <w:adjustRightInd/>
        <w:jc w:val="center"/>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sz w:val="20"/>
              </w:rPr>
              <w:t>单位：许昌市城市管理执法支队</w:t>
            </w:r>
          </w:p>
        </w:tc>
        <w:tc>
          <w:tcPr>
            <w:tcW w:w="2000" w:type="dxa"/>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项目</w:t>
            </w:r>
          </w:p>
        </w:tc>
        <w:tc>
          <w:tcPr>
            <w:tcW w:w="160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本年支出合计</w:t>
            </w:r>
          </w:p>
        </w:tc>
        <w:tc>
          <w:tcPr>
            <w:tcW w:w="160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基本支出</w:t>
            </w:r>
          </w:p>
        </w:tc>
        <w:tc>
          <w:tcPr>
            <w:tcW w:w="160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项目支出</w:t>
            </w:r>
          </w:p>
        </w:tc>
        <w:tc>
          <w:tcPr>
            <w:tcW w:w="160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上缴上级支出</w:t>
            </w:r>
          </w:p>
        </w:tc>
        <w:tc>
          <w:tcPr>
            <w:tcW w:w="160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经营支出</w:t>
            </w:r>
          </w:p>
        </w:tc>
        <w:tc>
          <w:tcPr>
            <w:tcW w:w="1578"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科目代码</w:t>
            </w:r>
          </w:p>
        </w:tc>
        <w:tc>
          <w:tcPr>
            <w:tcW w:w="348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科目名称</w:t>
            </w:r>
          </w:p>
        </w:tc>
        <w:tc>
          <w:tcPr>
            <w:tcW w:w="16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6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6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6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6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578" w:type="dxa"/>
            <w:vMerge w:val="continue"/>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348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6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6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6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6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6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578" w:type="dxa"/>
            <w:vMerge w:val="continue"/>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348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6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6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6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6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6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578" w:type="dxa"/>
            <w:vMerge w:val="continue"/>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栏次</w:t>
            </w:r>
          </w:p>
        </w:tc>
        <w:tc>
          <w:tcPr>
            <w:tcW w:w="1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1</w:t>
            </w:r>
          </w:p>
        </w:tc>
        <w:tc>
          <w:tcPr>
            <w:tcW w:w="1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2</w:t>
            </w:r>
          </w:p>
        </w:tc>
        <w:tc>
          <w:tcPr>
            <w:tcW w:w="1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3</w:t>
            </w:r>
          </w:p>
        </w:tc>
        <w:tc>
          <w:tcPr>
            <w:tcW w:w="1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4</w:t>
            </w:r>
          </w:p>
        </w:tc>
        <w:tc>
          <w:tcPr>
            <w:tcW w:w="16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5</w:t>
            </w:r>
          </w:p>
        </w:tc>
        <w:tc>
          <w:tcPr>
            <w:tcW w:w="1578"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9"/>
              </w:rPr>
              <w:t>合计</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i w:val="0"/>
                <w:color w:val="000000"/>
                <w:sz w:val="19"/>
              </w:rPr>
              <w:t>2,730.10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i w:val="0"/>
                <w:color w:val="000000"/>
                <w:sz w:val="19"/>
              </w:rPr>
              <w:t>2,644.95</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i w:val="0"/>
                <w:color w:val="000000"/>
                <w:sz w:val="19"/>
              </w:rPr>
              <w:t>85.15</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201</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一般公共服务支出</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1,836.92</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1,836.92</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20101</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人大事务</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1,720.02</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1,720.02</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2010101</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行政运行</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1,720.02</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1,720.02</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20129</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群众团体事务</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10.23</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10.23</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2012906</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工会事务</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10.23</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10.23</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20199</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其他一般公共服务支出</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106.67</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106.67</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2019999</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其他一般公共服务支出</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106.67</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106.67</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208</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社会保障和就业支出</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410.65</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410.65</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20805</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行政事业单位养老支出</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410.65</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410.65</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2080501</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行政单位离退休</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294.85</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294.85</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2080505</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机关事业单位基本养老保险缴费支出</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115.80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115.80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210</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卫生健康支出</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120.88</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120.88</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21011</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行政事业单位医疗</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120.88</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120.88</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2101101</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行政单位医疗</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54.55</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54.55</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2101102</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事业单位医疗</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2.71</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2.71</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2101103</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公务员医疗补助</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63.62</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63.62</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211</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节能环保支出</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8.90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8.90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21103</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污染防治</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8.90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8.90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2110301</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大气</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8.90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8.90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212</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城乡社区支出</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240.15</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163.91</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76.25</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21201</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城乡社区管理事务</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240.15</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163.91</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76.25</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2120101</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行政运行</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163.91</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163.91</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2120102</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一般行政管理事务</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76.25</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76.25</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221</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住房保障支出</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112.58</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112.58</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22102</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住房改革支出</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112.58</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112.58</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2210201</w:t>
            </w:r>
          </w:p>
        </w:tc>
        <w:tc>
          <w:tcPr>
            <w:tcW w:w="34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9"/>
              </w:rPr>
              <w:t>住房公积金</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112.58</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112.58</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6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c>
          <w:tcPr>
            <w:tcW w:w="15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9"/>
              </w:rPr>
              <w:t>0</w:t>
            </w: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p>
      <w:pPr>
        <w:keepNext w:val="0"/>
        <w:keepLines w:val="0"/>
        <w:pageBreakBefore w:val="0"/>
        <w:widowControl w:val="0"/>
        <w:kinsoku/>
        <w:overflowPunct/>
        <w:topLinePunct w:val="0"/>
        <w:autoSpaceDN/>
        <w:bidi w:val="0"/>
        <w:adjustRightInd/>
        <w:jc w:val="left"/>
        <w:textAlignment w:val="auto"/>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keepNext w:val="0"/>
        <w:keepLines w:val="0"/>
        <w:pageBreakBefore w:val="0"/>
        <w:widowControl w:val="0"/>
        <w:kinsoku/>
        <w:overflowPunct/>
        <w:topLinePunct w:val="0"/>
        <w:autoSpaceDN/>
        <w:bidi w:val="0"/>
        <w:adjustRightInd/>
        <w:textAlignment w:val="auto"/>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pageBreakBefore w:val="0"/>
        <w:widowControl w:val="0"/>
        <w:kinsoku/>
        <w:overflowPunct/>
        <w:topLinePunct w:val="0"/>
        <w:autoSpaceDN/>
        <w:bidi w:val="0"/>
        <w:adjustRightInd/>
        <w:jc w:val="center"/>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sz w:val="20"/>
              </w:rPr>
              <w:t>单位：许昌市城市管理执法支队</w:t>
            </w:r>
          </w:p>
        </w:tc>
        <w:tc>
          <w:tcPr>
            <w:tcW w:w="2000" w:type="dxa"/>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收     入</w:t>
            </w:r>
          </w:p>
        </w:tc>
        <w:tc>
          <w:tcPr>
            <w:tcW w:w="3080" w:type="dxa"/>
            <w:gridSpan w:val="6"/>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项目</w:t>
            </w:r>
          </w:p>
        </w:tc>
        <w:tc>
          <w:tcPr>
            <w:tcW w:w="48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行次</w:t>
            </w:r>
          </w:p>
        </w:tc>
        <w:tc>
          <w:tcPr>
            <w:tcW w:w="142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金额</w:t>
            </w:r>
          </w:p>
        </w:tc>
        <w:tc>
          <w:tcPr>
            <w:tcW w:w="308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项目</w:t>
            </w:r>
          </w:p>
        </w:tc>
        <w:tc>
          <w:tcPr>
            <w:tcW w:w="48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行次</w:t>
            </w:r>
          </w:p>
        </w:tc>
        <w:tc>
          <w:tcPr>
            <w:tcW w:w="142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合计</w:t>
            </w:r>
          </w:p>
        </w:tc>
        <w:tc>
          <w:tcPr>
            <w:tcW w:w="142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一般公共预算财政拨款</w:t>
            </w:r>
          </w:p>
        </w:tc>
        <w:tc>
          <w:tcPr>
            <w:tcW w:w="142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政府性基金预算财政拨款</w:t>
            </w:r>
          </w:p>
        </w:tc>
        <w:tc>
          <w:tcPr>
            <w:tcW w:w="1478"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48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20" w:type="dxa"/>
            <w:vMerge w:val="continue"/>
            <w:vAlign w:val="center"/>
          </w:tcPr>
          <w:p>
            <w:pPr>
              <w:keepNext w:val="0"/>
              <w:keepLines w:val="0"/>
              <w:pageBreakBefore w:val="0"/>
              <w:widowControl w:val="0"/>
              <w:kinsoku/>
              <w:overflowPunct/>
              <w:topLinePunct w:val="0"/>
              <w:autoSpaceDN/>
              <w:bidi w:val="0"/>
              <w:adjustRightInd/>
              <w:textAlignment w:val="auto"/>
            </w:pPr>
          </w:p>
        </w:tc>
        <w:tc>
          <w:tcPr>
            <w:tcW w:w="3080" w:type="dxa"/>
            <w:vMerge w:val="continue"/>
            <w:vAlign w:val="center"/>
          </w:tcPr>
          <w:p>
            <w:pPr>
              <w:keepNext w:val="0"/>
              <w:keepLines w:val="0"/>
              <w:pageBreakBefore w:val="0"/>
              <w:widowControl w:val="0"/>
              <w:kinsoku/>
              <w:overflowPunct/>
              <w:topLinePunct w:val="0"/>
              <w:autoSpaceDN/>
              <w:bidi w:val="0"/>
              <w:adjustRightInd/>
              <w:textAlignment w:val="auto"/>
            </w:pPr>
          </w:p>
        </w:tc>
        <w:tc>
          <w:tcPr>
            <w:tcW w:w="48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2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2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2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478" w:type="dxa"/>
            <w:vMerge w:val="continue"/>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栏次</w:t>
            </w:r>
          </w:p>
        </w:tc>
        <w:tc>
          <w:tcPr>
            <w:tcW w:w="480" w:type="dxa"/>
            <w:vAlign w:val="center"/>
          </w:tcPr>
          <w:p>
            <w:pPr>
              <w:keepNext w:val="0"/>
              <w:keepLines w:val="0"/>
              <w:pageBreakBefore w:val="0"/>
              <w:widowControl w:val="0"/>
              <w:kinsoku/>
              <w:overflowPunct/>
              <w:topLinePunct w:val="0"/>
              <w:autoSpaceDN/>
              <w:bidi w:val="0"/>
              <w:adjustRightInd/>
              <w:textAlignment w:val="auto"/>
            </w:pPr>
          </w:p>
        </w:tc>
        <w:tc>
          <w:tcPr>
            <w:tcW w:w="142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1</w:t>
            </w:r>
          </w:p>
        </w:tc>
        <w:tc>
          <w:tcPr>
            <w:tcW w:w="30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栏次</w:t>
            </w:r>
          </w:p>
        </w:tc>
        <w:tc>
          <w:tcPr>
            <w:tcW w:w="480" w:type="dxa"/>
            <w:vAlign w:val="center"/>
          </w:tcPr>
          <w:p>
            <w:pPr>
              <w:keepNext w:val="0"/>
              <w:keepLines w:val="0"/>
              <w:pageBreakBefore w:val="0"/>
              <w:widowControl w:val="0"/>
              <w:kinsoku/>
              <w:overflowPunct/>
              <w:topLinePunct w:val="0"/>
              <w:autoSpaceDN/>
              <w:bidi w:val="0"/>
              <w:adjustRightInd/>
              <w:textAlignment w:val="auto"/>
            </w:pPr>
          </w:p>
        </w:tc>
        <w:tc>
          <w:tcPr>
            <w:tcW w:w="142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2</w:t>
            </w:r>
          </w:p>
        </w:tc>
        <w:tc>
          <w:tcPr>
            <w:tcW w:w="142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3</w:t>
            </w:r>
          </w:p>
        </w:tc>
        <w:tc>
          <w:tcPr>
            <w:tcW w:w="142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4</w:t>
            </w:r>
          </w:p>
        </w:tc>
        <w:tc>
          <w:tcPr>
            <w:tcW w:w="1478"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一、一般公共预算财政拨款</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1</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2,721.20</w:t>
            </w: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一、一般公共服务支出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33</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1,836.92</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1,836.92</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二、政府性基金预算财政拨款</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2</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二、外交支出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34</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三、国有资本经营预算财政拨款</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3</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三、国防支出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35</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4</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四、公共安全支出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36</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5</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五、教育支出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37</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6</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六、科学技术支出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38</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7</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七、文化旅游体育与传媒支出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39</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8</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八、社会保障和就业支出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40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410.65</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410.65</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9</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九、卫生健康支出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41</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120.88</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120.88</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10</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十、节能环保支出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42</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8.90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8.90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11</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十一、城乡社区支出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43</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240.15</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240.15</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12</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十二、农林水支出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44</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13</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十三、交通运输支出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45</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14</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十四、资源勘探工业信息等支出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46</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15</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十五、商业服务业等支出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47</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16</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十六、金融支出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48</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17</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十七、援助其他地区支出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49</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18</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十八、自然资源海洋气象等支出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50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19</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十九、住房保障支出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51</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112.58</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112.58</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20</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二十、粮油物资储备支出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52</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21</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二十一、国有资本经营预算支出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53</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22</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二十二、灾害防治及应急管理支出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54</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23</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二十三、其他支出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55</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24</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二十四、债务还本支出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56</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25</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二十五、债务付息支出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57</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26</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二十六、抗疫特别国债安排的支出</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58</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i w:val="0"/>
                <w:color w:val="000000"/>
                <w:sz w:val="18"/>
              </w:rPr>
              <w:t>本年收入合计</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27</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2,721.20</w:t>
            </w:r>
          </w:p>
        </w:tc>
        <w:tc>
          <w:tcPr>
            <w:tcW w:w="30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i w:val="0"/>
                <w:color w:val="000000"/>
                <w:sz w:val="18"/>
              </w:rPr>
              <w:t>本年支出合计</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59</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2,730.10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2,730.10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年初财政拨款结转和结余</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28</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8.90</w:t>
            </w:r>
          </w:p>
        </w:tc>
        <w:tc>
          <w:tcPr>
            <w:tcW w:w="30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年末财政拨款结转和结余</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60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 xml:space="preserve">  一般公共预算财政拨款</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29</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8.90</w:t>
            </w:r>
          </w:p>
        </w:tc>
        <w:tc>
          <w:tcPr>
            <w:tcW w:w="308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61</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1478" w:type="dxa"/>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 xml:space="preserve">  政府性基金预算财政拨款</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30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308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62</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1478" w:type="dxa"/>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8"/>
              </w:rPr>
              <w:t xml:space="preserve">  国有资本经营预算财政拨款</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31</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3080" w:type="dxa"/>
            <w:vAlign w:val="center"/>
          </w:tcPr>
          <w:p>
            <w:pPr>
              <w:keepNext w:val="0"/>
              <w:keepLines w:val="0"/>
              <w:pageBreakBefore w:val="0"/>
              <w:widowControl w:val="0"/>
              <w:kinsoku/>
              <w:overflowPunct/>
              <w:topLinePunct w:val="0"/>
              <w:autoSpaceDN/>
              <w:bidi w:val="0"/>
              <w:adjustRightInd/>
              <w:textAlignment w:val="auto"/>
            </w:pP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63</w:t>
            </w: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1420" w:type="dxa"/>
            <w:vAlign w:val="center"/>
          </w:tcPr>
          <w:p>
            <w:pPr>
              <w:keepNext w:val="0"/>
              <w:keepLines w:val="0"/>
              <w:pageBreakBefore w:val="0"/>
              <w:widowControl w:val="0"/>
              <w:kinsoku/>
              <w:overflowPunct/>
              <w:topLinePunct w:val="0"/>
              <w:autoSpaceDN/>
              <w:bidi w:val="0"/>
              <w:adjustRightInd/>
              <w:textAlignment w:val="auto"/>
            </w:pPr>
          </w:p>
        </w:tc>
        <w:tc>
          <w:tcPr>
            <w:tcW w:w="1478" w:type="dxa"/>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i w:val="0"/>
                <w:color w:val="000000"/>
                <w:sz w:val="18"/>
              </w:rPr>
              <w:t>总计</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32</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2,730.10</w:t>
            </w:r>
          </w:p>
        </w:tc>
        <w:tc>
          <w:tcPr>
            <w:tcW w:w="30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i w:val="0"/>
                <w:color w:val="000000"/>
                <w:sz w:val="18"/>
              </w:rPr>
              <w:t>总计</w:t>
            </w:r>
          </w:p>
        </w:tc>
        <w:tc>
          <w:tcPr>
            <w:tcW w:w="48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8"/>
              </w:rPr>
              <w:t>64</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2,730.10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2,730.10</w:t>
            </w:r>
          </w:p>
        </w:tc>
        <w:tc>
          <w:tcPr>
            <w:tcW w:w="142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c>
          <w:tcPr>
            <w:tcW w:w="147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8"/>
              </w:rPr>
              <w:t>0</w:t>
            </w: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p>
      <w:pPr>
        <w:keepNext w:val="0"/>
        <w:keepLines w:val="0"/>
        <w:pageBreakBefore w:val="0"/>
        <w:widowControl w:val="0"/>
        <w:kinsoku/>
        <w:overflowPunct/>
        <w:topLinePunct w:val="0"/>
        <w:autoSpaceDN/>
        <w:bidi w:val="0"/>
        <w:adjustRightInd/>
        <w:jc w:val="left"/>
        <w:textAlignment w:val="auto"/>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keepNext w:val="0"/>
        <w:keepLines w:val="0"/>
        <w:pageBreakBefore w:val="0"/>
        <w:widowControl w:val="0"/>
        <w:kinsoku/>
        <w:overflowPunct/>
        <w:topLinePunct w:val="0"/>
        <w:autoSpaceDN/>
        <w:bidi w:val="0"/>
        <w:adjustRightInd/>
        <w:jc w:val="center"/>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sz w:val="20"/>
              </w:rPr>
              <w:t>单位：许昌市城市管理执法支队</w:t>
            </w:r>
          </w:p>
        </w:tc>
        <w:tc>
          <w:tcPr>
            <w:tcW w:w="2000" w:type="dxa"/>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5"/>
              </w:rPr>
              <w:t>项目</w:t>
            </w:r>
          </w:p>
        </w:tc>
        <w:tc>
          <w:tcPr>
            <w:tcW w:w="2700" w:type="dxa"/>
            <w:gridSpan w:val="3"/>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5"/>
              </w:rPr>
              <w:t>科目代码</w:t>
            </w:r>
          </w:p>
        </w:tc>
        <w:tc>
          <w:tcPr>
            <w:tcW w:w="470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5"/>
              </w:rPr>
              <w:t>科目名称</w:t>
            </w:r>
          </w:p>
        </w:tc>
        <w:tc>
          <w:tcPr>
            <w:tcW w:w="270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5"/>
              </w:rPr>
              <w:t>小计</w:t>
            </w:r>
          </w:p>
        </w:tc>
        <w:tc>
          <w:tcPr>
            <w:tcW w:w="270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5"/>
              </w:rPr>
              <w:t>基本支出</w:t>
            </w:r>
          </w:p>
        </w:tc>
        <w:tc>
          <w:tcPr>
            <w:tcW w:w="2658"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47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27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27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2658" w:type="dxa"/>
            <w:vMerge w:val="continue"/>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47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27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27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2658" w:type="dxa"/>
            <w:vMerge w:val="continue"/>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5"/>
              </w:rPr>
              <w:t>栏次</w:t>
            </w:r>
          </w:p>
        </w:tc>
        <w:tc>
          <w:tcPr>
            <w:tcW w:w="27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5"/>
              </w:rPr>
              <w:t>1</w:t>
            </w:r>
          </w:p>
        </w:tc>
        <w:tc>
          <w:tcPr>
            <w:tcW w:w="270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5"/>
              </w:rPr>
              <w:t>2</w:t>
            </w:r>
          </w:p>
        </w:tc>
        <w:tc>
          <w:tcPr>
            <w:tcW w:w="2658"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5"/>
              </w:rPr>
              <w:t>合计</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i w:val="0"/>
                <w:color w:val="000000"/>
                <w:sz w:val="25"/>
              </w:rPr>
              <w:t>2,730.10</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i w:val="0"/>
                <w:color w:val="000000"/>
                <w:sz w:val="25"/>
              </w:rPr>
              <w:t>2,644.95</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i w:val="0"/>
                <w:color w:val="000000"/>
                <w:sz w:val="25"/>
              </w:rPr>
              <w:t>85.15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201</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一般公共服务支出</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1,836.92</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1,836.92</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20101</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人大事务</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1,720.02</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1,720.02</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2010101</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行政运行</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1,720.02</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1,720.02</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20129</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群众团体事务</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10.23</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10.23</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2012906</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工会事务</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10.23</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10.23</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20199</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其他一般公共服务支出</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106.67</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106.67</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2019999</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其他一般公共服务支出</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106.67</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106.67</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208</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社会保障和就业支出</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410.65</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410.65</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20805</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行政事业单位养老支出</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410.65</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410.65</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2080501</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行政单位离退休</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294.85</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294.85</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2080505</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机关事业单位基本养老保险缴费支出</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115.80</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115.80</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210</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卫生健康支出</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120.88</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120.88</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21011</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行政事业单位医疗</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120.88</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120.88</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2101101</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行政单位医疗</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54.55</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54.55</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2101102</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事业单位医疗</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2.71</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2.71</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2101103</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公务员医疗补助</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63.62</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63.62</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211</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节能环保支出</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8.90</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8.90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21103</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污染防治</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8.90</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8.90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2110301</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大气</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8.90</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8.90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212</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城乡社区支出</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240.15</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163.91</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76.25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21201</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城乡社区管理事务</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240.15</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163.91</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76.25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2120101</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行政运行</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163.91</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163.91</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2120102</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一般行政管理事务</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76.25</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76.25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221</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住房保障支出</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112.58</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112.58</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22102</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住房改革支出</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112.58</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112.58</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2210201</w:t>
            </w:r>
          </w:p>
        </w:tc>
        <w:tc>
          <w:tcPr>
            <w:tcW w:w="47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25"/>
              </w:rPr>
              <w:t>住房公积金</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112.58</w:t>
            </w:r>
          </w:p>
        </w:tc>
        <w:tc>
          <w:tcPr>
            <w:tcW w:w="270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112.58</w:t>
            </w:r>
          </w:p>
        </w:tc>
        <w:tc>
          <w:tcPr>
            <w:tcW w:w="26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25"/>
              </w:rPr>
              <w:t>0</w:t>
            </w: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p>
      <w:pPr>
        <w:keepNext w:val="0"/>
        <w:keepLines w:val="0"/>
        <w:pageBreakBefore w:val="0"/>
        <w:widowControl w:val="0"/>
        <w:kinsoku/>
        <w:overflowPunct/>
        <w:topLinePunct w:val="0"/>
        <w:autoSpaceDN/>
        <w:bidi w:val="0"/>
        <w:adjustRightInd/>
        <w:jc w:val="left"/>
        <w:textAlignment w:val="auto"/>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keepNext w:val="0"/>
        <w:keepLines w:val="0"/>
        <w:pageBreakBefore w:val="0"/>
        <w:widowControl w:val="0"/>
        <w:kinsoku/>
        <w:overflowPunct/>
        <w:topLinePunct w:val="0"/>
        <w:autoSpaceDN/>
        <w:bidi w:val="0"/>
        <w:adjustRightInd/>
        <w:jc w:val="left"/>
        <w:textAlignment w:val="auto"/>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pageBreakBefore w:val="0"/>
        <w:widowControl w:val="0"/>
        <w:kinsoku/>
        <w:overflowPunct/>
        <w:topLinePunct w:val="0"/>
        <w:autoSpaceDN/>
        <w:bidi w:val="0"/>
        <w:adjustRightInd/>
        <w:jc w:val="center"/>
        <w:textAlignment w:val="auto"/>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sz w:val="20"/>
              </w:rPr>
              <w:t>单位：许昌市城市管理执法支队</w:t>
            </w:r>
          </w:p>
        </w:tc>
        <w:tc>
          <w:tcPr>
            <w:tcW w:w="2000" w:type="dxa"/>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6"/>
              </w:rPr>
              <w:t>人员经费</w:t>
            </w:r>
          </w:p>
        </w:tc>
        <w:tc>
          <w:tcPr>
            <w:tcW w:w="560" w:type="dxa"/>
            <w:gridSpan w:val="6"/>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6"/>
              </w:rPr>
              <w:t>科目代码</w:t>
            </w:r>
          </w:p>
        </w:tc>
        <w:tc>
          <w:tcPr>
            <w:tcW w:w="268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6"/>
              </w:rPr>
              <w:t>科目名称</w:t>
            </w:r>
          </w:p>
        </w:tc>
        <w:tc>
          <w:tcPr>
            <w:tcW w:w="13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6"/>
              </w:rPr>
              <w:t>决算数</w:t>
            </w:r>
          </w:p>
        </w:tc>
        <w:tc>
          <w:tcPr>
            <w:tcW w:w="5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6"/>
              </w:rPr>
              <w:t>科目代码</w:t>
            </w:r>
          </w:p>
        </w:tc>
        <w:tc>
          <w:tcPr>
            <w:tcW w:w="210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6"/>
              </w:rPr>
              <w:t>科目名称</w:t>
            </w:r>
          </w:p>
        </w:tc>
        <w:tc>
          <w:tcPr>
            <w:tcW w:w="13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6"/>
              </w:rPr>
              <w:t>决算数</w:t>
            </w:r>
          </w:p>
        </w:tc>
        <w:tc>
          <w:tcPr>
            <w:tcW w:w="5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6"/>
              </w:rPr>
              <w:t>科目代码</w:t>
            </w:r>
          </w:p>
        </w:tc>
        <w:tc>
          <w:tcPr>
            <w:tcW w:w="342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6"/>
              </w:rPr>
              <w:t>科目名称</w:t>
            </w:r>
          </w:p>
        </w:tc>
        <w:tc>
          <w:tcPr>
            <w:tcW w:w="1358"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268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3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5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21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3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5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342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358" w:type="dxa"/>
            <w:vMerge w:val="continue"/>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301</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工资福利支出</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2,179.97</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商品和服务支出</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169.99</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307</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债务利息及费用支出</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30101</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基本工资</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480.42</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30201</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办公费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10.25</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30701</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国内债务付息</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30102</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津贴补贴</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646.77</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30202</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印刷费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5.03</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30702</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国外债务付息</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30103</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奖金</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702.29</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30203</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咨询费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2.35</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310</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资本性支出</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30106</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伙食补助费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30204</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手续费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31001</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房屋建筑物购建</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30107</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绩效工资</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30205</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水费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0.11</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31002</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办公设备购置</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30108</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机关事业单位基本养老保险缴费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115.80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30206</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电费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3.38</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31003</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专用设备购置</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30109</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职业年金缴费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30207</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邮电费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2.51</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31005</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基础设施建设</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30110</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职工基本医疗保险缴费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57.26</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30208</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取暖费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31006</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大型修缮</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30111</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公务员医疗补助缴费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63.62</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30209</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物业管理费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1.56</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31007</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信息网络及软件购置更新</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30112</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其他社会保障缴费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1.23</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30211</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差旅费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4.76</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31008</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物资储备</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30113</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住房公积金</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112.58</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30212</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因公出国（境）费用</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31009</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土地补偿</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30114</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医疗费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30213</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维修（护）费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12.51</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31010</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安置补助</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30199</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其他工资福利支出</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30214</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租赁费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6.00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31011</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地上附着物和青苗补偿</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303</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对个人和家庭的补助</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294.85</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30215</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会议费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0.08</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31012</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拆迁补偿</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30301</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离休费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30216</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培训费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0.45</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31013</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公务用车购置</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30302</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退休费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294.85</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30217</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公务接待费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0.71</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31019</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其他交通工具购置</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30303</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退职（役）费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30218</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专用材料费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31021</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文物和陈列品购置</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30304</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抚恤金</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30224</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被装购置费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31022</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无形资产购置</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30305</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生活补助</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30225</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专用燃料费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31099</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其他资本性支出</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30306</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救济费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30226</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劳务费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0.34</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399</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其他支出</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30307</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医疗费补助</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30227</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委托业务费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2.08</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39907</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国家赔偿费用支出</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30308</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助学金</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30228</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工会经费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10.23</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39908</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对民间非营利组织和群众性自治组织补贴</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30309</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奖励金</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30229</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福利费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13.98</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39909</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经常性赠与</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30310</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个人农业生产补贴</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30231</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公务用车运行维护费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19.86</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39910</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资本性赠与</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30311</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代缴社会保险费</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30239</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其他交通费用</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73.67</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39999</w:t>
            </w:r>
          </w:p>
        </w:tc>
        <w:tc>
          <w:tcPr>
            <w:tcW w:w="342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其他支出</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30399</w:t>
            </w:r>
          </w:p>
        </w:tc>
        <w:tc>
          <w:tcPr>
            <w:tcW w:w="268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其他对个人和家庭的补助</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30240</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税金及附加费用</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w:t>
            </w:r>
          </w:p>
        </w:tc>
        <w:tc>
          <w:tcPr>
            <w:tcW w:w="560" w:type="dxa"/>
            <w:vAlign w:val="center"/>
          </w:tcPr>
          <w:p>
            <w:pPr>
              <w:keepNext w:val="0"/>
              <w:keepLines w:val="0"/>
              <w:pageBreakBefore w:val="0"/>
              <w:widowControl w:val="0"/>
              <w:kinsoku/>
              <w:overflowPunct/>
              <w:topLinePunct w:val="0"/>
              <w:autoSpaceDN/>
              <w:bidi w:val="0"/>
              <w:adjustRightInd/>
              <w:textAlignment w:val="auto"/>
            </w:pPr>
          </w:p>
        </w:tc>
        <w:tc>
          <w:tcPr>
            <w:tcW w:w="3420" w:type="dxa"/>
            <w:vAlign w:val="center"/>
          </w:tcPr>
          <w:p>
            <w:pPr>
              <w:keepNext w:val="0"/>
              <w:keepLines w:val="0"/>
              <w:pageBreakBefore w:val="0"/>
              <w:widowControl w:val="0"/>
              <w:kinsoku/>
              <w:overflowPunct/>
              <w:topLinePunct w:val="0"/>
              <w:autoSpaceDN/>
              <w:bidi w:val="0"/>
              <w:adjustRightInd/>
              <w:textAlignment w:val="auto"/>
            </w:pPr>
          </w:p>
        </w:tc>
        <w:tc>
          <w:tcPr>
            <w:tcW w:w="1358" w:type="dxa"/>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keepNext w:val="0"/>
              <w:keepLines w:val="0"/>
              <w:pageBreakBefore w:val="0"/>
              <w:widowControl w:val="0"/>
              <w:kinsoku/>
              <w:overflowPunct/>
              <w:topLinePunct w:val="0"/>
              <w:autoSpaceDN/>
              <w:bidi w:val="0"/>
              <w:adjustRightInd/>
              <w:textAlignment w:val="auto"/>
            </w:pPr>
          </w:p>
        </w:tc>
        <w:tc>
          <w:tcPr>
            <w:tcW w:w="2680" w:type="dxa"/>
            <w:vAlign w:val="center"/>
          </w:tcPr>
          <w:p>
            <w:pPr>
              <w:keepNext w:val="0"/>
              <w:keepLines w:val="0"/>
              <w:pageBreakBefore w:val="0"/>
              <w:widowControl w:val="0"/>
              <w:kinsoku/>
              <w:overflowPunct/>
              <w:topLinePunct w:val="0"/>
              <w:autoSpaceDN/>
              <w:bidi w:val="0"/>
              <w:adjustRightInd/>
              <w:textAlignment w:val="auto"/>
            </w:pPr>
          </w:p>
        </w:tc>
        <w:tc>
          <w:tcPr>
            <w:tcW w:w="1360" w:type="dxa"/>
            <w:vAlign w:val="center"/>
          </w:tcPr>
          <w:p>
            <w:pPr>
              <w:keepNext w:val="0"/>
              <w:keepLines w:val="0"/>
              <w:pageBreakBefore w:val="0"/>
              <w:widowControl w:val="0"/>
              <w:kinsoku/>
              <w:overflowPunct/>
              <w:topLinePunct w:val="0"/>
              <w:autoSpaceDN/>
              <w:bidi w:val="0"/>
              <w:adjustRightInd/>
              <w:textAlignment w:val="auto"/>
            </w:pPr>
          </w:p>
        </w:tc>
        <w:tc>
          <w:tcPr>
            <w:tcW w:w="56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30299</w:t>
            </w:r>
          </w:p>
        </w:tc>
        <w:tc>
          <w:tcPr>
            <w:tcW w:w="2100" w:type="dxa"/>
            <w:vAlign w:val="center"/>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b w:val="0"/>
                <w:i w:val="0"/>
                <w:color w:val="000000"/>
                <w:sz w:val="16"/>
              </w:rPr>
              <w:t xml:space="preserve">  其他商品和服务支出</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0.12</w:t>
            </w:r>
          </w:p>
        </w:tc>
        <w:tc>
          <w:tcPr>
            <w:tcW w:w="560" w:type="dxa"/>
            <w:vAlign w:val="center"/>
          </w:tcPr>
          <w:p>
            <w:pPr>
              <w:keepNext w:val="0"/>
              <w:keepLines w:val="0"/>
              <w:pageBreakBefore w:val="0"/>
              <w:widowControl w:val="0"/>
              <w:kinsoku/>
              <w:overflowPunct/>
              <w:topLinePunct w:val="0"/>
              <w:autoSpaceDN/>
              <w:bidi w:val="0"/>
              <w:adjustRightInd/>
              <w:textAlignment w:val="auto"/>
            </w:pPr>
          </w:p>
        </w:tc>
        <w:tc>
          <w:tcPr>
            <w:tcW w:w="3420" w:type="dxa"/>
            <w:vAlign w:val="center"/>
          </w:tcPr>
          <w:p>
            <w:pPr>
              <w:keepNext w:val="0"/>
              <w:keepLines w:val="0"/>
              <w:pageBreakBefore w:val="0"/>
              <w:widowControl w:val="0"/>
              <w:kinsoku/>
              <w:overflowPunct/>
              <w:topLinePunct w:val="0"/>
              <w:autoSpaceDN/>
              <w:bidi w:val="0"/>
              <w:adjustRightInd/>
              <w:textAlignment w:val="auto"/>
            </w:pPr>
          </w:p>
        </w:tc>
        <w:tc>
          <w:tcPr>
            <w:tcW w:w="1358" w:type="dxa"/>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6"/>
              </w:rPr>
              <w:t>人员经费合计</w:t>
            </w:r>
          </w:p>
        </w:tc>
        <w:tc>
          <w:tcPr>
            <w:tcW w:w="13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2,474.82</w:t>
            </w:r>
          </w:p>
        </w:tc>
        <w:tc>
          <w:tcPr>
            <w:tcW w:w="560" w:type="dxa"/>
            <w:gridSpan w:val="5"/>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6"/>
              </w:rPr>
              <w:t>公用经费合计</w:t>
            </w:r>
          </w:p>
        </w:tc>
        <w:tc>
          <w:tcPr>
            <w:tcW w:w="135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6"/>
              </w:rPr>
              <w:t>170.13</w:t>
            </w: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p>
      <w:pPr>
        <w:keepNext w:val="0"/>
        <w:keepLines w:val="0"/>
        <w:pageBreakBefore w:val="0"/>
        <w:widowControl w:val="0"/>
        <w:kinsoku/>
        <w:overflowPunct/>
        <w:topLinePunct w:val="0"/>
        <w:autoSpaceDN/>
        <w:bidi w:val="0"/>
        <w:adjustRightInd/>
        <w:jc w:val="left"/>
        <w:textAlignment w:val="auto"/>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keepNext w:val="0"/>
        <w:keepLines w:val="0"/>
        <w:pageBreakBefore w:val="0"/>
        <w:widowControl w:val="0"/>
        <w:kinsoku/>
        <w:overflowPunct/>
        <w:topLinePunct w:val="0"/>
        <w:autoSpaceDN/>
        <w:bidi w:val="0"/>
        <w:adjustRightInd/>
        <w:jc w:val="left"/>
        <w:textAlignment w:val="auto"/>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pageBreakBefore w:val="0"/>
        <w:widowControl w:val="0"/>
        <w:kinsoku/>
        <w:overflowPunct/>
        <w:topLinePunct w:val="0"/>
        <w:autoSpaceDN/>
        <w:bidi w:val="0"/>
        <w:adjustRightInd/>
        <w:jc w:val="center"/>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sz w:val="20"/>
              </w:rPr>
              <w:t>单位：许昌市城市管理执法支队</w:t>
            </w:r>
          </w:p>
        </w:tc>
        <w:tc>
          <w:tcPr>
            <w:tcW w:w="2000" w:type="dxa"/>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项目</w:t>
            </w:r>
          </w:p>
        </w:tc>
        <w:tc>
          <w:tcPr>
            <w:tcW w:w="15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年初结转和结余</w:t>
            </w:r>
          </w:p>
        </w:tc>
        <w:tc>
          <w:tcPr>
            <w:tcW w:w="15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本年收入</w:t>
            </w:r>
          </w:p>
        </w:tc>
        <w:tc>
          <w:tcPr>
            <w:tcW w:w="1560" w:type="dxa"/>
            <w:gridSpan w:val="3"/>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本年支出</w:t>
            </w:r>
          </w:p>
        </w:tc>
        <w:tc>
          <w:tcPr>
            <w:tcW w:w="1598"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科目代码</w:t>
            </w:r>
          </w:p>
        </w:tc>
        <w:tc>
          <w:tcPr>
            <w:tcW w:w="36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科目名称</w:t>
            </w:r>
          </w:p>
        </w:tc>
        <w:tc>
          <w:tcPr>
            <w:tcW w:w="15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5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5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小计</w:t>
            </w:r>
          </w:p>
        </w:tc>
        <w:tc>
          <w:tcPr>
            <w:tcW w:w="15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基本支出</w:t>
            </w:r>
          </w:p>
        </w:tc>
        <w:tc>
          <w:tcPr>
            <w:tcW w:w="15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项目支出</w:t>
            </w:r>
          </w:p>
        </w:tc>
        <w:tc>
          <w:tcPr>
            <w:tcW w:w="1598" w:type="dxa"/>
            <w:vMerge w:val="continue"/>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36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5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5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5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5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5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598" w:type="dxa"/>
            <w:vMerge w:val="continue"/>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36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5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5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5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5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5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598" w:type="dxa"/>
            <w:vMerge w:val="continue"/>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栏次</w:t>
            </w:r>
          </w:p>
        </w:tc>
        <w:tc>
          <w:tcPr>
            <w:tcW w:w="15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1</w:t>
            </w:r>
          </w:p>
        </w:tc>
        <w:tc>
          <w:tcPr>
            <w:tcW w:w="15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2</w:t>
            </w:r>
          </w:p>
        </w:tc>
        <w:tc>
          <w:tcPr>
            <w:tcW w:w="15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3</w:t>
            </w:r>
          </w:p>
        </w:tc>
        <w:tc>
          <w:tcPr>
            <w:tcW w:w="15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4</w:t>
            </w:r>
          </w:p>
        </w:tc>
        <w:tc>
          <w:tcPr>
            <w:tcW w:w="15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5</w:t>
            </w:r>
          </w:p>
        </w:tc>
        <w:tc>
          <w:tcPr>
            <w:tcW w:w="1598"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0"/>
              </w:rPr>
              <w:t>合计</w:t>
            </w:r>
          </w:p>
        </w:tc>
        <w:tc>
          <w:tcPr>
            <w:tcW w:w="1560" w:type="dxa"/>
            <w:vAlign w:val="center"/>
          </w:tcPr>
          <w:p>
            <w:pPr>
              <w:keepNext w:val="0"/>
              <w:keepLines w:val="0"/>
              <w:pageBreakBefore w:val="0"/>
              <w:widowControl w:val="0"/>
              <w:kinsoku/>
              <w:overflowPunct/>
              <w:topLinePunct w:val="0"/>
              <w:autoSpaceDN/>
              <w:bidi w:val="0"/>
              <w:adjustRightInd/>
              <w:textAlignment w:val="auto"/>
            </w:pPr>
          </w:p>
        </w:tc>
        <w:tc>
          <w:tcPr>
            <w:tcW w:w="1560" w:type="dxa"/>
            <w:vAlign w:val="center"/>
          </w:tcPr>
          <w:p>
            <w:pPr>
              <w:keepNext w:val="0"/>
              <w:keepLines w:val="0"/>
              <w:pageBreakBefore w:val="0"/>
              <w:widowControl w:val="0"/>
              <w:kinsoku/>
              <w:overflowPunct/>
              <w:topLinePunct w:val="0"/>
              <w:autoSpaceDN/>
              <w:bidi w:val="0"/>
              <w:adjustRightInd/>
              <w:textAlignment w:val="auto"/>
            </w:pPr>
          </w:p>
        </w:tc>
        <w:tc>
          <w:tcPr>
            <w:tcW w:w="1560" w:type="dxa"/>
            <w:vAlign w:val="center"/>
          </w:tcPr>
          <w:p>
            <w:pPr>
              <w:keepNext w:val="0"/>
              <w:keepLines w:val="0"/>
              <w:pageBreakBefore w:val="0"/>
              <w:widowControl w:val="0"/>
              <w:kinsoku/>
              <w:overflowPunct/>
              <w:topLinePunct w:val="0"/>
              <w:autoSpaceDN/>
              <w:bidi w:val="0"/>
              <w:adjustRightInd/>
              <w:textAlignment w:val="auto"/>
            </w:pPr>
          </w:p>
        </w:tc>
        <w:tc>
          <w:tcPr>
            <w:tcW w:w="1560" w:type="dxa"/>
            <w:vAlign w:val="center"/>
          </w:tcPr>
          <w:p>
            <w:pPr>
              <w:keepNext w:val="0"/>
              <w:keepLines w:val="0"/>
              <w:pageBreakBefore w:val="0"/>
              <w:widowControl w:val="0"/>
              <w:kinsoku/>
              <w:overflowPunct/>
              <w:topLinePunct w:val="0"/>
              <w:autoSpaceDN/>
              <w:bidi w:val="0"/>
              <w:adjustRightInd/>
              <w:textAlignment w:val="auto"/>
            </w:pPr>
          </w:p>
        </w:tc>
        <w:tc>
          <w:tcPr>
            <w:tcW w:w="1560" w:type="dxa"/>
            <w:vAlign w:val="center"/>
          </w:tcPr>
          <w:p>
            <w:pPr>
              <w:keepNext w:val="0"/>
              <w:keepLines w:val="0"/>
              <w:pageBreakBefore w:val="0"/>
              <w:widowControl w:val="0"/>
              <w:kinsoku/>
              <w:overflowPunct/>
              <w:topLinePunct w:val="0"/>
              <w:autoSpaceDN/>
              <w:bidi w:val="0"/>
              <w:adjustRightInd/>
              <w:textAlignment w:val="auto"/>
            </w:pPr>
          </w:p>
        </w:tc>
        <w:tc>
          <w:tcPr>
            <w:tcW w:w="1598" w:type="dxa"/>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keepNext w:val="0"/>
              <w:keepLines w:val="0"/>
              <w:pageBreakBefore w:val="0"/>
              <w:widowControl w:val="0"/>
              <w:kinsoku/>
              <w:overflowPunct/>
              <w:topLinePunct w:val="0"/>
              <w:autoSpaceDN/>
              <w:bidi w:val="0"/>
              <w:adjustRightInd/>
              <w:textAlignment w:val="auto"/>
            </w:pPr>
          </w:p>
        </w:tc>
        <w:tc>
          <w:tcPr>
            <w:tcW w:w="3660" w:type="dxa"/>
            <w:vAlign w:val="center"/>
          </w:tcPr>
          <w:p>
            <w:pPr>
              <w:keepNext w:val="0"/>
              <w:keepLines w:val="0"/>
              <w:pageBreakBefore w:val="0"/>
              <w:widowControl w:val="0"/>
              <w:kinsoku/>
              <w:overflowPunct/>
              <w:topLinePunct w:val="0"/>
              <w:autoSpaceDN/>
              <w:bidi w:val="0"/>
              <w:adjustRightInd/>
              <w:textAlignment w:val="auto"/>
            </w:pPr>
          </w:p>
        </w:tc>
        <w:tc>
          <w:tcPr>
            <w:tcW w:w="1560" w:type="dxa"/>
            <w:vAlign w:val="center"/>
          </w:tcPr>
          <w:p>
            <w:pPr>
              <w:keepNext w:val="0"/>
              <w:keepLines w:val="0"/>
              <w:pageBreakBefore w:val="0"/>
              <w:widowControl w:val="0"/>
              <w:kinsoku/>
              <w:overflowPunct/>
              <w:topLinePunct w:val="0"/>
              <w:autoSpaceDN/>
              <w:bidi w:val="0"/>
              <w:adjustRightInd/>
              <w:textAlignment w:val="auto"/>
            </w:pPr>
          </w:p>
        </w:tc>
        <w:tc>
          <w:tcPr>
            <w:tcW w:w="1560" w:type="dxa"/>
            <w:vAlign w:val="center"/>
          </w:tcPr>
          <w:p>
            <w:pPr>
              <w:keepNext w:val="0"/>
              <w:keepLines w:val="0"/>
              <w:pageBreakBefore w:val="0"/>
              <w:widowControl w:val="0"/>
              <w:kinsoku/>
              <w:overflowPunct/>
              <w:topLinePunct w:val="0"/>
              <w:autoSpaceDN/>
              <w:bidi w:val="0"/>
              <w:adjustRightInd/>
              <w:textAlignment w:val="auto"/>
            </w:pPr>
          </w:p>
        </w:tc>
        <w:tc>
          <w:tcPr>
            <w:tcW w:w="1560" w:type="dxa"/>
            <w:vAlign w:val="center"/>
          </w:tcPr>
          <w:p>
            <w:pPr>
              <w:keepNext w:val="0"/>
              <w:keepLines w:val="0"/>
              <w:pageBreakBefore w:val="0"/>
              <w:widowControl w:val="0"/>
              <w:kinsoku/>
              <w:overflowPunct/>
              <w:topLinePunct w:val="0"/>
              <w:autoSpaceDN/>
              <w:bidi w:val="0"/>
              <w:adjustRightInd/>
              <w:textAlignment w:val="auto"/>
            </w:pPr>
          </w:p>
        </w:tc>
        <w:tc>
          <w:tcPr>
            <w:tcW w:w="1560" w:type="dxa"/>
            <w:vAlign w:val="center"/>
          </w:tcPr>
          <w:p>
            <w:pPr>
              <w:keepNext w:val="0"/>
              <w:keepLines w:val="0"/>
              <w:pageBreakBefore w:val="0"/>
              <w:widowControl w:val="0"/>
              <w:kinsoku/>
              <w:overflowPunct/>
              <w:topLinePunct w:val="0"/>
              <w:autoSpaceDN/>
              <w:bidi w:val="0"/>
              <w:adjustRightInd/>
              <w:textAlignment w:val="auto"/>
            </w:pPr>
          </w:p>
        </w:tc>
        <w:tc>
          <w:tcPr>
            <w:tcW w:w="1560" w:type="dxa"/>
            <w:vAlign w:val="center"/>
          </w:tcPr>
          <w:p>
            <w:pPr>
              <w:keepNext w:val="0"/>
              <w:keepLines w:val="0"/>
              <w:pageBreakBefore w:val="0"/>
              <w:widowControl w:val="0"/>
              <w:kinsoku/>
              <w:overflowPunct/>
              <w:topLinePunct w:val="0"/>
              <w:autoSpaceDN/>
              <w:bidi w:val="0"/>
              <w:adjustRightInd/>
              <w:textAlignment w:val="auto"/>
            </w:pPr>
          </w:p>
        </w:tc>
        <w:tc>
          <w:tcPr>
            <w:tcW w:w="1598" w:type="dxa"/>
            <w:vAlign w:val="center"/>
          </w:tcPr>
          <w:p>
            <w:pPr>
              <w:keepNext w:val="0"/>
              <w:keepLines w:val="0"/>
              <w:pageBreakBefore w:val="0"/>
              <w:widowControl w:val="0"/>
              <w:kinsoku/>
              <w:overflowPunct/>
              <w:topLinePunct w:val="0"/>
              <w:autoSpaceDN/>
              <w:bidi w:val="0"/>
              <w:adjustRightInd/>
              <w:textAlignment w:val="auto"/>
            </w:pP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p>
      <w:pPr>
        <w:keepNext w:val="0"/>
        <w:keepLines w:val="0"/>
        <w:pageBreakBefore w:val="0"/>
        <w:widowControl w:val="0"/>
        <w:kinsoku/>
        <w:overflowPunct/>
        <w:topLinePunct w:val="0"/>
        <w:autoSpaceDN/>
        <w:bidi w:val="0"/>
        <w:adjustRightInd/>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keepNext w:val="0"/>
        <w:keepLines w:val="0"/>
        <w:pageBreakBefore w:val="0"/>
        <w:widowControl w:val="0"/>
        <w:kinsoku/>
        <w:overflowPunct/>
        <w:topLinePunct w:val="0"/>
        <w:autoSpaceDN/>
        <w:bidi w:val="0"/>
        <w:adjustRightInd/>
        <w:jc w:val="left"/>
        <w:textAlignment w:val="auto"/>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keepNext w:val="0"/>
        <w:keepLines w:val="0"/>
        <w:pageBreakBefore w:val="0"/>
        <w:widowControl w:val="0"/>
        <w:kinsoku/>
        <w:overflowPunct/>
        <w:topLinePunct w:val="0"/>
        <w:autoSpaceDN/>
        <w:bidi w:val="0"/>
        <w:adjustRightInd/>
        <w:jc w:val="center"/>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sz w:val="20"/>
              </w:rPr>
              <w:t>单位：许昌市城市管理执法支队</w:t>
            </w:r>
          </w:p>
        </w:tc>
        <w:tc>
          <w:tcPr>
            <w:tcW w:w="2000" w:type="dxa"/>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8"/>
              </w:rPr>
              <w:t>项目</w:t>
            </w:r>
          </w:p>
        </w:tc>
        <w:tc>
          <w:tcPr>
            <w:tcW w:w="2360" w:type="dxa"/>
            <w:gridSpan w:val="3"/>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8"/>
              </w:rPr>
              <w:t>科目代码</w:t>
            </w:r>
          </w:p>
        </w:tc>
        <w:tc>
          <w:tcPr>
            <w:tcW w:w="550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8"/>
              </w:rPr>
              <w:t>科目名称</w:t>
            </w:r>
          </w:p>
        </w:tc>
        <w:tc>
          <w:tcPr>
            <w:tcW w:w="23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8"/>
              </w:rPr>
              <w:t>合计</w:t>
            </w:r>
          </w:p>
        </w:tc>
        <w:tc>
          <w:tcPr>
            <w:tcW w:w="23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8"/>
              </w:rPr>
              <w:t>基本支出</w:t>
            </w:r>
          </w:p>
        </w:tc>
        <w:tc>
          <w:tcPr>
            <w:tcW w:w="2358"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55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23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23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2358" w:type="dxa"/>
            <w:vMerge w:val="continue"/>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5500" w:type="dxa"/>
            <w:vMerge w:val="continue"/>
            <w:vAlign w:val="center"/>
          </w:tcPr>
          <w:p>
            <w:pPr>
              <w:keepNext w:val="0"/>
              <w:keepLines w:val="0"/>
              <w:pageBreakBefore w:val="0"/>
              <w:widowControl w:val="0"/>
              <w:kinsoku/>
              <w:overflowPunct/>
              <w:topLinePunct w:val="0"/>
              <w:autoSpaceDN/>
              <w:bidi w:val="0"/>
              <w:adjustRightInd/>
              <w:textAlignment w:val="auto"/>
            </w:pPr>
          </w:p>
        </w:tc>
        <w:tc>
          <w:tcPr>
            <w:tcW w:w="23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23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2358" w:type="dxa"/>
            <w:vMerge w:val="continue"/>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8"/>
              </w:rPr>
              <w:t>栏次</w:t>
            </w:r>
          </w:p>
        </w:tc>
        <w:tc>
          <w:tcPr>
            <w:tcW w:w="23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8"/>
              </w:rPr>
              <w:t>1</w:t>
            </w:r>
          </w:p>
        </w:tc>
        <w:tc>
          <w:tcPr>
            <w:tcW w:w="23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8"/>
              </w:rPr>
              <w:t>2</w:t>
            </w:r>
          </w:p>
        </w:tc>
        <w:tc>
          <w:tcPr>
            <w:tcW w:w="2358"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28"/>
              </w:rPr>
              <w:t>合计</w:t>
            </w:r>
          </w:p>
        </w:tc>
        <w:tc>
          <w:tcPr>
            <w:tcW w:w="2360" w:type="dxa"/>
            <w:vAlign w:val="center"/>
          </w:tcPr>
          <w:p>
            <w:pPr>
              <w:keepNext w:val="0"/>
              <w:keepLines w:val="0"/>
              <w:pageBreakBefore w:val="0"/>
              <w:widowControl w:val="0"/>
              <w:kinsoku/>
              <w:overflowPunct/>
              <w:topLinePunct w:val="0"/>
              <w:autoSpaceDN/>
              <w:bidi w:val="0"/>
              <w:adjustRightInd/>
              <w:textAlignment w:val="auto"/>
            </w:pPr>
          </w:p>
        </w:tc>
        <w:tc>
          <w:tcPr>
            <w:tcW w:w="2360" w:type="dxa"/>
            <w:vAlign w:val="center"/>
          </w:tcPr>
          <w:p>
            <w:pPr>
              <w:keepNext w:val="0"/>
              <w:keepLines w:val="0"/>
              <w:pageBreakBefore w:val="0"/>
              <w:widowControl w:val="0"/>
              <w:kinsoku/>
              <w:overflowPunct/>
              <w:topLinePunct w:val="0"/>
              <w:autoSpaceDN/>
              <w:bidi w:val="0"/>
              <w:adjustRightInd/>
              <w:textAlignment w:val="auto"/>
            </w:pPr>
          </w:p>
        </w:tc>
        <w:tc>
          <w:tcPr>
            <w:tcW w:w="2358" w:type="dxa"/>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pPr>
              <w:keepNext w:val="0"/>
              <w:keepLines w:val="0"/>
              <w:pageBreakBefore w:val="0"/>
              <w:widowControl w:val="0"/>
              <w:kinsoku/>
              <w:overflowPunct/>
              <w:topLinePunct w:val="0"/>
              <w:autoSpaceDN/>
              <w:bidi w:val="0"/>
              <w:adjustRightInd/>
              <w:textAlignment w:val="auto"/>
            </w:pPr>
          </w:p>
        </w:tc>
        <w:tc>
          <w:tcPr>
            <w:tcW w:w="5500" w:type="dxa"/>
            <w:vAlign w:val="center"/>
          </w:tcPr>
          <w:p>
            <w:pPr>
              <w:keepNext w:val="0"/>
              <w:keepLines w:val="0"/>
              <w:pageBreakBefore w:val="0"/>
              <w:widowControl w:val="0"/>
              <w:kinsoku/>
              <w:overflowPunct/>
              <w:topLinePunct w:val="0"/>
              <w:autoSpaceDN/>
              <w:bidi w:val="0"/>
              <w:adjustRightInd/>
              <w:textAlignment w:val="auto"/>
            </w:pPr>
          </w:p>
        </w:tc>
        <w:tc>
          <w:tcPr>
            <w:tcW w:w="2360" w:type="dxa"/>
            <w:vAlign w:val="center"/>
          </w:tcPr>
          <w:p>
            <w:pPr>
              <w:keepNext w:val="0"/>
              <w:keepLines w:val="0"/>
              <w:pageBreakBefore w:val="0"/>
              <w:widowControl w:val="0"/>
              <w:kinsoku/>
              <w:overflowPunct/>
              <w:topLinePunct w:val="0"/>
              <w:autoSpaceDN/>
              <w:bidi w:val="0"/>
              <w:adjustRightInd/>
              <w:textAlignment w:val="auto"/>
            </w:pPr>
          </w:p>
        </w:tc>
        <w:tc>
          <w:tcPr>
            <w:tcW w:w="2360" w:type="dxa"/>
            <w:vAlign w:val="center"/>
          </w:tcPr>
          <w:p>
            <w:pPr>
              <w:keepNext w:val="0"/>
              <w:keepLines w:val="0"/>
              <w:pageBreakBefore w:val="0"/>
              <w:widowControl w:val="0"/>
              <w:kinsoku/>
              <w:overflowPunct/>
              <w:topLinePunct w:val="0"/>
              <w:autoSpaceDN/>
              <w:bidi w:val="0"/>
              <w:adjustRightInd/>
              <w:textAlignment w:val="auto"/>
            </w:pPr>
          </w:p>
        </w:tc>
        <w:tc>
          <w:tcPr>
            <w:tcW w:w="2358" w:type="dxa"/>
            <w:vAlign w:val="center"/>
          </w:tcPr>
          <w:p>
            <w:pPr>
              <w:keepNext w:val="0"/>
              <w:keepLines w:val="0"/>
              <w:pageBreakBefore w:val="0"/>
              <w:widowControl w:val="0"/>
              <w:kinsoku/>
              <w:overflowPunct/>
              <w:topLinePunct w:val="0"/>
              <w:autoSpaceDN/>
              <w:bidi w:val="0"/>
              <w:adjustRightInd/>
              <w:textAlignment w:val="auto"/>
            </w:pP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p>
      <w:pPr>
        <w:keepNext w:val="0"/>
        <w:keepLines w:val="0"/>
        <w:pageBreakBefore w:val="0"/>
        <w:widowControl w:val="0"/>
        <w:kinsoku/>
        <w:overflowPunct/>
        <w:topLinePunct w:val="0"/>
        <w:autoSpaceDN/>
        <w:bidi w:val="0"/>
        <w:adjustRightInd/>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keepNext w:val="0"/>
        <w:keepLines w:val="0"/>
        <w:pageBreakBefore w:val="0"/>
        <w:widowControl w:val="0"/>
        <w:kinsoku/>
        <w:overflowPunct/>
        <w:topLinePunct w:val="0"/>
        <w:autoSpaceDN/>
        <w:bidi w:val="0"/>
        <w:adjustRightInd/>
        <w:jc w:val="left"/>
        <w:textAlignment w:val="auto"/>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keepNext w:val="0"/>
        <w:keepLines w:val="0"/>
        <w:pageBreakBefore w:val="0"/>
        <w:widowControl w:val="0"/>
        <w:kinsoku/>
        <w:overflowPunct/>
        <w:topLinePunct w:val="0"/>
        <w:autoSpaceDN/>
        <w:bidi w:val="0"/>
        <w:adjustRightInd/>
        <w:jc w:val="left"/>
        <w:textAlignment w:val="auto"/>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pageBreakBefore w:val="0"/>
        <w:widowControl w:val="0"/>
        <w:kinsoku/>
        <w:overflowPunct/>
        <w:topLinePunct w:val="0"/>
        <w:autoSpaceDN/>
        <w:bidi w:val="0"/>
        <w:adjustRightInd/>
        <w:jc w:val="center"/>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keepNext w:val="0"/>
              <w:keepLines w:val="0"/>
              <w:pageBreakBefore w:val="0"/>
              <w:widowControl w:val="0"/>
              <w:kinsoku/>
              <w:overflowPunct/>
              <w:topLinePunct w:val="0"/>
              <w:autoSpaceDN/>
              <w:bidi w:val="0"/>
              <w:adjustRightInd/>
              <w:jc w:val="left"/>
              <w:textAlignment w:val="auto"/>
            </w:pPr>
            <w:r>
              <w:rPr>
                <w:rFonts w:ascii="宋体" w:hAnsi="宋体" w:eastAsia="宋体" w:cs="宋体"/>
                <w:sz w:val="20"/>
              </w:rPr>
              <w:t>单位：许昌市城市管理执法支队</w:t>
            </w:r>
          </w:p>
        </w:tc>
        <w:tc>
          <w:tcPr>
            <w:tcW w:w="2000" w:type="dxa"/>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sz w:val="20"/>
              </w:rPr>
              <w:t>2023年度</w:t>
            </w:r>
          </w:p>
        </w:tc>
        <w:tc>
          <w:tcPr>
            <w:tcW w:w="5979" w:type="dxa"/>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sz w:val="20"/>
              </w:rPr>
              <w:t>金额单位：万元</w:t>
            </w: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预算数</w:t>
            </w:r>
          </w:p>
        </w:tc>
        <w:tc>
          <w:tcPr>
            <w:tcW w:w="1160" w:type="dxa"/>
            <w:gridSpan w:val="6"/>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合计</w:t>
            </w:r>
          </w:p>
        </w:tc>
        <w:tc>
          <w:tcPr>
            <w:tcW w:w="11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因公出国（境）费</w:t>
            </w:r>
          </w:p>
        </w:tc>
        <w:tc>
          <w:tcPr>
            <w:tcW w:w="1160" w:type="dxa"/>
            <w:gridSpan w:val="3"/>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公务用车购置及运行维护费</w:t>
            </w:r>
          </w:p>
        </w:tc>
        <w:tc>
          <w:tcPr>
            <w:tcW w:w="11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公务接待费</w:t>
            </w:r>
          </w:p>
        </w:tc>
        <w:tc>
          <w:tcPr>
            <w:tcW w:w="11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合计</w:t>
            </w:r>
          </w:p>
        </w:tc>
        <w:tc>
          <w:tcPr>
            <w:tcW w:w="1160"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因公出国（境）费</w:t>
            </w:r>
          </w:p>
        </w:tc>
        <w:tc>
          <w:tcPr>
            <w:tcW w:w="1160" w:type="dxa"/>
            <w:gridSpan w:val="3"/>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公务用车购置及运行维护费</w:t>
            </w:r>
          </w:p>
        </w:tc>
        <w:tc>
          <w:tcPr>
            <w:tcW w:w="1198" w:type="dxa"/>
            <w:vMerge w:val="restart"/>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1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小计</w:t>
            </w:r>
          </w:p>
        </w:tc>
        <w:tc>
          <w:tcPr>
            <w:tcW w:w="1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公务用车购置费</w:t>
            </w:r>
          </w:p>
        </w:tc>
        <w:tc>
          <w:tcPr>
            <w:tcW w:w="1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公务用车运行维护费</w:t>
            </w:r>
          </w:p>
        </w:tc>
        <w:tc>
          <w:tcPr>
            <w:tcW w:w="11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1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160" w:type="dxa"/>
            <w:vMerge w:val="continue"/>
            <w:vAlign w:val="center"/>
          </w:tcPr>
          <w:p>
            <w:pPr>
              <w:keepNext w:val="0"/>
              <w:keepLines w:val="0"/>
              <w:pageBreakBefore w:val="0"/>
              <w:widowControl w:val="0"/>
              <w:kinsoku/>
              <w:overflowPunct/>
              <w:topLinePunct w:val="0"/>
              <w:autoSpaceDN/>
              <w:bidi w:val="0"/>
              <w:adjustRightInd/>
              <w:textAlignment w:val="auto"/>
            </w:pPr>
          </w:p>
        </w:tc>
        <w:tc>
          <w:tcPr>
            <w:tcW w:w="1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小计</w:t>
            </w:r>
          </w:p>
        </w:tc>
        <w:tc>
          <w:tcPr>
            <w:tcW w:w="1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公务用车购置费</w:t>
            </w:r>
          </w:p>
        </w:tc>
        <w:tc>
          <w:tcPr>
            <w:tcW w:w="1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公务用车运行维护费</w:t>
            </w:r>
          </w:p>
        </w:tc>
        <w:tc>
          <w:tcPr>
            <w:tcW w:w="1198" w:type="dxa"/>
            <w:vMerge w:val="continue"/>
            <w:vAlign w:val="center"/>
          </w:tcPr>
          <w:p>
            <w:pPr>
              <w:keepNext w:val="0"/>
              <w:keepLines w:val="0"/>
              <w:pageBreakBefore w:val="0"/>
              <w:widowControl w:val="0"/>
              <w:kinsoku/>
              <w:overflowPunct/>
              <w:topLinePunct w:val="0"/>
              <w:autoSpaceDN/>
              <w:bidi w:val="0"/>
              <w:adjustRightInd/>
              <w:textAlignment w:val="auto"/>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1</w:t>
            </w:r>
          </w:p>
        </w:tc>
        <w:tc>
          <w:tcPr>
            <w:tcW w:w="1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2</w:t>
            </w:r>
          </w:p>
        </w:tc>
        <w:tc>
          <w:tcPr>
            <w:tcW w:w="1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3</w:t>
            </w:r>
          </w:p>
        </w:tc>
        <w:tc>
          <w:tcPr>
            <w:tcW w:w="1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4</w:t>
            </w:r>
          </w:p>
        </w:tc>
        <w:tc>
          <w:tcPr>
            <w:tcW w:w="1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5</w:t>
            </w:r>
          </w:p>
        </w:tc>
        <w:tc>
          <w:tcPr>
            <w:tcW w:w="1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6</w:t>
            </w:r>
          </w:p>
        </w:tc>
        <w:tc>
          <w:tcPr>
            <w:tcW w:w="1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7</w:t>
            </w:r>
          </w:p>
        </w:tc>
        <w:tc>
          <w:tcPr>
            <w:tcW w:w="1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8</w:t>
            </w:r>
          </w:p>
        </w:tc>
        <w:tc>
          <w:tcPr>
            <w:tcW w:w="1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9</w:t>
            </w:r>
          </w:p>
        </w:tc>
        <w:tc>
          <w:tcPr>
            <w:tcW w:w="1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10</w:t>
            </w:r>
          </w:p>
        </w:tc>
        <w:tc>
          <w:tcPr>
            <w:tcW w:w="1160"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11</w:t>
            </w:r>
          </w:p>
        </w:tc>
        <w:tc>
          <w:tcPr>
            <w:tcW w:w="1198" w:type="dxa"/>
            <w:vAlign w:val="center"/>
          </w:tcPr>
          <w:p>
            <w:pPr>
              <w:keepNext w:val="0"/>
              <w:keepLines w:val="0"/>
              <w:pageBreakBefore w:val="0"/>
              <w:widowControl w:val="0"/>
              <w:kinsoku/>
              <w:overflowPunct/>
              <w:topLinePunct w:val="0"/>
              <w:autoSpaceDN/>
              <w:bidi w:val="0"/>
              <w:adjustRightInd/>
              <w:jc w:val="center"/>
              <w:textAlignment w:val="auto"/>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20.58</w:t>
            </w:r>
          </w:p>
        </w:tc>
        <w:tc>
          <w:tcPr>
            <w:tcW w:w="11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1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19.86</w:t>
            </w:r>
          </w:p>
        </w:tc>
        <w:tc>
          <w:tcPr>
            <w:tcW w:w="11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1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19.86</w:t>
            </w:r>
          </w:p>
        </w:tc>
        <w:tc>
          <w:tcPr>
            <w:tcW w:w="11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0.71</w:t>
            </w:r>
          </w:p>
        </w:tc>
        <w:tc>
          <w:tcPr>
            <w:tcW w:w="11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20.58</w:t>
            </w:r>
          </w:p>
        </w:tc>
        <w:tc>
          <w:tcPr>
            <w:tcW w:w="11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1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19.86</w:t>
            </w:r>
          </w:p>
        </w:tc>
        <w:tc>
          <w:tcPr>
            <w:tcW w:w="11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w:t>
            </w:r>
          </w:p>
        </w:tc>
        <w:tc>
          <w:tcPr>
            <w:tcW w:w="1160"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19.86</w:t>
            </w:r>
          </w:p>
        </w:tc>
        <w:tc>
          <w:tcPr>
            <w:tcW w:w="1198" w:type="dxa"/>
            <w:vAlign w:val="center"/>
          </w:tcPr>
          <w:p>
            <w:pPr>
              <w:keepNext w:val="0"/>
              <w:keepLines w:val="0"/>
              <w:pageBreakBefore w:val="0"/>
              <w:widowControl w:val="0"/>
              <w:kinsoku/>
              <w:overflowPunct/>
              <w:topLinePunct w:val="0"/>
              <w:autoSpaceDN/>
              <w:bidi w:val="0"/>
              <w:adjustRightInd/>
              <w:jc w:val="right"/>
              <w:textAlignment w:val="auto"/>
            </w:pPr>
            <w:r>
              <w:rPr>
                <w:rFonts w:ascii="宋体" w:hAnsi="宋体" w:eastAsia="宋体" w:cs="宋体"/>
                <w:b w:val="0"/>
                <w:i w:val="0"/>
                <w:color w:val="000000"/>
                <w:sz w:val="17"/>
              </w:rPr>
              <w:t>0.71</w:t>
            </w:r>
          </w:p>
        </w:tc>
      </w:tr>
    </w:tbl>
    <w:p>
      <w:pPr>
        <w:keepNext w:val="0"/>
        <w:keepLines w:val="0"/>
        <w:pageBreakBefore w:val="0"/>
        <w:widowControl w:val="0"/>
        <w:kinsoku/>
        <w:overflowPunct/>
        <w:topLinePunct w:val="0"/>
        <w:autoSpaceDN/>
        <w:bidi w:val="0"/>
        <w:adjustRightInd/>
        <w:snapToGrid w:val="0"/>
        <w:spacing w:before="0" w:after="0" w:line="0" w:lineRule="auto"/>
        <w:textAlignment w:val="auto"/>
      </w:pPr>
      <w:r>
        <w:rPr>
          <w:sz w:val="8"/>
        </w:rPr>
        <w:t xml:space="preserve"> </w:t>
      </w:r>
    </w:p>
    <w:p>
      <w:pPr>
        <w:keepNext w:val="0"/>
        <w:keepLines w:val="0"/>
        <w:pageBreakBefore w:val="0"/>
        <w:widowControl w:val="0"/>
        <w:kinsoku/>
        <w:overflowPunct/>
        <w:topLinePunct w:val="0"/>
        <w:autoSpaceDN/>
        <w:bidi w:val="0"/>
        <w:adjustRightInd/>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keepNext w:val="0"/>
        <w:keepLines w:val="0"/>
        <w:pageBreakBefore w:val="0"/>
        <w:widowControl w:val="0"/>
        <w:kinsoku/>
        <w:overflowPunct/>
        <w:topLinePunct w:val="0"/>
        <w:autoSpaceDN/>
        <w:bidi w:val="0"/>
        <w:adjustRightInd/>
        <w:jc w:val="left"/>
        <w:textAlignment w:val="auto"/>
        <w:rPr>
          <w:rFonts w:hint="eastAsia" w:asciiTheme="minorEastAsia" w:hAnsiTheme="minorEastAsia" w:eastAsiaTheme="minorEastAsia" w:cstheme="minorEastAsia"/>
          <w:color w:val="000000"/>
          <w:kern w:val="0"/>
          <w:sz w:val="18"/>
          <w:szCs w:val="18"/>
          <w:lang w:val="en-US" w:eastAsia="zh-CN"/>
        </w:rPr>
      </w:pPr>
    </w:p>
    <w:p>
      <w:pPr>
        <w:keepNext w:val="0"/>
        <w:keepLines w:val="0"/>
        <w:pageBreakBefore w:val="0"/>
        <w:widowControl w:val="0"/>
        <w:kinsoku/>
        <w:overflowPunct/>
        <w:topLinePunct w:val="0"/>
        <w:autoSpaceDN/>
        <w:bidi w:val="0"/>
        <w:adjustRightInd/>
        <w:jc w:val="left"/>
        <w:textAlignment w:val="auto"/>
        <w:rPr>
          <w:rFonts w:hint="eastAsia" w:asciiTheme="minorEastAsia" w:hAnsiTheme="minorEastAsia" w:eastAsiaTheme="minorEastAsia" w:cstheme="minorEastAsia"/>
          <w:sz w:val="18"/>
          <w:szCs w:val="18"/>
          <w:lang w:val="en-US" w:eastAsia="zh-CN"/>
        </w:rPr>
      </w:pPr>
    </w:p>
    <w:p>
      <w:pPr>
        <w:keepNext w:val="0"/>
        <w:keepLines w:val="0"/>
        <w:pageBreakBefore w:val="0"/>
        <w:widowControl w:val="0"/>
        <w:kinsoku/>
        <w:overflowPunct/>
        <w:topLinePunct w:val="0"/>
        <w:autoSpaceDN/>
        <w:bidi w:val="0"/>
        <w:adjustRightInd/>
        <w:jc w:val="left"/>
        <w:textAlignment w:val="auto"/>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lang w:val="en-US" w:eastAsia="zh-CN"/>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lang w:val="en-US" w:eastAsia="zh-CN"/>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textAlignment w:val="auto"/>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bookmarkStart w:id="0" w:name="_GoBack"/>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2023年度收、支总计均为2731.07万元。与上年度相比，收、支总计各减少440.92万元，下降13.90%。主要原因是项目支出减少，人员在职转退休。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2721.73万元，其中：财政拨款收入2721.20万元，占99.98%；上级补助收入0.00万元，占0.00%；事业收入0.00万元，占0.00%；经营收入0.00万元，占0.00%；附属单位上缴收入0.00万元，占0.00%；其他收入0.54万元，占0.02%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2023年度支出合计2730.10万元，其中：基本支出2644.95万元，占96.88%；项目支出85.15万元，占3.12%；上缴上级支出0.00万元，占0.00%；经营支出0.00万元，占0.00%；对附属单位补助支出0.00万元，占0.00%。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2023年度财政拨款收、支总计均为2730.10万元。与上年度相比，财政拨款收、支总计各减少441.20万元，下降13.91%。主要原因是项目支出减少，人员在职转退休。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2023年度一般公共预算财政拨款支出2730.10万元，占支出合计的100.00%。与上年度相比，一般公共预算财政拨款支出减少441.20万元，下降13.91%。主要原因是项目支出减少，人员在职转退休。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2730.10万元，主要用于以下方面：一般公共服务支出（类）1836.92万元，占67.28%；社会保障和就业支出（类）410.65万元，占15.04%；卫生健康支出（类）120.88万元，占4.43%；节能环保支出（类）8.90万元，占0.33%；城乡社区支出（类）240.15万元，占8.80%；住房保障支出（类）112.58万元，占4.12%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2023年度一般公共预算财政拨款支出年初预算为2702.31万元，支出决算为2730.10万元，完成年初预算的101.03%。其中：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1.一般公共服务支出（类）人大事务（款）行政运行（项）</w:t>
      </w:r>
      <w:r>
        <w:rPr>
          <w:rFonts w:hint="default" w:ascii="仿宋" w:hAnsi="仿宋" w:eastAsia="仿宋" w:cs="仿宋"/>
          <w:kern w:val="2"/>
          <w:sz w:val="32"/>
          <w:szCs w:val="32"/>
          <w:lang w:val="en-US" w:eastAsia="zh-CN"/>
        </w:rPr>
        <w:t>年初预算数为2001.92万元，决算数1720.02万元,完成年初预算的85.92%，决算数与年初预算数存在差异的主要原因是人员在职转退休。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年初预算数为10.23万元，决算数10.23万元,完成年初预算的100.00%，决算数与年初预算数不存在差异。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年初预算数为0.00万元，决算数106.67万元,决算数与年初预算数存在差异的主要原因是2021年度平安建设奖发放计入该科目款项。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4.社会保障和就业支出（类）行政事业单位养老支出（款）行政单位离退休（项）</w:t>
      </w:r>
      <w:r>
        <w:rPr>
          <w:rFonts w:hint="default" w:ascii="仿宋" w:hAnsi="仿宋" w:eastAsia="仿宋" w:cs="仿宋"/>
          <w:kern w:val="2"/>
          <w:sz w:val="32"/>
          <w:szCs w:val="32"/>
          <w:lang w:val="en-US" w:eastAsia="zh-CN"/>
        </w:rPr>
        <w:t>年初预算数为240.37万元，决算数294.85万元,完成年初预算的122.67%，决算数与年初预算数存在差异的主要原因是人员在职转退休。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年初预算数为118.30万元，决算数115.80万元,完成年初预算的97.89%，决算数与年初预算数存在差异的主要原因是人员在职转退休。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6.卫生健康支出（类）行政事业单位医疗（款）行政单位医疗（项）</w:t>
      </w:r>
      <w:r>
        <w:rPr>
          <w:rFonts w:hint="default" w:ascii="仿宋" w:hAnsi="仿宋" w:eastAsia="仿宋" w:cs="仿宋"/>
          <w:kern w:val="2"/>
          <w:sz w:val="32"/>
          <w:szCs w:val="32"/>
          <w:lang w:val="en-US" w:eastAsia="zh-CN"/>
        </w:rPr>
        <w:t>年初预算数为54.55万元，决算数54.55万元,完成年初预算的100.00%，决算数与年初预算数不存在差异。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7.卫生健康支出（类）行政事业单位医疗（款）事业单位医疗（项）</w:t>
      </w:r>
      <w:r>
        <w:rPr>
          <w:rFonts w:hint="default" w:ascii="仿宋" w:hAnsi="仿宋" w:eastAsia="仿宋" w:cs="仿宋"/>
          <w:kern w:val="2"/>
          <w:sz w:val="32"/>
          <w:szCs w:val="32"/>
          <w:lang w:val="en-US" w:eastAsia="zh-CN"/>
        </w:rPr>
        <w:t>年初预算数为7.95万元，决算数2.71万元,完成年初预算的34.09%，决算数与年初预算数存在差异的主要原因是人员在职转退休。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8.卫生健康支出（类）行政事业单位医疗（款）公务员医疗补助（项）</w:t>
      </w:r>
      <w:r>
        <w:rPr>
          <w:rFonts w:hint="default" w:ascii="仿宋" w:hAnsi="仿宋" w:eastAsia="仿宋" w:cs="仿宋"/>
          <w:kern w:val="2"/>
          <w:sz w:val="32"/>
          <w:szCs w:val="32"/>
          <w:lang w:val="en-US" w:eastAsia="zh-CN"/>
        </w:rPr>
        <w:t>年初预算数为69.45万元，决算数63.62万元,完成年初预算的91.61%，决算数与年初预算数存在差异的主要原因是人员在职转退休。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9.节能环保支出（类）污染防治（款）大气（项）</w:t>
      </w:r>
      <w:r>
        <w:rPr>
          <w:rFonts w:hint="default" w:ascii="仿宋" w:hAnsi="仿宋" w:eastAsia="仿宋" w:cs="仿宋"/>
          <w:kern w:val="2"/>
          <w:sz w:val="32"/>
          <w:szCs w:val="32"/>
          <w:lang w:val="en-US" w:eastAsia="zh-CN"/>
        </w:rPr>
        <w:t>年初预算数为0.00万元，决算数8.90万元,决算数与年初预算数存在差异的主要原因是新增项目款项。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10.城乡社区支出（类）城乡社区管理事务（款）行政运行（项）</w:t>
      </w:r>
      <w:r>
        <w:rPr>
          <w:rFonts w:hint="default" w:ascii="仿宋" w:hAnsi="仿宋" w:eastAsia="仿宋" w:cs="仿宋"/>
          <w:kern w:val="2"/>
          <w:sz w:val="32"/>
          <w:szCs w:val="32"/>
          <w:lang w:val="en-US" w:eastAsia="zh-CN"/>
        </w:rPr>
        <w:t>年初预算数为0.00万元，决算数163.91万元,决算数与年初预算数存在差异的主要原因是2021年-2022年未休假补贴及2022年平安建设奖等奖金计入该款项。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11.城乡社区支出（类）城乡社区管理事务（款）一般行政管理事务（项）</w:t>
      </w:r>
      <w:r>
        <w:rPr>
          <w:rFonts w:hint="default" w:ascii="仿宋" w:hAnsi="仿宋" w:eastAsia="仿宋" w:cs="仿宋"/>
          <w:kern w:val="2"/>
          <w:sz w:val="32"/>
          <w:szCs w:val="32"/>
          <w:lang w:val="en-US" w:eastAsia="zh-CN"/>
        </w:rPr>
        <w:t>年初预算数为80.49万元，决算数76.25万元,完成年初预算的94.73%，决算数与年初预算数存在差异的主要原因是临时人员减少，项目支出减少。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12.住房保障支出（类）住房改革支出（款）住房公积金（项）</w:t>
      </w:r>
      <w:r>
        <w:rPr>
          <w:rFonts w:hint="default" w:ascii="仿宋" w:hAnsi="仿宋" w:eastAsia="仿宋" w:cs="仿宋"/>
          <w:kern w:val="2"/>
          <w:sz w:val="32"/>
          <w:szCs w:val="32"/>
          <w:lang w:val="en-US" w:eastAsia="zh-CN"/>
        </w:rPr>
        <w:t>年初预算数为119.05万元，决算数112.58万元,完成年初预算的94.57%，决算数与年初预算数存在差异的主要原因是人员在职转退休。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2644.95万元。其中：人员经费2474.82万元，主要包括：基本工资、津贴补贴、奖金、机关事业单位基本养老保险缴费、职工基本医疗保险缴费、公务员医疗补助缴费、其他社会保障缴费、住房公积金、退休费。公用经费170.13万元，主要包括：办公费、印刷费、咨询费、水费、电费、邮电费、物业管理费、差旅费、维修（护）费、租赁费、会议费、培训费、公务接待费、劳务费、委托业务费、工会经费、福利费、公务用车运行维护费、其他交通费用、其他商品和服务支出、办公设备购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2023年度“三公”经费财政拨款支出预算为20.58万元，支出决算为20.58万元，完成预算的100.00%。2023年度“三公”经费支出决算数与预算数无差异。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19.86万元,完成预算的100.00%，占96.50%；公务接待费支出决算0.71万元，完成预算的100.00%，占3.45%。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预算为19.86万元，支出决算为19.86万元，完成预算的100.00%。决算数与预算数无差异。其中：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19.86万元。主要用于支付燃料费、维修费、保险等。2023年期末，单位开支财政拨款的公务用车保有量为</w:t>
      </w:r>
      <w:r>
        <w:rPr>
          <w:rFonts w:hint="eastAsia" w:ascii="仿宋" w:hAnsi="仿宋" w:eastAsia="仿宋" w:cs="仿宋"/>
          <w:kern w:val="2"/>
          <w:sz w:val="32"/>
          <w:szCs w:val="32"/>
          <w:lang w:val="en-US" w:eastAsia="zh-CN"/>
        </w:rPr>
        <w:t>23</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预算为0.71万元，支出决算为0.71万元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0.71</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主要用于接待兄弟单位学习及调研。</w:t>
      </w:r>
      <w:r>
        <w:rPr>
          <w:rFonts w:hint="eastAsia" w:ascii="仿宋" w:hAnsi="仿宋" w:eastAsia="仿宋" w:cs="仿宋"/>
          <w:kern w:val="0"/>
          <w:sz w:val="32"/>
          <w:szCs w:val="32"/>
          <w:lang w:val="en-US" w:eastAsia="zh-CN"/>
        </w:rPr>
        <w:t>2023年共接待国内来访团组8个、来宾40人次（不包括陪同人员）</w:t>
      </w:r>
      <w:r>
        <w:rPr>
          <w:rFonts w:hint="eastAsia" w:ascii="仿宋" w:hAnsi="仿宋" w:eastAsia="仿宋" w:cs="仿宋"/>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2023年度机关运行经费支出170.13万元，较2022年度下降28.69万元，下降14.43%，主要原因是我单位严格执行“八项规定”，节约预算资金使用，减少不必要的公务活动，压缩三公经费开支。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2023年期末，本单位共有车辆28辆，其中：省级领导干部用车0辆、主要领导干部用车0辆、机要通信用车0辆、应急保障车0辆、执法执勤用车28辆、特种专业技术用车0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辆、离退休干部用车0辆、其他用车0辆；单价100万元（含）以上设备（不含车辆）0台（套）。财政拨款的公务用车保有量与国有资产车辆差异原因:我单位保留电动执勤车5辆。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涉及预算资金2730.1万元。自评得分为100分，等级为“优”。从单位整体自评情况来看，单位资金到位及时，单位资金实施过程中严格按实际需要实施，具有较高的效率。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基于项目预期目标的实现程度，我单位对2023年度单位预算项目支出（含单位参与分配的转移支付项目）开展绩效自评，涉及项目3个，项目金额85.15万元。其中：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临时人员工资及社保，自评得分为97.32分，等级为“优”。年初预算数80.49万元，全年预算数80.49万元，全年执行数58.92万元，预算执行率为73.20%。该项目按照实施内容和目标进行开展，项目预算执行、产出指标、经济指标、服务对象满意度等指标完成较好，达到了预期效果，有力的保证了我单位工作业务的开展，项目的实施效果得到了实施对象的满意和认可。由于临时人员流动相较大，该项目预算执行率未达到100%。下一步我支队将加大对临时人员的人文关怀，争取100%完成预算执行数。</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餐饮油烟在线监控平台(尾款)，自评得分为100分，等级为“优”。年初预算数0万元，全年预算数8.9万元，全年执行数8.9万元，预算执行率为100%。该项目按照实施内容和目标进行开展，项目预算执行、产出指标、经济指标、服务对象满意度等指标完成较好，达到了预期效果，有力的保证了我单位餐饮油烟工作业务的开展，项目的实施效果得到了实施对象的满意和认可。下一步我支队将加大对餐饮门店的检查力度，致力于餐饮油烟达标排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毓秀路街景整治提升项目(尾款)，自评得分为100分，等级为“优”。年初预算数0万元，全年预算数17.33万元，全年执行数17.33万元，预算执行率为100%。该项目按照实施内容和目标进行开展，项目预算执行、产出指标、经济指标、服务对象满意度等指标完成较好，达到了预期效果，有力的保证了我市的市容市貌，项目的实施效果得到了实施对象的满意和认可。下一步我支队将加大对沿街门店的治理，努力打造美丽许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从项目绩效自评情况来看，三个项目按照实施内容和目标进行开展，项目预算执行、产出指标、经济指标、服务对象满意度等指标完成较好，达到了预期效果。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bookmarkEnd w:id="0"/>
    <w:tbl>
      <w:tblPr>
        <w:tblStyle w:val="11"/>
        <w:tblW w:w="14295" w:type="dxa"/>
        <w:tblInd w:w="93" w:type="dxa"/>
        <w:shd w:val="clear" w:color="auto" w:fill="auto"/>
        <w:tblLayout w:type="autofit"/>
        <w:tblCellMar>
          <w:top w:w="0" w:type="dxa"/>
          <w:left w:w="108" w:type="dxa"/>
          <w:bottom w:w="0" w:type="dxa"/>
          <w:right w:w="108" w:type="dxa"/>
        </w:tblCellMar>
      </w:tblPr>
      <w:tblGrid>
        <w:gridCol w:w="555"/>
        <w:gridCol w:w="555"/>
        <w:gridCol w:w="1800"/>
        <w:gridCol w:w="2895"/>
        <w:gridCol w:w="1620"/>
        <w:gridCol w:w="3135"/>
        <w:gridCol w:w="1080"/>
        <w:gridCol w:w="675"/>
        <w:gridCol w:w="930"/>
        <w:gridCol w:w="1050"/>
      </w:tblGrid>
      <w:tr>
        <w:tblPrEx>
          <w:tblCellMar>
            <w:top w:w="0" w:type="dxa"/>
            <w:left w:w="108" w:type="dxa"/>
            <w:bottom w:w="0" w:type="dxa"/>
            <w:right w:w="108" w:type="dxa"/>
          </w:tblCellMar>
        </w:tblPrEx>
        <w:trPr>
          <w:trHeight w:val="270" w:hRule="atLeast"/>
        </w:trPr>
        <w:tc>
          <w:tcPr>
            <w:tcW w:w="555" w:type="dxa"/>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jc w:val="left"/>
              <w:textAlignment w:val="auto"/>
              <w:rPr>
                <w:rFonts w:ascii="黑体" w:hAnsi="黑体" w:eastAsia="黑体" w:cs="宋体"/>
                <w:color w:val="000000"/>
                <w:kern w:val="0"/>
                <w:sz w:val="22"/>
              </w:rPr>
            </w:pPr>
            <w:r>
              <w:rPr>
                <w:rFonts w:hint="eastAsia" w:ascii="黑体" w:hAnsi="黑体" w:eastAsia="黑体" w:cs="宋体"/>
                <w:color w:val="000000"/>
                <w:kern w:val="0"/>
                <w:sz w:val="22"/>
              </w:rPr>
              <w:t>附件1</w:t>
            </w:r>
          </w:p>
        </w:tc>
        <w:tc>
          <w:tcPr>
            <w:tcW w:w="555" w:type="dxa"/>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jc w:val="left"/>
              <w:textAlignment w:val="auto"/>
              <w:rPr>
                <w:rFonts w:ascii="黑体" w:hAnsi="黑体" w:eastAsia="黑体" w:cs="宋体"/>
                <w:color w:val="000000"/>
                <w:kern w:val="0"/>
                <w:sz w:val="22"/>
              </w:rPr>
            </w:pPr>
          </w:p>
        </w:tc>
        <w:tc>
          <w:tcPr>
            <w:tcW w:w="1800" w:type="dxa"/>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p>
        </w:tc>
        <w:tc>
          <w:tcPr>
            <w:tcW w:w="2895" w:type="dxa"/>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p>
        </w:tc>
        <w:tc>
          <w:tcPr>
            <w:tcW w:w="1620" w:type="dxa"/>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p>
        </w:tc>
        <w:tc>
          <w:tcPr>
            <w:tcW w:w="3135" w:type="dxa"/>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20"/>
                <w:szCs w:val="20"/>
              </w:rPr>
            </w:pPr>
          </w:p>
        </w:tc>
        <w:tc>
          <w:tcPr>
            <w:tcW w:w="675" w:type="dxa"/>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20"/>
                <w:szCs w:val="20"/>
              </w:rPr>
            </w:pPr>
          </w:p>
        </w:tc>
        <w:tc>
          <w:tcPr>
            <w:tcW w:w="930" w:type="dxa"/>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20"/>
                <w:szCs w:val="20"/>
              </w:rPr>
            </w:pPr>
          </w:p>
        </w:tc>
        <w:tc>
          <w:tcPr>
            <w:tcW w:w="1050" w:type="dxa"/>
            <w:tcBorders>
              <w:top w:val="nil"/>
              <w:left w:val="nil"/>
              <w:bottom w:val="nil"/>
              <w:right w:val="nil"/>
            </w:tcBorders>
            <w:shd w:val="clear" w:color="auto" w:fill="auto"/>
            <w:noWrap/>
            <w:vAlign w:val="bottom"/>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14295" w:type="dxa"/>
            <w:gridSpan w:val="10"/>
            <w:tcBorders>
              <w:top w:val="nil"/>
              <w:left w:val="nil"/>
              <w:bottom w:val="nil"/>
              <w:right w:val="nil"/>
            </w:tcBorders>
            <w:shd w:val="clear" w:color="auto" w:fill="auto"/>
            <w:noWrap w:val="0"/>
            <w:vAlign w:val="bottom"/>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b/>
                <w:bCs/>
                <w:color w:val="000000"/>
                <w:kern w:val="0"/>
                <w:sz w:val="32"/>
                <w:szCs w:val="32"/>
              </w:rPr>
            </w:pPr>
            <w:r>
              <w:rPr>
                <w:rFonts w:hint="eastAsia" w:ascii="宋体" w:hAnsi="宋体" w:cs="宋体"/>
                <w:b/>
                <w:bCs/>
                <w:color w:val="000000"/>
                <w:kern w:val="0"/>
                <w:sz w:val="32"/>
                <w:szCs w:val="32"/>
              </w:rPr>
              <w:t>单位整体自评表</w:t>
            </w:r>
          </w:p>
        </w:tc>
      </w:tr>
      <w:tr>
        <w:tblPrEx>
          <w:tblCellMar>
            <w:top w:w="0" w:type="dxa"/>
            <w:left w:w="108" w:type="dxa"/>
            <w:bottom w:w="0" w:type="dxa"/>
            <w:right w:w="108" w:type="dxa"/>
          </w:tblCellMar>
        </w:tblPrEx>
        <w:trPr>
          <w:trHeight w:val="405" w:hRule="atLeast"/>
        </w:trPr>
        <w:tc>
          <w:tcPr>
            <w:tcW w:w="14295" w:type="dxa"/>
            <w:gridSpan w:val="10"/>
            <w:tcBorders>
              <w:top w:val="nil"/>
              <w:left w:val="nil"/>
              <w:bottom w:val="nil"/>
              <w:right w:val="nil"/>
            </w:tcBorders>
            <w:shd w:val="clear" w:color="auto" w:fill="auto"/>
            <w:noWrap w:val="0"/>
            <w:vAlign w:val="bottom"/>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22"/>
              </w:rPr>
            </w:pPr>
            <w:r>
              <w:rPr>
                <w:rFonts w:hint="eastAsia" w:ascii="宋体" w:hAnsi="宋体" w:cs="宋体"/>
                <w:color w:val="000000"/>
                <w:kern w:val="0"/>
                <w:sz w:val="22"/>
              </w:rPr>
              <w:t>（    2023 年度）</w:t>
            </w:r>
          </w:p>
        </w:tc>
      </w:tr>
      <w:tr>
        <w:tblPrEx>
          <w:tblCellMar>
            <w:top w:w="0" w:type="dxa"/>
            <w:left w:w="108" w:type="dxa"/>
            <w:bottom w:w="0" w:type="dxa"/>
            <w:right w:w="108" w:type="dxa"/>
          </w:tblCellMar>
        </w:tblPrEx>
        <w:trPr>
          <w:trHeight w:val="405" w:hRule="atLeast"/>
        </w:trPr>
        <w:tc>
          <w:tcPr>
            <w:tcW w:w="555" w:type="dxa"/>
            <w:tcBorders>
              <w:top w:val="nil"/>
              <w:left w:val="nil"/>
              <w:bottom w:val="single" w:color="000000" w:sz="4" w:space="0"/>
              <w:right w:val="nil"/>
            </w:tcBorders>
            <w:shd w:val="clear" w:color="auto" w:fill="auto"/>
            <w:noWrap w:val="0"/>
            <w:vAlign w:val="bottom"/>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555" w:type="dxa"/>
            <w:tcBorders>
              <w:top w:val="nil"/>
              <w:left w:val="nil"/>
              <w:bottom w:val="single" w:color="000000" w:sz="4" w:space="0"/>
              <w:right w:val="nil"/>
            </w:tcBorders>
            <w:shd w:val="clear" w:color="auto" w:fill="auto"/>
            <w:noWrap w:val="0"/>
            <w:vAlign w:val="bottom"/>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tcBorders>
              <w:top w:val="nil"/>
              <w:left w:val="nil"/>
              <w:bottom w:val="single" w:color="000000" w:sz="4" w:space="0"/>
              <w:right w:val="nil"/>
            </w:tcBorders>
            <w:shd w:val="clear" w:color="auto" w:fill="auto"/>
            <w:noWrap w:val="0"/>
            <w:vAlign w:val="bottom"/>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nil"/>
              <w:left w:val="nil"/>
              <w:bottom w:val="single" w:color="000000" w:sz="4" w:space="0"/>
              <w:right w:val="nil"/>
            </w:tcBorders>
            <w:shd w:val="clear" w:color="auto" w:fill="auto"/>
            <w:noWrap w:val="0"/>
            <w:vAlign w:val="bottom"/>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620" w:type="dxa"/>
            <w:tcBorders>
              <w:top w:val="nil"/>
              <w:left w:val="nil"/>
              <w:bottom w:val="single" w:color="000000" w:sz="4" w:space="0"/>
              <w:right w:val="nil"/>
            </w:tcBorders>
            <w:shd w:val="clear" w:color="auto" w:fill="auto"/>
            <w:noWrap w:val="0"/>
            <w:vAlign w:val="bottom"/>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135" w:type="dxa"/>
            <w:tcBorders>
              <w:top w:val="nil"/>
              <w:left w:val="nil"/>
              <w:bottom w:val="single" w:color="000000" w:sz="4" w:space="0"/>
              <w:right w:val="nil"/>
            </w:tcBorders>
            <w:shd w:val="clear" w:color="auto" w:fill="auto"/>
            <w:noWrap w:val="0"/>
            <w:vAlign w:val="bottom"/>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755" w:type="dxa"/>
            <w:gridSpan w:val="2"/>
            <w:tcBorders>
              <w:top w:val="nil"/>
              <w:left w:val="nil"/>
              <w:bottom w:val="single" w:color="000000" w:sz="4" w:space="0"/>
              <w:right w:val="nil"/>
            </w:tcBorders>
            <w:shd w:val="clear" w:color="auto" w:fill="auto"/>
            <w:noWrap w:val="0"/>
            <w:vAlign w:val="bottom"/>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填表人及联系方式：</w:t>
            </w:r>
          </w:p>
        </w:tc>
        <w:tc>
          <w:tcPr>
            <w:tcW w:w="1980" w:type="dxa"/>
            <w:gridSpan w:val="2"/>
            <w:tcBorders>
              <w:top w:val="nil"/>
              <w:left w:val="nil"/>
              <w:bottom w:val="single" w:color="000000" w:sz="4" w:space="0"/>
              <w:right w:val="nil"/>
            </w:tcBorders>
            <w:shd w:val="clear" w:color="auto" w:fill="auto"/>
            <w:noWrap w:val="0"/>
            <w:vAlign w:val="bottom"/>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李媛媛15938733150</w:t>
            </w:r>
          </w:p>
        </w:tc>
      </w:tr>
      <w:tr>
        <w:tblPrEx>
          <w:tblCellMar>
            <w:top w:w="0" w:type="dxa"/>
            <w:left w:w="108" w:type="dxa"/>
            <w:bottom w:w="0" w:type="dxa"/>
            <w:right w:w="108" w:type="dxa"/>
          </w:tblCellMar>
        </w:tblPrEx>
        <w:trPr>
          <w:trHeight w:val="312" w:hRule="atLeast"/>
        </w:trPr>
        <w:tc>
          <w:tcPr>
            <w:tcW w:w="29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单位名称</w:t>
            </w:r>
          </w:p>
        </w:tc>
        <w:tc>
          <w:tcPr>
            <w:tcW w:w="113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许昌市城市管理执法支队</w:t>
            </w:r>
          </w:p>
        </w:tc>
      </w:tr>
      <w:tr>
        <w:tblPrEx>
          <w:tblCellMar>
            <w:top w:w="0" w:type="dxa"/>
            <w:left w:w="108" w:type="dxa"/>
            <w:bottom w:w="0" w:type="dxa"/>
            <w:right w:w="108" w:type="dxa"/>
          </w:tblCellMar>
        </w:tblPrEx>
        <w:trPr>
          <w:trHeight w:val="312" w:hRule="atLeast"/>
        </w:trPr>
        <w:tc>
          <w:tcPr>
            <w:tcW w:w="29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13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预算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执行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情况</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年初预算数</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分值</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trHeight w:val="42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469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单位预算总额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2702.31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2730.1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2730.1</w:t>
            </w:r>
          </w:p>
        </w:tc>
        <w:tc>
          <w:tcPr>
            <w:tcW w:w="675" w:type="dxa"/>
            <w:vMerge w:val="restart"/>
            <w:tcBorders>
              <w:top w:val="single" w:color="000000" w:sz="4" w:space="0"/>
              <w:left w:val="single" w:color="000000" w:sz="4" w:space="0"/>
              <w:bottom w:val="nil"/>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050" w:type="dxa"/>
            <w:vMerge w:val="restart"/>
            <w:tcBorders>
              <w:top w:val="single" w:color="000000" w:sz="4" w:space="0"/>
              <w:left w:val="single" w:color="000000" w:sz="4" w:space="0"/>
              <w:bottom w:val="nil"/>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r>
      <w:tr>
        <w:tblPrEx>
          <w:tblCellMar>
            <w:top w:w="0" w:type="dxa"/>
            <w:left w:w="108" w:type="dxa"/>
            <w:bottom w:w="0" w:type="dxa"/>
            <w:right w:w="108" w:type="dxa"/>
          </w:tblCellMar>
        </w:tblPrEx>
        <w:trPr>
          <w:trHeight w:val="42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资金来源</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政府预算资金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2702.31</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2730.1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2730.1</w:t>
            </w:r>
          </w:p>
        </w:tc>
        <w:tc>
          <w:tcPr>
            <w:tcW w:w="675"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101.03%</w:t>
            </w:r>
          </w:p>
        </w:tc>
        <w:tc>
          <w:tcPr>
            <w:tcW w:w="1050"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050"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050"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110" w:type="dxa"/>
            <w:gridSpan w:val="2"/>
            <w:vMerge w:val="restart"/>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年度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履职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w:t>
            </w:r>
          </w:p>
        </w:tc>
        <w:tc>
          <w:tcPr>
            <w:tcW w:w="945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预期目标</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实际完成情况</w:t>
            </w:r>
          </w:p>
        </w:tc>
      </w:tr>
      <w:tr>
        <w:tblPrEx>
          <w:tblCellMar>
            <w:top w:w="0" w:type="dxa"/>
            <w:left w:w="108" w:type="dxa"/>
            <w:bottom w:w="0" w:type="dxa"/>
            <w:right w:w="108" w:type="dxa"/>
          </w:tblCellMar>
        </w:tblPrEx>
        <w:trPr>
          <w:trHeight w:val="420" w:hRule="atLeast"/>
        </w:trPr>
        <w:tc>
          <w:tcPr>
            <w:tcW w:w="1110" w:type="dxa"/>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目标名称</w:t>
            </w:r>
          </w:p>
        </w:tc>
        <w:tc>
          <w:tcPr>
            <w:tcW w:w="76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主要内容 </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目标完成情况</w:t>
            </w:r>
          </w:p>
        </w:tc>
      </w:tr>
      <w:tr>
        <w:tblPrEx>
          <w:tblCellMar>
            <w:top w:w="0" w:type="dxa"/>
            <w:left w:w="108" w:type="dxa"/>
            <w:bottom w:w="0" w:type="dxa"/>
            <w:right w:w="108" w:type="dxa"/>
          </w:tblCellMar>
        </w:tblPrEx>
        <w:trPr>
          <w:trHeight w:val="420" w:hRule="atLeast"/>
        </w:trPr>
        <w:tc>
          <w:tcPr>
            <w:tcW w:w="1110" w:type="dxa"/>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目标1：</w:t>
            </w:r>
          </w:p>
        </w:tc>
        <w:tc>
          <w:tcPr>
            <w:tcW w:w="76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开展市容市貌集中整治</w:t>
            </w:r>
          </w:p>
        </w:tc>
        <w:tc>
          <w:tcPr>
            <w:tcW w:w="373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完成</w:t>
            </w:r>
          </w:p>
        </w:tc>
      </w:tr>
      <w:tr>
        <w:tblPrEx>
          <w:tblCellMar>
            <w:top w:w="0" w:type="dxa"/>
            <w:left w:w="108" w:type="dxa"/>
            <w:bottom w:w="0" w:type="dxa"/>
            <w:right w:w="108" w:type="dxa"/>
          </w:tblCellMar>
        </w:tblPrEx>
        <w:trPr>
          <w:trHeight w:val="420" w:hRule="atLeast"/>
        </w:trPr>
        <w:tc>
          <w:tcPr>
            <w:tcW w:w="1110" w:type="dxa"/>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目标2：</w:t>
            </w:r>
          </w:p>
        </w:tc>
        <w:tc>
          <w:tcPr>
            <w:tcW w:w="76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巩固大气污染治理成果   </w:t>
            </w:r>
          </w:p>
        </w:tc>
        <w:tc>
          <w:tcPr>
            <w:tcW w:w="37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110" w:type="dxa"/>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目标3：</w:t>
            </w:r>
          </w:p>
        </w:tc>
        <w:tc>
          <w:tcPr>
            <w:tcW w:w="76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开展城市空间清洁行动 </w:t>
            </w:r>
          </w:p>
        </w:tc>
        <w:tc>
          <w:tcPr>
            <w:tcW w:w="37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110" w:type="dxa"/>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目标4：</w:t>
            </w:r>
          </w:p>
        </w:tc>
        <w:tc>
          <w:tcPr>
            <w:tcW w:w="76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持续推行依法行政  </w:t>
            </w:r>
          </w:p>
        </w:tc>
        <w:tc>
          <w:tcPr>
            <w:tcW w:w="37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110" w:type="dxa"/>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目标5：</w:t>
            </w:r>
          </w:p>
        </w:tc>
        <w:tc>
          <w:tcPr>
            <w:tcW w:w="76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提高城管队伍建设</w:t>
            </w:r>
          </w:p>
        </w:tc>
        <w:tc>
          <w:tcPr>
            <w:tcW w:w="37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年度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主要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任务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任务名称</w:t>
            </w:r>
          </w:p>
        </w:tc>
        <w:tc>
          <w:tcPr>
            <w:tcW w:w="76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主要内容 </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任务完成情况</w:t>
            </w:r>
          </w:p>
        </w:tc>
      </w:tr>
      <w:tr>
        <w:tblPrEx>
          <w:tblCellMar>
            <w:top w:w="0" w:type="dxa"/>
            <w:left w:w="108" w:type="dxa"/>
            <w:bottom w:w="0" w:type="dxa"/>
            <w:right w:w="108" w:type="dxa"/>
          </w:tblCellMar>
        </w:tblPrEx>
        <w:trPr>
          <w:trHeight w:val="120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任务1：展市容市貌集中整治</w:t>
            </w:r>
          </w:p>
        </w:tc>
        <w:tc>
          <w:tcPr>
            <w:tcW w:w="76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以群众反映强烈的热点、难点问题的突破点，开展市容市貌集中整治。围绕七一路、建设路、莲城大道等13条主干道开展占道经营专项整治，力争实现占道经营、店外经营全部清理取缔。</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完成</w:t>
            </w:r>
          </w:p>
        </w:tc>
      </w:tr>
      <w:tr>
        <w:tblPrEx>
          <w:tblCellMar>
            <w:top w:w="0" w:type="dxa"/>
            <w:left w:w="108" w:type="dxa"/>
            <w:bottom w:w="0" w:type="dxa"/>
            <w:right w:w="108" w:type="dxa"/>
          </w:tblCellMar>
        </w:tblPrEx>
        <w:trPr>
          <w:trHeight w:val="128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任务2：巩固大气污染治理成果</w:t>
            </w:r>
          </w:p>
        </w:tc>
        <w:tc>
          <w:tcPr>
            <w:tcW w:w="76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加大对市管区域餐饮服务业单位油烟排放情况的监管力度，进一步提高巡查率、检测率。对油烟超标排放、闲置净化设备等，依法依规从重处罚。</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完成</w:t>
            </w:r>
          </w:p>
        </w:tc>
      </w:tr>
      <w:tr>
        <w:tblPrEx>
          <w:tblCellMar>
            <w:top w:w="0" w:type="dxa"/>
            <w:left w:w="108" w:type="dxa"/>
            <w:bottom w:w="0" w:type="dxa"/>
            <w:right w:w="108" w:type="dxa"/>
          </w:tblCellMar>
        </w:tblPrEx>
        <w:trPr>
          <w:trHeight w:val="128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任务3：开展城市空间清洁行动</w:t>
            </w:r>
          </w:p>
        </w:tc>
        <w:tc>
          <w:tcPr>
            <w:tcW w:w="76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以主次干道、游园广场、商场超市等区域为重点，适时组织开展专项行动，集中清理乱贴乱画、乱涂乱写、乱设闪光牌等.</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完成</w:t>
            </w:r>
          </w:p>
        </w:tc>
      </w:tr>
      <w:tr>
        <w:tblPrEx>
          <w:tblCellMar>
            <w:top w:w="0" w:type="dxa"/>
            <w:left w:w="108" w:type="dxa"/>
            <w:bottom w:w="0" w:type="dxa"/>
            <w:right w:w="108" w:type="dxa"/>
          </w:tblCellMar>
        </w:tblPrEx>
        <w:trPr>
          <w:trHeight w:val="128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任务4：持续推行依法行政</w:t>
            </w:r>
          </w:p>
        </w:tc>
        <w:tc>
          <w:tcPr>
            <w:tcW w:w="76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以建立健全规章制度为重点，建立按制度、按程序办事的运行机制，实行城管执法工作制度化、法治化。</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完成</w:t>
            </w:r>
          </w:p>
        </w:tc>
      </w:tr>
      <w:tr>
        <w:tblPrEx>
          <w:tblCellMar>
            <w:top w:w="0" w:type="dxa"/>
            <w:left w:w="108" w:type="dxa"/>
            <w:bottom w:w="0" w:type="dxa"/>
            <w:right w:w="108" w:type="dxa"/>
          </w:tblCellMar>
        </w:tblPrEx>
        <w:trPr>
          <w:trHeight w:val="128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任务5：提高城管队伍建设</w:t>
            </w:r>
          </w:p>
        </w:tc>
        <w:tc>
          <w:tcPr>
            <w:tcW w:w="76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以巩固“强基础、转作风、树形象”三年提升行动成果，狠抓作风纪律建设，严守文明执法底线，打造全省一流执法队伍。同时，发挥执法支队行业督导作用，实现全市城管队伍的同步发展、整体提升</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完成</w:t>
            </w:r>
          </w:p>
        </w:tc>
      </w:tr>
      <w:tr>
        <w:tblPrEx>
          <w:tblCellMar>
            <w:top w:w="0" w:type="dxa"/>
            <w:left w:w="108" w:type="dxa"/>
            <w:bottom w:w="0" w:type="dxa"/>
            <w:right w:w="108" w:type="dxa"/>
          </w:tblCellMar>
        </w:tblPrEx>
        <w:trPr>
          <w:trHeight w:val="31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分值</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89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指标值说明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分值</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得分</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偏差原因分析及改进措施</w:t>
            </w:r>
          </w:p>
        </w:tc>
      </w:tr>
      <w:tr>
        <w:tblPrEx>
          <w:tblCellMar>
            <w:top w:w="0" w:type="dxa"/>
            <w:left w:w="108" w:type="dxa"/>
            <w:bottom w:w="0" w:type="dxa"/>
            <w:right w:w="108"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投入管理指标</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30</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工作目标管理</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年度履职目标相关性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相关</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工作任务科学性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科学</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绩效指标合理性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24"/>
                <w:szCs w:val="24"/>
              </w:rPr>
            </w:pPr>
            <w:r>
              <w:rPr>
                <w:rFonts w:hint="eastAsia" w:ascii="宋体" w:hAnsi="宋体" w:cs="宋体"/>
                <w:color w:val="000000"/>
                <w:kern w:val="0"/>
                <w:sz w:val="24"/>
                <w:szCs w:val="24"/>
              </w:rPr>
              <w:t>合理</w:t>
            </w:r>
          </w:p>
        </w:tc>
        <w:tc>
          <w:tcPr>
            <w:tcW w:w="3135" w:type="dxa"/>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预算和财务管理</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预算编制完整性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完整</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1.部门所有收入是否全部纳入部门预算；2.部门支出预算是否统筹各类资金来源，全部纳入部门预算管理。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仿宋" w:hAnsi="仿宋" w:eastAsia="仿宋" w:cs="宋体"/>
                <w:color w:val="000000"/>
                <w:kern w:val="0"/>
                <w:sz w:val="20"/>
                <w:szCs w:val="20"/>
              </w:rPr>
            </w:pPr>
            <w:r>
              <w:rPr>
                <w:rFonts w:hint="eastAsia" w:ascii="仿宋" w:hAnsi="仿宋" w:eastAsia="仿宋" w:cs="宋体"/>
                <w:color w:val="000000"/>
                <w:kern w:val="0"/>
                <w:sz w:val="20"/>
                <w:szCs w:val="20"/>
              </w:rPr>
              <w:t>完整</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专项资金细化率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专项资金细化率=（已细化到具体市县和承担单位的资金数/部门参与分配资金总数）×100%。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预算调整率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结转结余率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结转结余率=结转结余总额/预算数*100%。结转结余总额是指部门本年度的结转结余资金之和。预算数是指财政部门批复的本年度调整预算数。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“三公经费”控制率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50.00%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“三公经费”控制率=本年度“三公经费”实际支出数/“三公经费”预算数*100%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27.07%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政府采购执行率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黑体" w:hAnsi="黑体" w:eastAsia="黑体" w:cs="宋体"/>
                <w:color w:val="000000"/>
                <w:kern w:val="0"/>
                <w:sz w:val="20"/>
                <w:szCs w:val="20"/>
              </w:rPr>
            </w:pPr>
            <w:r>
              <w:rPr>
                <w:rFonts w:hint="eastAsia" w:ascii="黑体" w:hAnsi="黑体" w:eastAsia="黑体" w:cs="宋体"/>
                <w:color w:val="000000"/>
                <w:kern w:val="0"/>
                <w:sz w:val="20"/>
                <w:szCs w:val="20"/>
              </w:rPr>
              <w:t>100%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政府采购执行率=（实际政府采购金额/政府采购预算数）×100%。政府采购预算：采购机关根据事业发展计划和行政任务编制的、并经过规定程序批准的年度政府采购计划。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黑体" w:hAnsi="黑体" w:eastAsia="黑体" w:cs="宋体"/>
                <w:color w:val="000000"/>
                <w:kern w:val="0"/>
                <w:sz w:val="20"/>
                <w:szCs w:val="20"/>
              </w:rPr>
            </w:pPr>
            <w:r>
              <w:rPr>
                <w:rFonts w:hint="eastAsia" w:ascii="黑体" w:hAnsi="黑体" w:eastAsia="黑体" w:cs="宋体"/>
                <w:color w:val="000000"/>
                <w:kern w:val="0"/>
                <w:sz w:val="20"/>
                <w:szCs w:val="20"/>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决算真实性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真实</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反映本部门决算工作情况。决算编制数据是否账表一致，即决算报表数据与会计账簿数据是否一致。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真实</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资金使用合规性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合规</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单位是否按照相关法律法规以及资金管理办法规定的用途使用预算资金，用以反映和考核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合规</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管理制度健全性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健全</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单位为加强预算管理，规范财务行为而制定的管理制度是否健全完整，用以反映和考核单位预算管理制度为完成主要职责或促成事业发展的保障情况。1.是否已制定或具有预算资金管理办法、内部管理制度、会计核算制度、会计岗位制度等管理制度；2.相关管理制度是否得到有效执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健全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预决算信息公开性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公开</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单位是否按照政府信息公开有关规定公开部门预算、执行、决算、监督、绩效等相关预决算信息，用以反映和考核单位预决算管理的公开透明情况。1.是否按规定内容公开预决算信息；2.是否按规定时限公开预决算信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公开</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资产管理规范性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规范</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单位的资产配置、使用是否合规，处置是否规范，收入是否及时足额上缴，用以反映和考核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规范</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绩效管理</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绩效监控完成率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单位按要求实施绩效监控的项目数量占应实施绩效监控项目总数的比重。部门绩效监控完成率=已完成绩效监控项目数量/部门项目总数*100%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绩效自评完成率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单位按要求实施绩效自评的项目数量占应实施绩效自评项目总数的比重。部门绩效自评完成率=已完成评价项目数量/部门项目总数*100%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部门绩效评价完成率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部门重点绩效评价项目评价完成情况。部门绩效评价完成率=已完成评价项目数量/部门重点绩效评价项目数*100%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评价结果应用率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绩效监控、单位自评、部门绩效评价、财政重点绩效评价结果应用情况。评价结果应用率=评价提出的意见建议采纳数/提出的意见建议总数*100%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55" w:type="dxa"/>
            <w:vMerge w:val="restart"/>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25</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重点工作任务完成</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重点工作1:针对季节特点，以群众反映强烈的热点、难点问题的突破点，开展市容市貌集中整治。</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黑体" w:hAnsi="黑体" w:eastAsia="黑体" w:cs="宋体"/>
                <w:color w:val="000000"/>
                <w:kern w:val="0"/>
                <w:sz w:val="20"/>
                <w:szCs w:val="20"/>
              </w:rPr>
            </w:pPr>
            <w:r>
              <w:rPr>
                <w:rFonts w:hint="eastAsia" w:ascii="黑体" w:hAnsi="黑体" w:eastAsia="黑体" w:cs="宋体"/>
                <w:color w:val="000000"/>
                <w:kern w:val="0"/>
                <w:sz w:val="20"/>
                <w:szCs w:val="20"/>
              </w:rPr>
              <w:t>&gt;=98%</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反映本部门负责的重点工作进展情况。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重点工作2:加大对市管区域餐饮服务业单位油烟排放情况的监管力度，进一步提高巡查率、检测率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黑体" w:hAnsi="黑体" w:eastAsia="黑体" w:cs="宋体"/>
                <w:color w:val="000000"/>
                <w:kern w:val="0"/>
                <w:sz w:val="20"/>
                <w:szCs w:val="20"/>
              </w:rPr>
            </w:pPr>
            <w:r>
              <w:rPr>
                <w:rFonts w:hint="eastAsia" w:ascii="黑体" w:hAnsi="黑体" w:eastAsia="黑体" w:cs="宋体"/>
                <w:color w:val="000000"/>
                <w:kern w:val="0"/>
                <w:sz w:val="20"/>
                <w:szCs w:val="20"/>
              </w:rPr>
              <w:t>&gt;=98%</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反映本部门负责的重点工作进展情况。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重点工作3:实行分片包干、精准防控对市区施工工地进行实地检查，督促严格落实扬尘防治“六个百分百”要求。</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黑体" w:hAnsi="黑体" w:eastAsia="黑体" w:cs="宋体"/>
                <w:color w:val="000000"/>
                <w:kern w:val="0"/>
                <w:sz w:val="20"/>
                <w:szCs w:val="20"/>
              </w:rPr>
            </w:pPr>
            <w:r>
              <w:rPr>
                <w:rFonts w:hint="eastAsia" w:ascii="黑体" w:hAnsi="黑体" w:eastAsia="黑体" w:cs="宋体"/>
                <w:color w:val="000000"/>
                <w:kern w:val="0"/>
                <w:sz w:val="20"/>
                <w:szCs w:val="20"/>
              </w:rPr>
              <w:t>&gt;=98%</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反映本部门负责的重点工作进展情况。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重点工作4:一是梳理执法支队职责清单，明确执法范围、执法流程等，印制成册，开展多层次培训，确保执法人员均能做到应知应会。</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黑体" w:hAnsi="黑体" w:eastAsia="黑体" w:cs="宋体"/>
                <w:color w:val="000000"/>
                <w:kern w:val="0"/>
                <w:sz w:val="20"/>
                <w:szCs w:val="20"/>
              </w:rPr>
            </w:pPr>
            <w:r>
              <w:rPr>
                <w:rFonts w:hint="eastAsia" w:ascii="黑体" w:hAnsi="黑体" w:eastAsia="黑体" w:cs="宋体"/>
                <w:color w:val="000000"/>
                <w:kern w:val="0"/>
                <w:sz w:val="20"/>
                <w:szCs w:val="20"/>
              </w:rPr>
              <w:t>&gt;=98%</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反映本部门负责的重点工作进展情况。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9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重点工作5:二是完善行政处罚适用规则和裁量基准，严格落实备案要求。</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黑体" w:hAnsi="黑体" w:eastAsia="黑体" w:cs="宋体"/>
                <w:color w:val="000000"/>
                <w:kern w:val="0"/>
                <w:sz w:val="20"/>
                <w:szCs w:val="20"/>
              </w:rPr>
            </w:pPr>
            <w:r>
              <w:rPr>
                <w:rFonts w:hint="eastAsia" w:ascii="黑体" w:hAnsi="黑体" w:eastAsia="黑体" w:cs="宋体"/>
                <w:color w:val="000000"/>
                <w:kern w:val="0"/>
                <w:sz w:val="20"/>
                <w:szCs w:val="20"/>
              </w:rPr>
              <w:t>&gt;=98%</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反映本部门负责的重点工作进展情况。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5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履职目标实现</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目标1：开展市容市貌集中整治</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黑体" w:hAnsi="黑体" w:eastAsia="黑体" w:cs="宋体"/>
                <w:color w:val="000000"/>
                <w:kern w:val="0"/>
                <w:sz w:val="20"/>
                <w:szCs w:val="20"/>
              </w:rPr>
            </w:pPr>
            <w:r>
              <w:rPr>
                <w:rFonts w:hint="eastAsia" w:ascii="黑体" w:hAnsi="黑体" w:eastAsia="黑体" w:cs="宋体"/>
                <w:color w:val="000000"/>
                <w:kern w:val="0"/>
                <w:sz w:val="20"/>
                <w:szCs w:val="20"/>
              </w:rPr>
              <w:t>100%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反映本部门制定的年度工作目标达成情况。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5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目标2：巩固大气污染治理成果</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黑体" w:hAnsi="黑体" w:eastAsia="黑体" w:cs="宋体"/>
                <w:color w:val="000000"/>
                <w:kern w:val="0"/>
                <w:sz w:val="20"/>
                <w:szCs w:val="20"/>
              </w:rPr>
            </w:pPr>
            <w:r>
              <w:rPr>
                <w:rFonts w:hint="eastAsia" w:ascii="黑体" w:hAnsi="黑体" w:eastAsia="黑体" w:cs="宋体"/>
                <w:color w:val="000000"/>
                <w:kern w:val="0"/>
                <w:sz w:val="20"/>
                <w:szCs w:val="20"/>
              </w:rPr>
              <w:t>100%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反映本部门制定的年度工作目标达成情况。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5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目标3：开展城市空间清洁行动</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黑体" w:hAnsi="黑体" w:eastAsia="黑体" w:cs="宋体"/>
                <w:color w:val="000000"/>
                <w:kern w:val="0"/>
                <w:sz w:val="20"/>
                <w:szCs w:val="20"/>
              </w:rPr>
            </w:pPr>
            <w:r>
              <w:rPr>
                <w:rFonts w:hint="eastAsia" w:ascii="黑体" w:hAnsi="黑体" w:eastAsia="黑体" w:cs="宋体"/>
                <w:color w:val="000000"/>
                <w:kern w:val="0"/>
                <w:sz w:val="20"/>
                <w:szCs w:val="20"/>
              </w:rPr>
              <w:t>100%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反映本部门制定的年度工作目标达成情况。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5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目标4：持续推行依法行政</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黑体" w:hAnsi="黑体" w:eastAsia="黑体" w:cs="宋体"/>
                <w:color w:val="000000"/>
                <w:kern w:val="0"/>
                <w:sz w:val="20"/>
                <w:szCs w:val="20"/>
              </w:rPr>
            </w:pPr>
            <w:r>
              <w:rPr>
                <w:rFonts w:hint="eastAsia" w:ascii="黑体" w:hAnsi="黑体" w:eastAsia="黑体" w:cs="宋体"/>
                <w:color w:val="000000"/>
                <w:kern w:val="0"/>
                <w:sz w:val="20"/>
                <w:szCs w:val="20"/>
              </w:rPr>
              <w:t>100%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反映本部门制定的年度工作目标达成情况。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5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目标5：提高城管队伍建设</w:t>
            </w:r>
          </w:p>
        </w:tc>
        <w:tc>
          <w:tcPr>
            <w:tcW w:w="1620" w:type="dxa"/>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黑体" w:hAnsi="黑体" w:eastAsia="黑体" w:cs="宋体"/>
                <w:color w:val="000000"/>
                <w:kern w:val="0"/>
                <w:sz w:val="20"/>
                <w:szCs w:val="20"/>
              </w:rPr>
            </w:pPr>
            <w:r>
              <w:rPr>
                <w:rFonts w:hint="eastAsia" w:ascii="黑体" w:hAnsi="黑体" w:eastAsia="黑体" w:cs="宋体"/>
                <w:color w:val="000000"/>
                <w:kern w:val="0"/>
                <w:sz w:val="20"/>
                <w:szCs w:val="20"/>
              </w:rPr>
              <w:t>100%</w:t>
            </w:r>
          </w:p>
        </w:tc>
        <w:tc>
          <w:tcPr>
            <w:tcW w:w="3135" w:type="dxa"/>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反映本部门制定的年度工作目标达成情况。</w:t>
            </w:r>
          </w:p>
        </w:tc>
        <w:tc>
          <w:tcPr>
            <w:tcW w:w="1080" w:type="dxa"/>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nil"/>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930" w:type="dxa"/>
            <w:tcBorders>
              <w:top w:val="single" w:color="000000" w:sz="4" w:space="0"/>
              <w:left w:val="single" w:color="000000" w:sz="4" w:space="0"/>
              <w:bottom w:val="nil"/>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050" w:type="dxa"/>
            <w:tcBorders>
              <w:top w:val="single" w:color="000000" w:sz="4" w:space="0"/>
              <w:left w:val="single" w:color="000000" w:sz="4" w:space="0"/>
              <w:bottom w:val="nil"/>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98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效益指标  </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35</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满意度</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社会公众满意度</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反映普通用户和对口部门对部门服务的满意度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8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服务对象满意度</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反映相关企业、社会组织和行业协会对部门行政审批、管理服务、参与公共服务情况的满意度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440" w:hRule="atLeast"/>
        </w:trPr>
        <w:tc>
          <w:tcPr>
            <w:tcW w:w="11640"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总分（100分）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1298" w:hRule="atLeast"/>
        </w:trPr>
        <w:tc>
          <w:tcPr>
            <w:tcW w:w="14295"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r>
    </w:tbl>
    <w:p>
      <w:pPr>
        <w:pStyle w:val="10"/>
        <w:keepNext w:val="0"/>
        <w:keepLines w:val="0"/>
        <w:pageBreakBefore w:val="0"/>
        <w:widowControl w:val="0"/>
        <w:kinsoku/>
        <w:overflowPunct/>
        <w:topLinePunct w:val="0"/>
        <w:autoSpaceDN/>
        <w:bidi w:val="0"/>
        <w:adjustRightInd/>
        <w:textAlignment w:val="auto"/>
        <w:sectPr>
          <w:pgSz w:w="16838" w:h="11906" w:orient="landscape"/>
          <w:pgMar w:top="1800" w:right="1440" w:bottom="1800" w:left="1440" w:header="851" w:footer="992" w:gutter="0"/>
          <w:cols w:space="425" w:num="1"/>
          <w:docGrid w:type="lines" w:linePitch="312" w:charSpace="0"/>
        </w:sectPr>
      </w:pPr>
    </w:p>
    <w:tbl>
      <w:tblPr>
        <w:tblStyle w:val="11"/>
        <w:tblW w:w="13491" w:type="dxa"/>
        <w:tblInd w:w="93" w:type="dxa"/>
        <w:shd w:val="clear" w:color="auto" w:fill="auto"/>
        <w:tblLayout w:type="autofit"/>
        <w:tblCellMar>
          <w:top w:w="0" w:type="dxa"/>
          <w:left w:w="108" w:type="dxa"/>
          <w:bottom w:w="0" w:type="dxa"/>
          <w:right w:w="108" w:type="dxa"/>
        </w:tblCellMar>
      </w:tblPr>
      <w:tblGrid>
        <w:gridCol w:w="720"/>
        <w:gridCol w:w="1395"/>
        <w:gridCol w:w="1333"/>
        <w:gridCol w:w="1253"/>
        <w:gridCol w:w="1120"/>
        <w:gridCol w:w="1409"/>
        <w:gridCol w:w="1877"/>
        <w:gridCol w:w="826"/>
        <w:gridCol w:w="991"/>
        <w:gridCol w:w="520"/>
        <w:gridCol w:w="2047"/>
      </w:tblGrid>
      <w:tr>
        <w:tblPrEx>
          <w:tblCellMar>
            <w:top w:w="0" w:type="dxa"/>
            <w:left w:w="108" w:type="dxa"/>
            <w:bottom w:w="0" w:type="dxa"/>
            <w:right w:w="108" w:type="dxa"/>
          </w:tblCellMar>
        </w:tblPrEx>
        <w:trPr>
          <w:trHeight w:val="558" w:hRule="atLeast"/>
        </w:trPr>
        <w:tc>
          <w:tcPr>
            <w:tcW w:w="13491" w:type="dxa"/>
            <w:gridSpan w:val="11"/>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b/>
                <w:bCs/>
                <w:color w:val="000000"/>
                <w:kern w:val="0"/>
                <w:sz w:val="32"/>
                <w:szCs w:val="32"/>
              </w:rPr>
            </w:pPr>
            <w:r>
              <w:rPr>
                <w:rFonts w:hint="eastAsia" w:ascii="宋体" w:hAnsi="宋体" w:cs="宋体"/>
                <w:b/>
                <w:bCs/>
                <w:color w:val="000000"/>
                <w:kern w:val="0"/>
                <w:sz w:val="32"/>
                <w:szCs w:val="32"/>
              </w:rPr>
              <w:t>项目自评表</w:t>
            </w:r>
          </w:p>
        </w:tc>
      </w:tr>
      <w:tr>
        <w:tblPrEx>
          <w:tblCellMar>
            <w:top w:w="0" w:type="dxa"/>
            <w:left w:w="108" w:type="dxa"/>
            <w:bottom w:w="0" w:type="dxa"/>
            <w:right w:w="108" w:type="dxa"/>
          </w:tblCellMar>
        </w:tblPrEx>
        <w:trPr>
          <w:trHeight w:val="480" w:hRule="atLeast"/>
        </w:trPr>
        <w:tc>
          <w:tcPr>
            <w:tcW w:w="13491" w:type="dxa"/>
            <w:gridSpan w:val="11"/>
            <w:tcBorders>
              <w:top w:val="nil"/>
              <w:left w:val="nil"/>
              <w:bottom w:val="nil"/>
              <w:right w:val="nil"/>
            </w:tcBorders>
            <w:shd w:val="clear" w:color="auto" w:fill="auto"/>
            <w:noWrap/>
            <w:vAlign w:val="top"/>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22"/>
              </w:rPr>
            </w:pPr>
            <w:r>
              <w:rPr>
                <w:rFonts w:hint="eastAsia" w:ascii="宋体" w:hAnsi="宋体" w:cs="宋体"/>
                <w:color w:val="000000"/>
                <w:kern w:val="0"/>
                <w:sz w:val="22"/>
              </w:rPr>
              <w:t>（   2023 年度）</w:t>
            </w:r>
          </w:p>
        </w:tc>
      </w:tr>
      <w:tr>
        <w:tblPrEx>
          <w:tblCellMar>
            <w:top w:w="0" w:type="dxa"/>
            <w:left w:w="108" w:type="dxa"/>
            <w:bottom w:w="0" w:type="dxa"/>
            <w:right w:w="108" w:type="dxa"/>
          </w:tblCellMar>
        </w:tblPrEx>
        <w:trPr>
          <w:trHeight w:val="360" w:hRule="atLeast"/>
        </w:trPr>
        <w:tc>
          <w:tcPr>
            <w:tcW w:w="13491" w:type="dxa"/>
            <w:gridSpan w:val="11"/>
            <w:tcBorders>
              <w:top w:val="nil"/>
              <w:left w:val="nil"/>
              <w:bottom w:val="single" w:color="000000" w:sz="4" w:space="0"/>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jc w:val="righ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填表人及联系方式： 李媛媛  15938733150                       </w:t>
            </w:r>
          </w:p>
        </w:tc>
      </w:tr>
      <w:tr>
        <w:tblPrEx>
          <w:tblCellMar>
            <w:top w:w="0" w:type="dxa"/>
            <w:left w:w="108" w:type="dxa"/>
            <w:bottom w:w="0" w:type="dxa"/>
            <w:right w:w="108" w:type="dxa"/>
          </w:tblCellMar>
        </w:tblPrEx>
        <w:trPr>
          <w:trHeight w:val="378" w:hRule="atLeast"/>
        </w:trPr>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376"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临时人员工资及社保</w:t>
            </w:r>
          </w:p>
        </w:tc>
      </w:tr>
      <w:tr>
        <w:tblPrEx>
          <w:tblCellMar>
            <w:top w:w="0" w:type="dxa"/>
            <w:left w:w="108" w:type="dxa"/>
            <w:bottom w:w="0" w:type="dxa"/>
            <w:right w:w="108" w:type="dxa"/>
          </w:tblCellMar>
        </w:tblPrEx>
        <w:trPr>
          <w:trHeight w:val="378" w:hRule="atLeast"/>
        </w:trPr>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511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205001许昌市城管局</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438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许昌市城市管理执法支队</w:t>
            </w:r>
          </w:p>
        </w:tc>
      </w:tr>
      <w:tr>
        <w:tblPrEx>
          <w:tblCellMar>
            <w:top w:w="0" w:type="dxa"/>
            <w:left w:w="108" w:type="dxa"/>
            <w:bottom w:w="0" w:type="dxa"/>
            <w:right w:w="108" w:type="dxa"/>
          </w:tblCellMar>
        </w:tblPrEx>
        <w:trPr>
          <w:trHeight w:val="630" w:hRule="atLeast"/>
        </w:trPr>
        <w:tc>
          <w:tcPr>
            <w:tcW w:w="21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项目资金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（万元）</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年初预算数</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全年预算数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（A）</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全年执行数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（B）</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分值</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执行率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（B/A</w:t>
            </w:r>
            <w:r>
              <w:rPr>
                <w:rFonts w:ascii="宋体" w:hAnsi="宋体" w:cs="宋体"/>
                <w:color w:val="000000"/>
                <w:kern w:val="0"/>
                <w:sz w:val="24"/>
              </w:rPr>
              <w:t>x</w:t>
            </w:r>
            <w:r>
              <w:rPr>
                <w:rFonts w:ascii="宋体" w:hAnsi="宋体" w:cs="宋体"/>
                <w:color w:val="000000"/>
                <w:kern w:val="0"/>
                <w:sz w:val="18"/>
              </w:rPr>
              <w:t>100%）</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trHeight w:val="378" w:hRule="atLeast"/>
        </w:trPr>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80.49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80.49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58.92</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73.2%</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7.32 </w:t>
            </w:r>
          </w:p>
        </w:tc>
      </w:tr>
      <w:tr>
        <w:tblPrEx>
          <w:tblCellMar>
            <w:top w:w="0" w:type="dxa"/>
            <w:left w:w="108" w:type="dxa"/>
            <w:bottom w:w="0" w:type="dxa"/>
            <w:right w:w="108" w:type="dxa"/>
          </w:tblCellMar>
        </w:tblPrEx>
        <w:trPr>
          <w:trHeight w:val="378" w:hRule="atLeast"/>
        </w:trPr>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其中：政府预算资金</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80.49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80.49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58.92</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378" w:hRule="atLeast"/>
        </w:trPr>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财政专户管理资金</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378" w:hRule="atLeast"/>
        </w:trPr>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单位资金</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480" w:hRule="atLeast"/>
        </w:trPr>
        <w:tc>
          <w:tcPr>
            <w:tcW w:w="21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资金管理情况</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440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情况说明</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分值（20）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得分</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存在问题和改进措施</w:t>
            </w:r>
          </w:p>
        </w:tc>
      </w:tr>
      <w:tr>
        <w:tblPrEx>
          <w:tblCellMar>
            <w:top w:w="0" w:type="dxa"/>
            <w:left w:w="108" w:type="dxa"/>
            <w:bottom w:w="0" w:type="dxa"/>
            <w:right w:w="108" w:type="dxa"/>
          </w:tblCellMar>
        </w:tblPrEx>
        <w:trPr>
          <w:trHeight w:val="860" w:hRule="atLeast"/>
        </w:trPr>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安排科学性</w:t>
            </w:r>
          </w:p>
        </w:tc>
        <w:tc>
          <w:tcPr>
            <w:tcW w:w="440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资金安排合理，临时人员流动性大，有部分结余正常</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480" w:hRule="atLeast"/>
        </w:trPr>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拨付合规性</w:t>
            </w:r>
          </w:p>
        </w:tc>
        <w:tc>
          <w:tcPr>
            <w:tcW w:w="440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合规拨付，按月实际发放工资及社保。</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540" w:hRule="atLeast"/>
        </w:trPr>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使用规范性</w:t>
            </w:r>
          </w:p>
        </w:tc>
        <w:tc>
          <w:tcPr>
            <w:tcW w:w="440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使用规范，严格按照项目资金用途进行使用。</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378" w:hRule="atLeast"/>
        </w:trPr>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预算绩效管理情况</w:t>
            </w:r>
          </w:p>
        </w:tc>
        <w:tc>
          <w:tcPr>
            <w:tcW w:w="440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绩效管理良好，按照预设目标发展。</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378"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年度总体目标</w:t>
            </w:r>
          </w:p>
        </w:tc>
        <w:tc>
          <w:tcPr>
            <w:tcW w:w="651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预期目标</w:t>
            </w:r>
          </w:p>
        </w:tc>
        <w:tc>
          <w:tcPr>
            <w:tcW w:w="626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全年实际完成情况</w:t>
            </w:r>
          </w:p>
        </w:tc>
      </w:tr>
      <w:tr>
        <w:tblPrEx>
          <w:tblCellMar>
            <w:top w:w="0" w:type="dxa"/>
            <w:left w:w="108" w:type="dxa"/>
            <w:bottom w:w="0" w:type="dxa"/>
            <w:right w:w="108" w:type="dxa"/>
          </w:tblCellMar>
        </w:tblPrEx>
        <w:trPr>
          <w:trHeight w:val="945"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651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目标1：确保管辖区域日常城市管理执法工作有序开展；保障各类创建、迎检活动顺利通过验收；配合提升城市管理水平，改善城市面貌。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目标2：保障执法支队临时人员工资发放和医疗等社保缴纳。</w:t>
            </w:r>
          </w:p>
        </w:tc>
        <w:tc>
          <w:tcPr>
            <w:tcW w:w="626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全部完成预期目标</w:t>
            </w:r>
          </w:p>
        </w:tc>
      </w:tr>
      <w:tr>
        <w:tblPrEx>
          <w:tblCellMar>
            <w:top w:w="0" w:type="dxa"/>
            <w:left w:w="108" w:type="dxa"/>
            <w:bottom w:w="0" w:type="dxa"/>
            <w:right w:w="108" w:type="dxa"/>
          </w:tblCellMar>
        </w:tblPrEx>
        <w:trPr>
          <w:trHeight w:val="54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绩</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分值</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得分</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偏差原因分析及改进措施</w:t>
            </w:r>
          </w:p>
        </w:tc>
      </w:tr>
      <w:tr>
        <w:tblPrEx>
          <w:tblCellMar>
            <w:top w:w="0" w:type="dxa"/>
            <w:left w:w="108" w:type="dxa"/>
            <w:bottom w:w="0" w:type="dxa"/>
            <w:right w:w="108" w:type="dxa"/>
          </w:tblCellMar>
        </w:tblPrEx>
        <w:trPr>
          <w:trHeight w:val="10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395" w:type="dxa"/>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成本指标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（10分）</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非编人员工资社保等</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≤80.49万元</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58.92万元</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产出指标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（30分）</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临时人员数量</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≤16人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10人</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城市干净度</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99%</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工资发放时效</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每月20号之前发放</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效益指标(25分)</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提供就业岗位</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≤16个</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10个</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25</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满意度指标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（5分）</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群众满意度</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99%</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378" w:hRule="atLeast"/>
        </w:trPr>
        <w:tc>
          <w:tcPr>
            <w:tcW w:w="9107"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总分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97.32 </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885" w:hRule="atLeast"/>
        </w:trPr>
        <w:tc>
          <w:tcPr>
            <w:tcW w:w="13491"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注：1.资金管理情况的考核，对违反预算管理规定行为的，原则上每发现1例扣1分，扣完为止。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2.绩效自评采取打分评价的形式，满分为100分，</w:t>
            </w:r>
            <w:r>
              <w:rPr>
                <w:rFonts w:ascii="宋体" w:hAnsi="宋体" w:cs="宋体"/>
                <w:color w:val="000000"/>
                <w:kern w:val="0"/>
                <w:sz w:val="18"/>
              </w:rPr>
              <w:t>项目单位自评原则上统一按以下方式设置：预算执行率10分、资金管理情况20分、成本指标10分、产出指标30分、效益指标25分、满意度指标5分。二三级指标的分值权重由各单位根据项目实际情况和指标重要程度合理设置。</w:t>
            </w:r>
            <w:r>
              <w:rPr>
                <w:rFonts w:hint="eastAsia" w:ascii="宋体" w:hAnsi="宋体" w:cs="宋体"/>
                <w:color w:val="000000"/>
                <w:kern w:val="0"/>
                <w:sz w:val="18"/>
                <w:szCs w:val="18"/>
              </w:rPr>
              <w:br w:type="textWrapping"/>
            </w:r>
            <w:r>
              <w:rPr>
                <w:rFonts w:ascii="宋体" w:hAnsi="宋体" w:cs="宋体"/>
                <w:color w:val="000000"/>
                <w:kern w:val="0"/>
                <w:sz w:val="18"/>
              </w:rPr>
              <w:t xml:space="preserve">    3.偏差原因分析及改进措施：说明偏离目标、不能完成目标的原因及改进措施。</w:t>
            </w:r>
            <w:r>
              <w:rPr>
                <w:rFonts w:hint="eastAsia" w:ascii="宋体" w:hAnsi="宋体" w:cs="宋体"/>
                <w:color w:val="000000"/>
                <w:kern w:val="0"/>
                <w:sz w:val="18"/>
                <w:szCs w:val="18"/>
              </w:rPr>
              <w:br w:type="textWrapping"/>
            </w:r>
            <w:r>
              <w:rPr>
                <w:rFonts w:ascii="宋体" w:hAnsi="宋体" w:cs="宋体"/>
                <w:color w:val="000000"/>
                <w:kern w:val="0"/>
                <w:sz w:val="18"/>
              </w:rPr>
              <w:t xml:space="preserve">    4.定性指标完成情况分为好、较好、一般、较差四档，在相应档次分别按照100％-90%(含)、90%-80％(含)、80％-60％(含)、60％-0％合理确定分值。定量指标完成指标值的，记该指标所赋全部分值；未完成的，按照完成值与指标值的比例计分。</w:t>
            </w:r>
          </w:p>
        </w:tc>
      </w:tr>
      <w:tr>
        <w:tblPrEx>
          <w:tblCellMar>
            <w:top w:w="0" w:type="dxa"/>
            <w:left w:w="108" w:type="dxa"/>
            <w:bottom w:w="0" w:type="dxa"/>
            <w:right w:w="108" w:type="dxa"/>
          </w:tblCellMar>
        </w:tblPrEx>
        <w:trPr>
          <w:trHeight w:val="360" w:hRule="atLeast"/>
        </w:trPr>
        <w:tc>
          <w:tcPr>
            <w:tcW w:w="13491"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70" w:hRule="atLeast"/>
        </w:trPr>
        <w:tc>
          <w:tcPr>
            <w:tcW w:w="13491"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r>
    </w:tbl>
    <w:p>
      <w:pPr>
        <w:pStyle w:val="10"/>
        <w:keepNext w:val="0"/>
        <w:keepLines w:val="0"/>
        <w:pageBreakBefore w:val="0"/>
        <w:widowControl w:val="0"/>
        <w:kinsoku/>
        <w:overflowPunct/>
        <w:topLinePunct w:val="0"/>
        <w:autoSpaceDN/>
        <w:bidi w:val="0"/>
        <w:adjustRightInd/>
        <w:textAlignment w:val="auto"/>
        <w:rPr>
          <w:rFonts w:hint="eastAsia"/>
        </w:rPr>
      </w:pPr>
    </w:p>
    <w:tbl>
      <w:tblPr>
        <w:tblStyle w:val="11"/>
        <w:tblW w:w="14405" w:type="dxa"/>
        <w:tblInd w:w="93" w:type="dxa"/>
        <w:shd w:val="clear" w:color="auto" w:fill="auto"/>
        <w:tblLayout w:type="autofit"/>
        <w:tblCellMar>
          <w:top w:w="0" w:type="dxa"/>
          <w:left w:w="108" w:type="dxa"/>
          <w:bottom w:w="0" w:type="dxa"/>
          <w:right w:w="108" w:type="dxa"/>
        </w:tblCellMar>
      </w:tblPr>
      <w:tblGrid>
        <w:gridCol w:w="720"/>
        <w:gridCol w:w="1620"/>
        <w:gridCol w:w="1333"/>
        <w:gridCol w:w="1253"/>
        <w:gridCol w:w="2955"/>
        <w:gridCol w:w="1637"/>
        <w:gridCol w:w="1523"/>
        <w:gridCol w:w="826"/>
        <w:gridCol w:w="826"/>
        <w:gridCol w:w="555"/>
        <w:gridCol w:w="1245"/>
      </w:tblGrid>
      <w:tr>
        <w:tblPrEx>
          <w:tblCellMar>
            <w:top w:w="0" w:type="dxa"/>
            <w:left w:w="108" w:type="dxa"/>
            <w:bottom w:w="0" w:type="dxa"/>
            <w:right w:w="108" w:type="dxa"/>
          </w:tblCellMar>
        </w:tblPrEx>
        <w:trPr>
          <w:trHeight w:val="558" w:hRule="atLeast"/>
        </w:trPr>
        <w:tc>
          <w:tcPr>
            <w:tcW w:w="14438" w:type="dxa"/>
            <w:gridSpan w:val="11"/>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b/>
                <w:bCs/>
                <w:color w:val="000000"/>
                <w:kern w:val="0"/>
                <w:sz w:val="32"/>
                <w:szCs w:val="32"/>
              </w:rPr>
            </w:pPr>
            <w:r>
              <w:rPr>
                <w:rFonts w:hint="eastAsia" w:ascii="宋体" w:hAnsi="宋体" w:cs="宋体"/>
                <w:b/>
                <w:bCs/>
                <w:color w:val="000000"/>
                <w:kern w:val="0"/>
                <w:sz w:val="32"/>
                <w:szCs w:val="32"/>
              </w:rPr>
              <w:t>项目自评表</w:t>
            </w:r>
          </w:p>
        </w:tc>
      </w:tr>
      <w:tr>
        <w:tblPrEx>
          <w:tblCellMar>
            <w:top w:w="0" w:type="dxa"/>
            <w:left w:w="108" w:type="dxa"/>
            <w:bottom w:w="0" w:type="dxa"/>
            <w:right w:w="108" w:type="dxa"/>
          </w:tblCellMar>
        </w:tblPrEx>
        <w:trPr>
          <w:trHeight w:val="480" w:hRule="atLeast"/>
        </w:trPr>
        <w:tc>
          <w:tcPr>
            <w:tcW w:w="14438" w:type="dxa"/>
            <w:gridSpan w:val="11"/>
            <w:tcBorders>
              <w:top w:val="nil"/>
              <w:left w:val="nil"/>
              <w:bottom w:val="nil"/>
              <w:right w:val="nil"/>
            </w:tcBorders>
            <w:shd w:val="clear" w:color="auto" w:fill="auto"/>
            <w:noWrap/>
            <w:vAlign w:val="top"/>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22"/>
              </w:rPr>
            </w:pPr>
            <w:r>
              <w:rPr>
                <w:rFonts w:hint="eastAsia" w:ascii="宋体" w:hAnsi="宋体" w:cs="宋体"/>
                <w:color w:val="000000"/>
                <w:kern w:val="0"/>
                <w:sz w:val="22"/>
              </w:rPr>
              <w:t>（2023年度）</w:t>
            </w:r>
          </w:p>
        </w:tc>
      </w:tr>
      <w:tr>
        <w:tblPrEx>
          <w:tblCellMar>
            <w:top w:w="0" w:type="dxa"/>
            <w:left w:w="108" w:type="dxa"/>
            <w:bottom w:w="0" w:type="dxa"/>
            <w:right w:w="108" w:type="dxa"/>
          </w:tblCellMar>
        </w:tblPrEx>
        <w:trPr>
          <w:trHeight w:val="360" w:hRule="atLeast"/>
        </w:trPr>
        <w:tc>
          <w:tcPr>
            <w:tcW w:w="14438" w:type="dxa"/>
            <w:gridSpan w:val="11"/>
            <w:tcBorders>
              <w:top w:val="nil"/>
              <w:left w:val="nil"/>
              <w:bottom w:val="single" w:color="000000" w:sz="4" w:space="0"/>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jc w:val="righ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填表人及联系方式： 李媛媛  15938733150                        </w:t>
            </w:r>
          </w:p>
        </w:tc>
      </w:tr>
      <w:tr>
        <w:tblPrEx>
          <w:tblCellMar>
            <w:top w:w="0" w:type="dxa"/>
            <w:left w:w="108" w:type="dxa"/>
            <w:bottom w:w="0" w:type="dxa"/>
            <w:right w:w="108" w:type="dxa"/>
          </w:tblCellMar>
        </w:tblPrEx>
        <w:trPr>
          <w:trHeight w:val="378"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2098"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餐饮油烟在线监控平台(尾款)</w:t>
            </w:r>
          </w:p>
        </w:tc>
      </w:tr>
      <w:tr>
        <w:tblPrEx>
          <w:tblCellMar>
            <w:top w:w="0" w:type="dxa"/>
            <w:left w:w="108" w:type="dxa"/>
            <w:bottom w:w="0" w:type="dxa"/>
            <w:right w:w="108" w:type="dxa"/>
          </w:tblCellMar>
        </w:tblPrEx>
        <w:trPr>
          <w:trHeight w:val="378"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717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205001许昌市城管局</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39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许昌市城市管理执法支队</w:t>
            </w:r>
          </w:p>
        </w:tc>
      </w:tr>
      <w:tr>
        <w:tblPrEx>
          <w:tblCellMar>
            <w:top w:w="0" w:type="dxa"/>
            <w:left w:w="108" w:type="dxa"/>
            <w:bottom w:w="0" w:type="dxa"/>
            <w:right w:w="108" w:type="dxa"/>
          </w:tblCellMar>
        </w:tblPrEx>
        <w:trPr>
          <w:trHeight w:val="630" w:hRule="atLeast"/>
        </w:trPr>
        <w:tc>
          <w:tcPr>
            <w:tcW w:w="2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项目资金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（万元）</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年初预算数</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全年预算数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（A）</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全年执行数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（B）</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分值</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执行率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（B/A</w:t>
            </w:r>
            <w:r>
              <w:rPr>
                <w:rFonts w:ascii="宋体" w:hAnsi="宋体" w:cs="宋体"/>
                <w:color w:val="000000"/>
                <w:kern w:val="0"/>
                <w:sz w:val="24"/>
              </w:rPr>
              <w:t>x</w:t>
            </w:r>
            <w:r>
              <w:rPr>
                <w:rFonts w:ascii="宋体" w:hAnsi="宋体" w:cs="宋体"/>
                <w:color w:val="000000"/>
                <w:kern w:val="0"/>
                <w:sz w:val="18"/>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trHeight w:val="378"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8.9</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8.9</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10.0 </w:t>
            </w:r>
          </w:p>
        </w:tc>
      </w:tr>
      <w:tr>
        <w:tblPrEx>
          <w:tblCellMar>
            <w:top w:w="0" w:type="dxa"/>
            <w:left w:w="108" w:type="dxa"/>
            <w:bottom w:w="0" w:type="dxa"/>
            <w:right w:w="108" w:type="dxa"/>
          </w:tblCellMar>
        </w:tblPrEx>
        <w:trPr>
          <w:trHeight w:val="378"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其中：政府预算资金</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8.9</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8.9</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378"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财政专户管理资金</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378"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单位资金</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480" w:hRule="atLeast"/>
        </w:trPr>
        <w:tc>
          <w:tcPr>
            <w:tcW w:w="2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资金管理情况</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611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情况说明</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分值（20）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得分</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存在问题和改进措施</w:t>
            </w:r>
          </w:p>
        </w:tc>
      </w:tr>
      <w:tr>
        <w:tblPrEx>
          <w:tblCellMar>
            <w:top w:w="0" w:type="dxa"/>
            <w:left w:w="108" w:type="dxa"/>
            <w:bottom w:w="0" w:type="dxa"/>
            <w:right w:w="108" w:type="dxa"/>
          </w:tblCellMar>
        </w:tblPrEx>
        <w:trPr>
          <w:trHeight w:val="378"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安排科学性</w:t>
            </w:r>
          </w:p>
        </w:tc>
        <w:tc>
          <w:tcPr>
            <w:tcW w:w="611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资金安排合理，严格按照合同执行。</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378"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拨付合规性</w:t>
            </w:r>
          </w:p>
        </w:tc>
        <w:tc>
          <w:tcPr>
            <w:tcW w:w="611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拨付合规，按照合同约定拨付。</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378"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使用规范性</w:t>
            </w:r>
          </w:p>
        </w:tc>
        <w:tc>
          <w:tcPr>
            <w:tcW w:w="611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使用规范，严格按照项目资金用途进行使用。</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378"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预算绩效管理情况</w:t>
            </w:r>
          </w:p>
        </w:tc>
        <w:tc>
          <w:tcPr>
            <w:tcW w:w="611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绩效管理良好，按照预设目标发展。</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378"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年度总体目标</w:t>
            </w:r>
          </w:p>
        </w:tc>
        <w:tc>
          <w:tcPr>
            <w:tcW w:w="879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预期目标</w:t>
            </w:r>
          </w:p>
        </w:tc>
        <w:tc>
          <w:tcPr>
            <w:tcW w:w="492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全年实际完成情况</w:t>
            </w:r>
          </w:p>
        </w:tc>
      </w:tr>
      <w:tr>
        <w:tblPrEx>
          <w:tblCellMar>
            <w:top w:w="0" w:type="dxa"/>
            <w:left w:w="108" w:type="dxa"/>
            <w:bottom w:w="0" w:type="dxa"/>
            <w:right w:w="108" w:type="dxa"/>
          </w:tblCellMar>
        </w:tblPrEx>
        <w:trPr>
          <w:trHeight w:val="945"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879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进一步加大餐饮油烟污染治理力度，提高我市空气质量，对重点部位餐饮服务单位油烟排放实现24小时在线监控，解决净化设施运转不正常和清洗不及时等问题。</w:t>
            </w:r>
          </w:p>
        </w:tc>
        <w:tc>
          <w:tcPr>
            <w:tcW w:w="492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空气质量有显著提升，重点部位餐饮服务单位油烟排放得到24小时在线监控，有效解决净化设施运转不正常和清洗不及时问题。</w:t>
            </w:r>
          </w:p>
        </w:tc>
      </w:tr>
      <w:tr>
        <w:tblPrEx>
          <w:tblCellMar>
            <w:top w:w="0" w:type="dxa"/>
            <w:left w:w="108" w:type="dxa"/>
            <w:bottom w:w="0" w:type="dxa"/>
            <w:right w:w="108" w:type="dxa"/>
          </w:tblCellMar>
        </w:tblPrEx>
        <w:trPr>
          <w:trHeight w:val="54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绩</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42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分值</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得分</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偏差原因分析及改进措施</w:t>
            </w:r>
          </w:p>
        </w:tc>
      </w:tr>
      <w:tr>
        <w:tblPrEx>
          <w:tblCellMar>
            <w:top w:w="0" w:type="dxa"/>
            <w:left w:w="108" w:type="dxa"/>
            <w:bottom w:w="0" w:type="dxa"/>
            <w:right w:w="108" w:type="dxa"/>
          </w:tblCellMar>
        </w:tblPrEx>
        <w:trPr>
          <w:trHeight w:val="7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620" w:type="dxa"/>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成本指标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（10分）</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42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指标1：项目尾款费</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8.9万元</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8.9万元</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产出指标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（30分）</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42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指标1：安装油烟监测器</w:t>
            </w:r>
          </w:p>
        </w:tc>
        <w:tc>
          <w:tcPr>
            <w:tcW w:w="1637" w:type="dxa"/>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200台</w:t>
            </w:r>
          </w:p>
        </w:tc>
        <w:tc>
          <w:tcPr>
            <w:tcW w:w="1523" w:type="dxa"/>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200台</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42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指标2：安装油烟在线监测系统</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1套</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1套</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42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指标1：达到在线监测数据符合国家标准要求</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≥95%</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≥95%</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42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指标1：在合同规定时间完工验收</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2021年11月12日</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2021年11月12日</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效益指标(25分)</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42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指标1：对餐饮服务单位油烟排放值进行实时监控</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360天</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360天</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42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指标2：及时发现超标单位督促整改，改善空气质量</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≥95%</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≥95%</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25</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满意度指标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（5分）</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42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指标1：群众满意度</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≥95%</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95%</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480" w:hRule="atLeast"/>
        </w:trPr>
        <w:tc>
          <w:tcPr>
            <w:tcW w:w="1104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总分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100.0 </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885" w:hRule="atLeast"/>
        </w:trPr>
        <w:tc>
          <w:tcPr>
            <w:tcW w:w="14438"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注：1.资金管理情况的考核，对违反预算管理规定行为的，原则上每发现1例扣1分，扣完为止。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2.绩效自评采取打分评价的形式，满分为100分，</w:t>
            </w:r>
            <w:r>
              <w:rPr>
                <w:rFonts w:ascii="宋体" w:hAnsi="宋体" w:cs="宋体"/>
                <w:color w:val="000000"/>
                <w:kern w:val="0"/>
                <w:sz w:val="18"/>
              </w:rPr>
              <w:t>项目单位自评原则上统一按以下方式设置：预算执行率10分、资金管理情况20分、成本指标10分、产出指标30分、效益指标25分、满意度指标5分。二三级指标的分值权重由各单位根据项目实际情况和指标重要程度合理设置。</w:t>
            </w:r>
            <w:r>
              <w:rPr>
                <w:rFonts w:hint="eastAsia" w:ascii="宋体" w:hAnsi="宋体" w:cs="宋体"/>
                <w:color w:val="000000"/>
                <w:kern w:val="0"/>
                <w:sz w:val="18"/>
                <w:szCs w:val="18"/>
              </w:rPr>
              <w:br w:type="textWrapping"/>
            </w:r>
            <w:r>
              <w:rPr>
                <w:rFonts w:ascii="宋体" w:hAnsi="宋体" w:cs="宋体"/>
                <w:color w:val="000000"/>
                <w:kern w:val="0"/>
                <w:sz w:val="18"/>
              </w:rPr>
              <w:t xml:space="preserve">    3.偏差原因分析及改进措施：说明偏离目标、不能完成目标的原因及改进措施。</w:t>
            </w:r>
            <w:r>
              <w:rPr>
                <w:rFonts w:hint="eastAsia" w:ascii="宋体" w:hAnsi="宋体" w:cs="宋体"/>
                <w:color w:val="000000"/>
                <w:kern w:val="0"/>
                <w:sz w:val="18"/>
                <w:szCs w:val="18"/>
              </w:rPr>
              <w:br w:type="textWrapping"/>
            </w:r>
            <w:r>
              <w:rPr>
                <w:rFonts w:ascii="宋体" w:hAnsi="宋体" w:cs="宋体"/>
                <w:color w:val="000000"/>
                <w:kern w:val="0"/>
                <w:sz w:val="18"/>
              </w:rPr>
              <w:t xml:space="preserve">    4.定性指标完成情况分为好、较好、一般、较差四档，在相应档次分别按照100％-90%(含)、90%-80％(含)、80％-60％(含)、60％-0％合理确定分值。定量指标完成指标值的，记该指标所赋全部分值；未完成的，按照完成值与指标值的比例计分。</w:t>
            </w:r>
          </w:p>
        </w:tc>
      </w:tr>
      <w:tr>
        <w:tblPrEx>
          <w:tblCellMar>
            <w:top w:w="0" w:type="dxa"/>
            <w:left w:w="108" w:type="dxa"/>
            <w:bottom w:w="0" w:type="dxa"/>
            <w:right w:w="108" w:type="dxa"/>
          </w:tblCellMar>
        </w:tblPrEx>
        <w:trPr>
          <w:trHeight w:val="360" w:hRule="atLeast"/>
        </w:trPr>
        <w:tc>
          <w:tcPr>
            <w:tcW w:w="14438"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70" w:hRule="atLeast"/>
        </w:trPr>
        <w:tc>
          <w:tcPr>
            <w:tcW w:w="14438"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r>
    </w:tbl>
    <w:p>
      <w:pPr>
        <w:pStyle w:val="10"/>
        <w:keepNext w:val="0"/>
        <w:keepLines w:val="0"/>
        <w:pageBreakBefore w:val="0"/>
        <w:widowControl w:val="0"/>
        <w:kinsoku/>
        <w:overflowPunct/>
        <w:topLinePunct w:val="0"/>
        <w:autoSpaceDN/>
        <w:bidi w:val="0"/>
        <w:adjustRightInd/>
        <w:textAlignment w:val="auto"/>
        <w:rPr>
          <w:rFonts w:hint="eastAsia"/>
        </w:rPr>
      </w:pPr>
    </w:p>
    <w:p>
      <w:pPr>
        <w:pStyle w:val="10"/>
        <w:keepNext w:val="0"/>
        <w:keepLines w:val="0"/>
        <w:pageBreakBefore w:val="0"/>
        <w:widowControl w:val="0"/>
        <w:kinsoku/>
        <w:overflowPunct/>
        <w:topLinePunct w:val="0"/>
        <w:autoSpaceDN/>
        <w:bidi w:val="0"/>
        <w:adjustRightInd/>
        <w:textAlignment w:val="auto"/>
        <w:rPr>
          <w:rFonts w:hint="eastAsia"/>
        </w:rPr>
      </w:pPr>
    </w:p>
    <w:tbl>
      <w:tblPr>
        <w:tblStyle w:val="11"/>
        <w:tblW w:w="12390" w:type="dxa"/>
        <w:tblInd w:w="93" w:type="dxa"/>
        <w:shd w:val="clear" w:color="auto" w:fill="auto"/>
        <w:tblLayout w:type="autofit"/>
        <w:tblCellMar>
          <w:top w:w="0" w:type="dxa"/>
          <w:left w:w="108" w:type="dxa"/>
          <w:bottom w:w="0" w:type="dxa"/>
          <w:right w:w="108" w:type="dxa"/>
        </w:tblCellMar>
      </w:tblPr>
      <w:tblGrid>
        <w:gridCol w:w="720"/>
        <w:gridCol w:w="1093"/>
        <w:gridCol w:w="1266"/>
        <w:gridCol w:w="2180"/>
        <w:gridCol w:w="1317"/>
        <w:gridCol w:w="1240"/>
        <w:gridCol w:w="1226"/>
        <w:gridCol w:w="826"/>
        <w:gridCol w:w="838"/>
        <w:gridCol w:w="543"/>
        <w:gridCol w:w="1249"/>
      </w:tblGrid>
      <w:tr>
        <w:tblPrEx>
          <w:tblCellMar>
            <w:top w:w="0" w:type="dxa"/>
            <w:left w:w="108" w:type="dxa"/>
            <w:bottom w:w="0" w:type="dxa"/>
            <w:right w:w="108" w:type="dxa"/>
          </w:tblCellMar>
        </w:tblPrEx>
        <w:trPr>
          <w:trHeight w:val="558" w:hRule="atLeast"/>
        </w:trPr>
        <w:tc>
          <w:tcPr>
            <w:tcW w:w="12443" w:type="dxa"/>
            <w:gridSpan w:val="11"/>
            <w:tcBorders>
              <w:top w:val="nil"/>
              <w:left w:val="nil"/>
              <w:bottom w:val="nil"/>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b/>
                <w:bCs/>
                <w:color w:val="000000"/>
                <w:kern w:val="0"/>
                <w:sz w:val="32"/>
                <w:szCs w:val="32"/>
              </w:rPr>
            </w:pPr>
            <w:r>
              <w:rPr>
                <w:rFonts w:hint="eastAsia" w:ascii="宋体" w:hAnsi="宋体" w:cs="宋体"/>
                <w:b/>
                <w:bCs/>
                <w:color w:val="000000"/>
                <w:kern w:val="0"/>
                <w:sz w:val="32"/>
                <w:szCs w:val="32"/>
              </w:rPr>
              <w:t>项目自评表</w:t>
            </w:r>
          </w:p>
        </w:tc>
      </w:tr>
      <w:tr>
        <w:tblPrEx>
          <w:tblCellMar>
            <w:top w:w="0" w:type="dxa"/>
            <w:left w:w="108" w:type="dxa"/>
            <w:bottom w:w="0" w:type="dxa"/>
            <w:right w:w="108" w:type="dxa"/>
          </w:tblCellMar>
        </w:tblPrEx>
        <w:trPr>
          <w:trHeight w:val="480" w:hRule="atLeast"/>
        </w:trPr>
        <w:tc>
          <w:tcPr>
            <w:tcW w:w="12443" w:type="dxa"/>
            <w:gridSpan w:val="11"/>
            <w:tcBorders>
              <w:top w:val="nil"/>
              <w:left w:val="nil"/>
              <w:bottom w:val="nil"/>
              <w:right w:val="nil"/>
            </w:tcBorders>
            <w:shd w:val="clear" w:color="auto" w:fill="auto"/>
            <w:noWrap/>
            <w:vAlign w:val="top"/>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22"/>
              </w:rPr>
            </w:pPr>
            <w:r>
              <w:rPr>
                <w:rFonts w:hint="eastAsia" w:ascii="宋体" w:hAnsi="宋体" w:cs="宋体"/>
                <w:color w:val="000000"/>
                <w:kern w:val="0"/>
                <w:sz w:val="22"/>
              </w:rPr>
              <w:t>（   2023 年度）</w:t>
            </w:r>
          </w:p>
        </w:tc>
      </w:tr>
      <w:tr>
        <w:tblPrEx>
          <w:tblCellMar>
            <w:top w:w="0" w:type="dxa"/>
            <w:left w:w="108" w:type="dxa"/>
            <w:bottom w:w="0" w:type="dxa"/>
            <w:right w:w="108" w:type="dxa"/>
          </w:tblCellMar>
        </w:tblPrEx>
        <w:trPr>
          <w:trHeight w:val="360" w:hRule="atLeast"/>
        </w:trPr>
        <w:tc>
          <w:tcPr>
            <w:tcW w:w="12443" w:type="dxa"/>
            <w:gridSpan w:val="11"/>
            <w:tcBorders>
              <w:top w:val="nil"/>
              <w:left w:val="nil"/>
              <w:bottom w:val="single" w:color="000000" w:sz="4" w:space="0"/>
              <w:right w:val="nil"/>
            </w:tcBorders>
            <w:shd w:val="clear" w:color="auto" w:fill="auto"/>
            <w:noWrap/>
            <w:vAlign w:val="center"/>
          </w:tcPr>
          <w:p>
            <w:pPr>
              <w:pStyle w:val="10"/>
              <w:keepNext w:val="0"/>
              <w:keepLines w:val="0"/>
              <w:pageBreakBefore w:val="0"/>
              <w:widowControl w:val="0"/>
              <w:kinsoku/>
              <w:overflowPunct/>
              <w:topLinePunct w:val="0"/>
              <w:autoSpaceDN/>
              <w:bidi w:val="0"/>
              <w:adjustRightInd/>
              <w:jc w:val="righ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填表人及联系方式：李媛媛  15938733150                          </w:t>
            </w:r>
          </w:p>
        </w:tc>
      </w:tr>
      <w:tr>
        <w:tblPrEx>
          <w:tblCellMar>
            <w:top w:w="0" w:type="dxa"/>
            <w:left w:w="108" w:type="dxa"/>
            <w:bottom w:w="0" w:type="dxa"/>
            <w:right w:w="108" w:type="dxa"/>
          </w:tblCellMar>
        </w:tblPrEx>
        <w:trPr>
          <w:trHeight w:val="378" w:hRule="atLeast"/>
        </w:trPr>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630"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毓秀路街景整治提升项目(尾款)</w:t>
            </w:r>
          </w:p>
        </w:tc>
      </w:tr>
      <w:tr>
        <w:tblPrEx>
          <w:tblCellMar>
            <w:top w:w="0" w:type="dxa"/>
            <w:left w:w="108" w:type="dxa"/>
            <w:bottom w:w="0" w:type="dxa"/>
            <w:right w:w="108" w:type="dxa"/>
          </w:tblCellMar>
        </w:tblPrEx>
        <w:trPr>
          <w:trHeight w:val="378" w:hRule="atLeast"/>
        </w:trPr>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600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205001许昌市城管局</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40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许昌市城市管理执法支队</w:t>
            </w:r>
          </w:p>
        </w:tc>
      </w:tr>
      <w:tr>
        <w:tblPrEx>
          <w:tblCellMar>
            <w:top w:w="0" w:type="dxa"/>
            <w:left w:w="108" w:type="dxa"/>
            <w:bottom w:w="0" w:type="dxa"/>
            <w:right w:w="108" w:type="dxa"/>
          </w:tblCellMar>
        </w:tblPrEx>
        <w:trPr>
          <w:trHeight w:val="630" w:hRule="atLeast"/>
        </w:trPr>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项目资金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（万元）</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年初预算数</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全年预算数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（A）</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全年执行数</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（B）</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分值</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执行率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（B/A</w:t>
            </w:r>
            <w:r>
              <w:rPr>
                <w:rFonts w:ascii="宋体" w:hAnsi="宋体" w:cs="宋体"/>
                <w:color w:val="000000"/>
                <w:kern w:val="0"/>
                <w:sz w:val="24"/>
              </w:rPr>
              <w:t>x</w:t>
            </w:r>
            <w:r>
              <w:rPr>
                <w:rFonts w:ascii="宋体" w:hAnsi="宋体" w:cs="宋体"/>
                <w:color w:val="000000"/>
                <w:kern w:val="0"/>
                <w:sz w:val="18"/>
              </w:rPr>
              <w:t>100%）</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trHeight w:val="378" w:hRule="atLeast"/>
        </w:trPr>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17.33</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17.33</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10.0 </w:t>
            </w:r>
          </w:p>
        </w:tc>
      </w:tr>
      <w:tr>
        <w:tblPrEx>
          <w:tblCellMar>
            <w:top w:w="0" w:type="dxa"/>
            <w:left w:w="108" w:type="dxa"/>
            <w:bottom w:w="0" w:type="dxa"/>
            <w:right w:w="108" w:type="dxa"/>
          </w:tblCellMar>
        </w:tblPrEx>
        <w:trPr>
          <w:trHeight w:val="378" w:hRule="atLeast"/>
        </w:trPr>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其中：政府预算资金</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17.33</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17.33</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378" w:hRule="atLeast"/>
        </w:trPr>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财政专户管理资金</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378" w:hRule="atLeast"/>
        </w:trPr>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单位资金</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480" w:hRule="atLeast"/>
        </w:trPr>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资金管理情况</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情况说明</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分值（20）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得分</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存在问题和改进措施</w:t>
            </w:r>
          </w:p>
        </w:tc>
      </w:tr>
      <w:tr>
        <w:tblPrEx>
          <w:tblCellMar>
            <w:top w:w="0" w:type="dxa"/>
            <w:left w:w="108" w:type="dxa"/>
            <w:bottom w:w="0" w:type="dxa"/>
            <w:right w:w="108" w:type="dxa"/>
          </w:tblCellMar>
        </w:tblPrEx>
        <w:trPr>
          <w:trHeight w:val="378" w:hRule="atLeast"/>
        </w:trPr>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安排科学性</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根据签订合同金额，安排资金</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378" w:hRule="atLeast"/>
        </w:trPr>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拨付合规性</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依据合同约定，及时拨付</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378" w:hRule="atLeast"/>
        </w:trPr>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使用规范性</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专款专用</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378" w:hRule="atLeast"/>
        </w:trPr>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预算绩效管理情况</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预算绩效管理合规</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378"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年度总体目标</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预期目标</w:t>
            </w:r>
          </w:p>
        </w:tc>
        <w:tc>
          <w:tcPr>
            <w:tcW w:w="462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全年实际完成情况</w:t>
            </w:r>
          </w:p>
        </w:tc>
      </w:tr>
      <w:tr>
        <w:tblPrEx>
          <w:tblCellMar>
            <w:top w:w="0" w:type="dxa"/>
            <w:left w:w="108" w:type="dxa"/>
            <w:bottom w:w="0" w:type="dxa"/>
            <w:right w:w="108" w:type="dxa"/>
          </w:tblCellMar>
        </w:tblPrEx>
        <w:trPr>
          <w:trHeight w:val="945"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进一步改善城市环境，更好的服务沿线的学校、医院、商户、居民，切实为市民群众创造一个优美的工作和生活环境。       </w:t>
            </w:r>
          </w:p>
        </w:tc>
        <w:tc>
          <w:tcPr>
            <w:tcW w:w="462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全部完成预期目标</w:t>
            </w:r>
          </w:p>
        </w:tc>
      </w:tr>
      <w:tr>
        <w:tblPrEx>
          <w:tblCellMar>
            <w:top w:w="0" w:type="dxa"/>
            <w:left w:w="108" w:type="dxa"/>
            <w:bottom w:w="0" w:type="dxa"/>
            <w:right w:w="108" w:type="dxa"/>
          </w:tblCellMar>
        </w:tblPrEx>
        <w:trPr>
          <w:trHeight w:val="54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绩</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分值</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得分</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偏差原因分析及改进措施</w:t>
            </w: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restart"/>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成本指标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（10分）</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指标1：项目施工（尾款）</w:t>
            </w:r>
          </w:p>
        </w:tc>
        <w:tc>
          <w:tcPr>
            <w:tcW w:w="1240" w:type="dxa"/>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12.65万元</w:t>
            </w:r>
          </w:p>
        </w:tc>
        <w:tc>
          <w:tcPr>
            <w:tcW w:w="1226" w:type="dxa"/>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12.65万元</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指标2：监理费（尾款）</w:t>
            </w:r>
          </w:p>
        </w:tc>
        <w:tc>
          <w:tcPr>
            <w:tcW w:w="1240" w:type="dxa"/>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1.4万元</w:t>
            </w:r>
          </w:p>
        </w:tc>
        <w:tc>
          <w:tcPr>
            <w:tcW w:w="1226" w:type="dxa"/>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1.4万元</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指标3：设计费（尾款）</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1.84万元</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1.84万元</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指标4：可行性研究报告</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0.55万元</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0.55万元</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指标5：招标代理费</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1.1万元</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1.1万元</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产出指标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（30分）</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指标1：沿街建筑外墙真石漆 </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17371.06平方米</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17371.06平方米</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指标2：门头牌匾更新更换731米</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731米</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731米</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指标3：沿街建筑物外墙清洗</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3408.25平方 </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3408.25平方 </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指标4：新建围墙</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68米</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68米</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指标5：空调移机</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21个</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21个</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指标6：空调罩制作和安装</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526个</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526个</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指标1：沿街建筑外墙真石漆 </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达标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达标</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指标2：门头牌匾更新更换731米</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达标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达标</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指标3：沿街建筑物外墙清洗</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达标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达标</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指标4：新建围墙</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达标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达标</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指标5：空调移机</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达标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达标</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指标6：空调罩制作和安装</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达标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达标</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指标1：在合同规定时间完工</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达标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达标</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6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效益指标(25分)</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20"/>
                <w:szCs w:val="20"/>
              </w:rPr>
            </w:pPr>
            <w:r>
              <w:rPr>
                <w:rFonts w:hint="eastAsia" w:ascii="宋体" w:hAnsi="宋体" w:cs="宋体"/>
                <w:color w:val="000000"/>
                <w:kern w:val="0"/>
                <w:sz w:val="20"/>
                <w:szCs w:val="20"/>
              </w:rPr>
              <w:t xml:space="preserve"> 指标1：毓秀路街道干净整洁</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95%</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25</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满意度指标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（5分）</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指标1：沿街单位、门店满意度</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95%</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378" w:hRule="atLeast"/>
        </w:trPr>
        <w:tc>
          <w:tcPr>
            <w:tcW w:w="904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总分</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100.0 </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center"/>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885" w:hRule="atLeast"/>
        </w:trPr>
        <w:tc>
          <w:tcPr>
            <w:tcW w:w="12443"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r>
              <w:rPr>
                <w:rFonts w:hint="eastAsia" w:ascii="宋体" w:hAnsi="宋体" w:cs="宋体"/>
                <w:color w:val="000000"/>
                <w:kern w:val="0"/>
                <w:sz w:val="18"/>
                <w:szCs w:val="18"/>
              </w:rPr>
              <w:t>注：1.资金管理情况的考核，对违反预算管理规定行为的，原则上每发现1例扣1分，扣完为止。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2.绩效自评采取打分评价的形式，满分为100分，</w:t>
            </w:r>
            <w:r>
              <w:rPr>
                <w:rFonts w:ascii="宋体" w:hAnsi="宋体" w:cs="宋体"/>
                <w:color w:val="000000"/>
                <w:kern w:val="0"/>
                <w:sz w:val="18"/>
              </w:rPr>
              <w:t>项目单位自评原则上统一按以下方式设置：预算执行率10分、资金管理情况20分、成本指标10分、产出指标30分、效益指标25分、满意度指标5分。二三级指标的分值权重由各单位根据项目实际情况和指标重要程度合理设置。</w:t>
            </w:r>
            <w:r>
              <w:rPr>
                <w:rFonts w:hint="eastAsia" w:ascii="宋体" w:hAnsi="宋体" w:cs="宋体"/>
                <w:color w:val="000000"/>
                <w:kern w:val="0"/>
                <w:sz w:val="18"/>
                <w:szCs w:val="18"/>
              </w:rPr>
              <w:br w:type="textWrapping"/>
            </w:r>
            <w:r>
              <w:rPr>
                <w:rFonts w:ascii="宋体" w:hAnsi="宋体" w:cs="宋体"/>
                <w:color w:val="000000"/>
                <w:kern w:val="0"/>
                <w:sz w:val="18"/>
              </w:rPr>
              <w:t xml:space="preserve">    3.偏差原因分析及改进措施：说明偏离目标、不能完成目标的原因及改进措施。</w:t>
            </w:r>
            <w:r>
              <w:rPr>
                <w:rFonts w:hint="eastAsia" w:ascii="宋体" w:hAnsi="宋体" w:cs="宋体"/>
                <w:color w:val="000000"/>
                <w:kern w:val="0"/>
                <w:sz w:val="18"/>
                <w:szCs w:val="18"/>
              </w:rPr>
              <w:br w:type="textWrapping"/>
            </w:r>
            <w:r>
              <w:rPr>
                <w:rFonts w:ascii="宋体" w:hAnsi="宋体" w:cs="宋体"/>
                <w:color w:val="000000"/>
                <w:kern w:val="0"/>
                <w:sz w:val="18"/>
              </w:rPr>
              <w:t xml:space="preserve">    4.定性指标完成情况分为好、较好、一般、较差四档，在相应档次分别按照100％-90%(含)、90%-80％(含)、80％-60％(含)、60％-0％合理确定分值。定量指标完成指标值的，记该指标所赋全部分值；未完成的，按照完成值与指标值的比例计分。</w:t>
            </w:r>
          </w:p>
        </w:tc>
      </w:tr>
      <w:tr>
        <w:tblPrEx>
          <w:tblCellMar>
            <w:top w:w="0" w:type="dxa"/>
            <w:left w:w="108" w:type="dxa"/>
            <w:bottom w:w="0" w:type="dxa"/>
            <w:right w:w="108" w:type="dxa"/>
          </w:tblCellMar>
        </w:tblPrEx>
        <w:trPr>
          <w:trHeight w:val="360" w:hRule="atLeast"/>
        </w:trPr>
        <w:tc>
          <w:tcPr>
            <w:tcW w:w="12443"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r>
      <w:tr>
        <w:tblPrEx>
          <w:tblCellMar>
            <w:top w:w="0" w:type="dxa"/>
            <w:left w:w="108" w:type="dxa"/>
            <w:bottom w:w="0" w:type="dxa"/>
            <w:right w:w="108" w:type="dxa"/>
          </w:tblCellMar>
        </w:tblPrEx>
        <w:trPr>
          <w:trHeight w:val="570" w:hRule="atLeast"/>
        </w:trPr>
        <w:tc>
          <w:tcPr>
            <w:tcW w:w="12443"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val="0"/>
              <w:kinsoku/>
              <w:overflowPunct/>
              <w:topLinePunct w:val="0"/>
              <w:autoSpaceDN/>
              <w:bidi w:val="0"/>
              <w:adjustRightInd/>
              <w:jc w:val="left"/>
              <w:textAlignment w:val="auto"/>
              <w:rPr>
                <w:rFonts w:ascii="宋体" w:hAnsi="宋体" w:cs="宋体"/>
                <w:color w:val="000000"/>
                <w:kern w:val="0"/>
                <w:sz w:val="18"/>
                <w:szCs w:val="18"/>
              </w:rPr>
            </w:pPr>
          </w:p>
        </w:tc>
      </w:tr>
    </w:tbl>
    <w:p>
      <w:pPr>
        <w:pStyle w:val="10"/>
        <w:keepNext w:val="0"/>
        <w:keepLines w:val="0"/>
        <w:pageBreakBefore w:val="0"/>
        <w:widowControl w:val="0"/>
        <w:kinsoku/>
        <w:overflowPunct/>
        <w:topLinePunct w:val="0"/>
        <w:autoSpaceDN/>
        <w:bidi w:val="0"/>
        <w:adjustRightInd/>
        <w:textAlignment w:val="auto"/>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lang w:val="en-US" w:eastAsia="zh-CN"/>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lang w:val="en-US" w:eastAsia="zh-CN"/>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lang w:val="en-US" w:eastAsia="zh-CN"/>
        </w:rPr>
      </w:pP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left"/>
        <w:textAlignment w:val="auto"/>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textAlignment w:val="auto"/>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pageBreakBefore w:val="0"/>
        <w:widowControl w:val="0"/>
        <w:suppressLineNumbers w:val="0"/>
        <w:kinsoku/>
        <w:overflowPunct/>
        <w:topLinePunct w:val="0"/>
        <w:autoSpaceDN/>
        <w:bidi w:val="0"/>
        <w:adjustRightInd/>
        <w:spacing w:before="0" w:beforeAutospacing="0" w:after="0" w:afterAutospacing="0"/>
        <w:ind w:left="0" w:right="0"/>
        <w:jc w:val="center"/>
        <w:textAlignment w:val="auto"/>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keepNext w:val="0"/>
        <w:keepLines w:val="0"/>
        <w:pageBreakBefore w:val="0"/>
        <w:widowControl w:val="0"/>
        <w:kinsoku/>
        <w:overflowPunct/>
        <w:topLinePunct w:val="0"/>
        <w:autoSpaceDN/>
        <w:bidi w:val="0"/>
        <w:adjustRightInd/>
        <w:textAlignment w:val="auto"/>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suppressLineNumbers w:val="0"/>
        <w:kinsoku/>
        <w:overflowPunct/>
        <w:topLinePunct w:val="0"/>
        <w:autoSpaceDN/>
        <w:bidi w:val="0"/>
        <w:adjustRightInd/>
        <w:spacing w:before="0" w:beforeAutospacing="0" w:after="0" w:afterAutospacing="0" w:line="590" w:lineRule="exact"/>
        <w:ind w:left="0" w:right="0" w:firstLine="640" w:firstLineChars="200"/>
        <w:jc w:val="left"/>
        <w:textAlignment w:val="auto"/>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CybBza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77C41"/>
    <w:multiLevelType w:val="multilevel"/>
    <w:tmpl w:val="9F777C41"/>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6BEB16C9"/>
    <w:rsid w:val="6F7BAF62"/>
    <w:rsid w:val="F7EEE44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e670b99b-d7c4-4d31-bc33-2adcd8cb342e"/>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11">
    <w:name w:val="普通表格1"/>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15</TotalTime>
  <ScaleCrop>false</ScaleCrop>
  <LinksUpToDate>false</LinksUpToDate>
  <CharactersWithSpaces>19414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2023-05-05T10:54:00Z</dcterms:created>
  <dc:creator>HSX</dc:creator>
  <cp:lastModifiedBy>huanghe</cp:lastModifiedBy>
  <dcterms:modified xsi:type="dcterms:W3CDTF">2024-10-09T17:35:30Z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DF94CE1DC53D4C5F990C8EECCB3F5EB2_13</vt:lpwstr>
  </property>
</Properties>
</file>