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许昌市城市管理局部门决算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许昌市城市管理局概况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许昌市城市管理局概况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许昌市城市管理局（本级）：1、贯彻执行上级关于城市管理和城市管理行政执法方面的法律法规和方针政策；研究拟订全市城市管理规范性文件，编制城市管理总体规划、中长期发展规划、专项规划和年度计划，并组织实施和监督检查。2、负责制定全市城市管理和城市管理综合执法工作规范和执法行为规范，组织开展业务培训、综合考核、法律法规普及和宣传教育工作。3、负责全市城市管理和城市管理综合执法的统筹协调、组织调度和监督考核；负责全市城市管理和城市管理综合执法行政复议和行政诉讼工作的监督指导；负责全市城市管理综合执法机构依法行政和严格、规范、文明执法工作的监督指导；负责全市跨区域城市管理综合执法重大案件的查纠工作。4、负责行使市级管理职责内住房城乡建设领域法律法规规章方面的行政处罚权及相应的行政强制权。5、负责行使市城市规划区范围内城乡规划管理方面违反城乡规划、已经市委城乡规划建设委员会审议通过但未取得规划许可、或未按照城乡规划许可内容建设违法案件的行政处罚权及相应的行政强制权。6、负责组织拟定全市市容市貌管理相关标准规范并监督实施；负责全市市容市貌的统筹管理，组织协调城市管理重大活动。7、负责市建成区城市公共空间规划的监管；负责全市户外广告专项规划的组织编制、拟定设置技术规范；负责全市设置大型户外广告。8、负责全市环境卫生管理工作的行业监管、督促指导、综合协调、督导考核等；负责市建成区生活垃圾的处置、资源化利用。9、负责全市建筑垃圾管理和资源化利用工作的行业管理、督促指导、综合协调；负责对市区建筑垃圾无害化处理和资源化利用特许经营企业的监督指导工作。10、负责市建成区公共自行车系统建设和运营管理，督促指导各县（市）公共自行车系统建设和运营管理。11、负责全市城市景观照明的行业管理、督促指导、综合协调等。12、负责全市园林绿化工作的行业指导、综合协调工作，拟定相关规范标准并监督实施；负责城市规划区内工程建设涉及城市绿地、树木审批工作。13、负责全市数字化城管系统的运行管理、督促指导、综合协调、督导考核等；督促指导县（市、区）数字化城管系统平台的建设管理；负责全市城市管理突发事件的指挥调度等工作。14、完成市委、市政府交办的其他任务。15、与市住房与城乡建设局、市自然资源和规划局的有关责任分工。城市规划、建设以及其他行政管理部门负责专业技术强的违法违规行为认定、城市规划核实、专业技术鉴定、资质资格和专业技术核准、质量安全监督检查、工作中发现违法事项移交、行政处罚中涉及行政许可事项落实等管理职责；城市管理综合执法部门执行具体行政处罚权及相应的行政强制权，负责城市巡查、督查和问题发现以及查处落实工作；建立健全信息互通、资源共享、协调联动机制，有关行政管理部门应将与城市管理行政执法有关的行政许可和管理信息及时通报城市管理综合执法部门，城市管理综合执法部门应将实施行政处罚的情况和发现的问题通报有关行政管理部门，并提出管理建议。</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许昌市城市管理执法支队：1、负责全市城市管理综合执法的统筹协调、组织调度和监督考核，负责市级承担的城市管理综合执法事项、跨区域及重大复杂违法违规案件的查纠；2、住房城乡建设领域法律法规规章规定的全部行政处罚权（含市容市貌管理方面的行政处罚权）；3、环境保护管理方面社会噪声污染、建筑施工噪声污染、建筑施工扬尘污染、餐饮服务业油烟污染、露天烧烤污染、城市焚烧沥青塑料垃圾等烟尘和恶臭污染、露天焚烧秸秆落叶等烟尘污染的行政处罚权；4、工商管理方面户外公共场所无照经营、违规设置户外广告的行政处罚权；5、食品药品监管方面户外公共场所食品销售和餐饮摊点无证经营的行政处罚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许昌市环境卫生管理处：1、负责贯彻落实国家、省、市环卫行业政策，制定我市环境卫生政策、标准；2、负责全市环境卫生工作的行业指导；3、负责全市生活垃圾分类工作的组织、协调、监督、指导；4、负责全市农村生活垃圾治理工作的组织、协调、监督、指导；5、负责许昌市环卫处生活垃圾填埋场的日常运营管理、香山公园日常管养；6、负责餐厨垃圾收运处置企业、生活垃圾焚烧发电企业监管指导工作；7、上级部门赋予的其他职责。</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许昌市数字化城市管理中心：1、负责组织建立许昌市数字化城市管理系统，拟定数字化城市管理指挥与绩效评价办法，并组织实施；2、负责市区城市管理中出现各种问题的现场信息和处置结果信息的采集、分类、处理和报送，巡查列入管理范围的城市部件、事件问题；3、负责城市管理各类信息的整理、分析，对城市管理状况以及相关县（区）、市直有关部门（单位）履行城市管理职责的情况进行收集、评价和反馈；负责对城市部件、事件问题进行审核备案，并派遣到各专业处理部门或责任单位；负责对城市部件、事件问题处置情况进行跟踪、指导、督促；4、负责数字化城市管理信息系统的日常维护与管理，建立城市管理工作电子档案，实施信息管理；负责信息采集工作的绩效考核。</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（五）许昌市建筑垃圾管理中心：1、为市区内建筑垃圾监督管理提供服务；2、建筑垃圾监督管理服务；3、建筑垃圾处置费征收辅助服务。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许昌市生活垃圾处理费征收管理中心：1、负责市区生活垃圾处理费征收工作；2、负责市区生活垃圾私拉乱运的监督管理工作；3、负责城市生活垃圾管理政策、法律、法规的宣传工作；4、负责市区“门前三包”监督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许昌市园林绿化中心：1、协助主管部门做好园林绿化规划建设及监管工作。负责制定园林绿化工作考核标准，对全市园林绿化行业进行监督管理、综合协调、督导考核；参与城市绿化工程建设项目的论证和技术把关；负责中心城区内树木的移植、砍伐及临时占用城市绿化用地等事项的初步审核。2、受主管部门委托，负责对全市范围内的道路、广场、游园的园林绿化养护管理进行监督。3、负责指导市园林绿化协会工作；组织开展园林绿化科技项目攻关和科技成果推广应用；组织开展城市道路、公园、广场、园林式居住区（单位）等绿化达标活动。4、开展全市范围内生物多样性保护、古树名木保护。5、开展市县、乡镇国家（生态）园林城市等创建活动。6、负责行业人才培养规划，组织和指导园林绿化行业从业人员的专业技术培训工作。7、完成上级交办的其他工作任务。</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许昌市城市管理局内设机构8个,包括：办公室、人事科、计划财务科、政策法规科、市容环境卫生管理科（政务服务科）、园林绿化管理科、督查考核科、机关党委。</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从决算单位构成看，许昌市城市管理局部门决算包括：本级决算（1个）、所属单位决算（6个）。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本决算为汇总决算，纳入本部门2023年度部门决算编制范围的单位共7个，二级预算单位有: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1.许昌市城市管理局（本级）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2.许昌市城市管理执法支队</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3.许昌市环境卫生管理处</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4.许昌市数字化城市管理中心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5.许昌市建筑垃圾管理中心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6.许昌市生活垃圾处理费征收管理中心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7.许昌市园林绿化中心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部门：许昌市城市管理局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15,457.77</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2,172.59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1.08</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1,987.88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280.51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3,513.14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8,388.52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9.15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397.88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15,458.85</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16,749.68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1,335.09</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43.72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16,793.94</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16,793.94</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部门：许昌市城市管理局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15,458.85</w:t>
            </w:r>
          </w:p>
        </w:tc>
        <w:tc>
          <w:tcPr>
            <w:tcW w:w="1440" w:type="dxa"/>
            <w:vAlign w:val="center"/>
          </w:tcPr>
          <w:p>
            <w:pPr>
              <w:jc w:val="right"/>
            </w:pPr>
            <w:r>
              <w:rPr>
                <w:rFonts w:ascii="宋体" w:hAnsi="宋体" w:eastAsia="宋体" w:cs="宋体"/>
                <w:b/>
                <w:i w:val="0"/>
                <w:color w:val="000000"/>
                <w:sz w:val="17"/>
              </w:rPr>
              <w:t>15,457.77</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1.08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2,172.59</w:t>
            </w:r>
          </w:p>
        </w:tc>
        <w:tc>
          <w:tcPr>
            <w:tcW w:w="1440" w:type="dxa"/>
            <w:vAlign w:val="center"/>
          </w:tcPr>
          <w:p>
            <w:pPr>
              <w:jc w:val="right"/>
            </w:pPr>
            <w:r>
              <w:rPr>
                <w:rFonts w:ascii="宋体" w:hAnsi="宋体" w:eastAsia="宋体" w:cs="宋体"/>
                <w:b w:val="0"/>
                <w:i w:val="0"/>
                <w:color w:val="000000"/>
                <w:sz w:val="17"/>
              </w:rPr>
              <w:t>2,172.59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w:t>
            </w:r>
          </w:p>
        </w:tc>
        <w:tc>
          <w:tcPr>
            <w:tcW w:w="3140" w:type="dxa"/>
            <w:vAlign w:val="center"/>
          </w:tcPr>
          <w:p>
            <w:pPr>
              <w:jc w:val="left"/>
            </w:pPr>
            <w:r>
              <w:rPr>
                <w:rFonts w:ascii="宋体" w:hAnsi="宋体" w:eastAsia="宋体" w:cs="宋体"/>
                <w:b w:val="0"/>
                <w:i w:val="0"/>
                <w:color w:val="000000"/>
                <w:sz w:val="17"/>
              </w:rPr>
              <w:t>人大事务</w:t>
            </w:r>
          </w:p>
        </w:tc>
        <w:tc>
          <w:tcPr>
            <w:tcW w:w="1440" w:type="dxa"/>
            <w:vAlign w:val="center"/>
          </w:tcPr>
          <w:p>
            <w:pPr>
              <w:jc w:val="right"/>
            </w:pPr>
            <w:r>
              <w:rPr>
                <w:rFonts w:ascii="宋体" w:hAnsi="宋体" w:eastAsia="宋体" w:cs="宋体"/>
                <w:b w:val="0"/>
                <w:i w:val="0"/>
                <w:color w:val="000000"/>
                <w:sz w:val="17"/>
              </w:rPr>
              <w:t>1,753.02</w:t>
            </w:r>
          </w:p>
        </w:tc>
        <w:tc>
          <w:tcPr>
            <w:tcW w:w="1440" w:type="dxa"/>
            <w:vAlign w:val="center"/>
          </w:tcPr>
          <w:p>
            <w:pPr>
              <w:jc w:val="right"/>
            </w:pPr>
            <w:r>
              <w:rPr>
                <w:rFonts w:ascii="宋体" w:hAnsi="宋体" w:eastAsia="宋体" w:cs="宋体"/>
                <w:b w:val="0"/>
                <w:i w:val="0"/>
                <w:color w:val="000000"/>
                <w:sz w:val="17"/>
              </w:rPr>
              <w:t>1,753.02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1,753.02</w:t>
            </w:r>
          </w:p>
        </w:tc>
        <w:tc>
          <w:tcPr>
            <w:tcW w:w="1440" w:type="dxa"/>
            <w:vAlign w:val="center"/>
          </w:tcPr>
          <w:p>
            <w:pPr>
              <w:jc w:val="right"/>
            </w:pPr>
            <w:r>
              <w:rPr>
                <w:rFonts w:ascii="宋体" w:hAnsi="宋体" w:eastAsia="宋体" w:cs="宋体"/>
                <w:b w:val="0"/>
                <w:i w:val="0"/>
                <w:color w:val="000000"/>
                <w:sz w:val="17"/>
              </w:rPr>
              <w:t>1,753.02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39.18</w:t>
            </w:r>
          </w:p>
        </w:tc>
        <w:tc>
          <w:tcPr>
            <w:tcW w:w="1440" w:type="dxa"/>
            <w:vAlign w:val="center"/>
          </w:tcPr>
          <w:p>
            <w:pPr>
              <w:jc w:val="right"/>
            </w:pPr>
            <w:r>
              <w:rPr>
                <w:rFonts w:ascii="宋体" w:hAnsi="宋体" w:eastAsia="宋体" w:cs="宋体"/>
                <w:b w:val="0"/>
                <w:i w:val="0"/>
                <w:color w:val="000000"/>
                <w:sz w:val="17"/>
              </w:rPr>
              <w:t>39.18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39.18</w:t>
            </w:r>
          </w:p>
        </w:tc>
        <w:tc>
          <w:tcPr>
            <w:tcW w:w="1440" w:type="dxa"/>
            <w:vAlign w:val="center"/>
          </w:tcPr>
          <w:p>
            <w:pPr>
              <w:jc w:val="right"/>
            </w:pPr>
            <w:r>
              <w:rPr>
                <w:rFonts w:ascii="宋体" w:hAnsi="宋体" w:eastAsia="宋体" w:cs="宋体"/>
                <w:b w:val="0"/>
                <w:i w:val="0"/>
                <w:color w:val="000000"/>
                <w:sz w:val="17"/>
              </w:rPr>
              <w:t>39.18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380.39</w:t>
            </w:r>
          </w:p>
        </w:tc>
        <w:tc>
          <w:tcPr>
            <w:tcW w:w="1440" w:type="dxa"/>
            <w:vAlign w:val="center"/>
          </w:tcPr>
          <w:p>
            <w:pPr>
              <w:jc w:val="right"/>
            </w:pPr>
            <w:r>
              <w:rPr>
                <w:rFonts w:ascii="宋体" w:hAnsi="宋体" w:eastAsia="宋体" w:cs="宋体"/>
                <w:b w:val="0"/>
                <w:i w:val="0"/>
                <w:color w:val="000000"/>
                <w:sz w:val="17"/>
              </w:rPr>
              <w:t>380.39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380.39</w:t>
            </w:r>
          </w:p>
        </w:tc>
        <w:tc>
          <w:tcPr>
            <w:tcW w:w="1440" w:type="dxa"/>
            <w:vAlign w:val="center"/>
          </w:tcPr>
          <w:p>
            <w:pPr>
              <w:jc w:val="right"/>
            </w:pPr>
            <w:r>
              <w:rPr>
                <w:rFonts w:ascii="宋体" w:hAnsi="宋体" w:eastAsia="宋体" w:cs="宋体"/>
                <w:b w:val="0"/>
                <w:i w:val="0"/>
                <w:color w:val="000000"/>
                <w:sz w:val="17"/>
              </w:rPr>
              <w:t>380.39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1,987.88</w:t>
            </w:r>
          </w:p>
        </w:tc>
        <w:tc>
          <w:tcPr>
            <w:tcW w:w="1440" w:type="dxa"/>
            <w:vAlign w:val="center"/>
          </w:tcPr>
          <w:p>
            <w:pPr>
              <w:jc w:val="right"/>
            </w:pPr>
            <w:r>
              <w:rPr>
                <w:rFonts w:ascii="宋体" w:hAnsi="宋体" w:eastAsia="宋体" w:cs="宋体"/>
                <w:b w:val="0"/>
                <w:i w:val="0"/>
                <w:color w:val="000000"/>
                <w:sz w:val="17"/>
              </w:rPr>
              <w:t>1,987.88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1,916.43</w:t>
            </w:r>
          </w:p>
        </w:tc>
        <w:tc>
          <w:tcPr>
            <w:tcW w:w="1440" w:type="dxa"/>
            <w:vAlign w:val="center"/>
          </w:tcPr>
          <w:p>
            <w:pPr>
              <w:jc w:val="right"/>
            </w:pPr>
            <w:r>
              <w:rPr>
                <w:rFonts w:ascii="宋体" w:hAnsi="宋体" w:eastAsia="宋体" w:cs="宋体"/>
                <w:b w:val="0"/>
                <w:i w:val="0"/>
                <w:color w:val="000000"/>
                <w:sz w:val="17"/>
              </w:rPr>
              <w:t>1,916.43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361.07</w:t>
            </w:r>
          </w:p>
        </w:tc>
        <w:tc>
          <w:tcPr>
            <w:tcW w:w="1440" w:type="dxa"/>
            <w:vAlign w:val="center"/>
          </w:tcPr>
          <w:p>
            <w:pPr>
              <w:jc w:val="right"/>
            </w:pPr>
            <w:r>
              <w:rPr>
                <w:rFonts w:ascii="宋体" w:hAnsi="宋体" w:eastAsia="宋体" w:cs="宋体"/>
                <w:b w:val="0"/>
                <w:i w:val="0"/>
                <w:color w:val="000000"/>
                <w:sz w:val="17"/>
              </w:rPr>
              <w:t>361.07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1,146.19</w:t>
            </w:r>
          </w:p>
        </w:tc>
        <w:tc>
          <w:tcPr>
            <w:tcW w:w="1440" w:type="dxa"/>
            <w:vAlign w:val="center"/>
          </w:tcPr>
          <w:p>
            <w:pPr>
              <w:jc w:val="right"/>
            </w:pPr>
            <w:r>
              <w:rPr>
                <w:rFonts w:ascii="宋体" w:hAnsi="宋体" w:eastAsia="宋体" w:cs="宋体"/>
                <w:b w:val="0"/>
                <w:i w:val="0"/>
                <w:color w:val="000000"/>
                <w:sz w:val="17"/>
              </w:rPr>
              <w:t>1,146.19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409.17</w:t>
            </w:r>
          </w:p>
        </w:tc>
        <w:tc>
          <w:tcPr>
            <w:tcW w:w="1440" w:type="dxa"/>
            <w:vAlign w:val="center"/>
          </w:tcPr>
          <w:p>
            <w:pPr>
              <w:jc w:val="right"/>
            </w:pPr>
            <w:r>
              <w:rPr>
                <w:rFonts w:ascii="宋体" w:hAnsi="宋体" w:eastAsia="宋体" w:cs="宋体"/>
                <w:b w:val="0"/>
                <w:i w:val="0"/>
                <w:color w:val="000000"/>
                <w:sz w:val="17"/>
              </w:rPr>
              <w:t>409.17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71.46</w:t>
            </w:r>
          </w:p>
        </w:tc>
        <w:tc>
          <w:tcPr>
            <w:tcW w:w="1440" w:type="dxa"/>
            <w:vAlign w:val="center"/>
          </w:tcPr>
          <w:p>
            <w:pPr>
              <w:jc w:val="right"/>
            </w:pPr>
            <w:r>
              <w:rPr>
                <w:rFonts w:ascii="宋体" w:hAnsi="宋体" w:eastAsia="宋体" w:cs="宋体"/>
                <w:b w:val="0"/>
                <w:i w:val="0"/>
                <w:color w:val="000000"/>
                <w:sz w:val="17"/>
              </w:rPr>
              <w:t>71.46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71.46</w:t>
            </w:r>
          </w:p>
        </w:tc>
        <w:tc>
          <w:tcPr>
            <w:tcW w:w="1440" w:type="dxa"/>
            <w:vAlign w:val="center"/>
          </w:tcPr>
          <w:p>
            <w:pPr>
              <w:jc w:val="right"/>
            </w:pPr>
            <w:r>
              <w:rPr>
                <w:rFonts w:ascii="宋体" w:hAnsi="宋体" w:eastAsia="宋体" w:cs="宋体"/>
                <w:b w:val="0"/>
                <w:i w:val="0"/>
                <w:color w:val="000000"/>
                <w:sz w:val="17"/>
              </w:rPr>
              <w:t>71.46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280.51</w:t>
            </w:r>
          </w:p>
        </w:tc>
        <w:tc>
          <w:tcPr>
            <w:tcW w:w="1440" w:type="dxa"/>
            <w:vAlign w:val="center"/>
          </w:tcPr>
          <w:p>
            <w:pPr>
              <w:jc w:val="right"/>
            </w:pPr>
            <w:r>
              <w:rPr>
                <w:rFonts w:ascii="宋体" w:hAnsi="宋体" w:eastAsia="宋体" w:cs="宋体"/>
                <w:b w:val="0"/>
                <w:i w:val="0"/>
                <w:color w:val="000000"/>
                <w:sz w:val="17"/>
              </w:rPr>
              <w:t>280.51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280.51</w:t>
            </w:r>
          </w:p>
        </w:tc>
        <w:tc>
          <w:tcPr>
            <w:tcW w:w="1440" w:type="dxa"/>
            <w:vAlign w:val="center"/>
          </w:tcPr>
          <w:p>
            <w:pPr>
              <w:jc w:val="right"/>
            </w:pPr>
            <w:r>
              <w:rPr>
                <w:rFonts w:ascii="宋体" w:hAnsi="宋体" w:eastAsia="宋体" w:cs="宋体"/>
                <w:b w:val="0"/>
                <w:i w:val="0"/>
                <w:color w:val="000000"/>
                <w:sz w:val="17"/>
              </w:rPr>
              <w:t>280.51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65.56</w:t>
            </w:r>
          </w:p>
        </w:tc>
        <w:tc>
          <w:tcPr>
            <w:tcW w:w="1440" w:type="dxa"/>
            <w:vAlign w:val="center"/>
          </w:tcPr>
          <w:p>
            <w:pPr>
              <w:jc w:val="right"/>
            </w:pPr>
            <w:r>
              <w:rPr>
                <w:rFonts w:ascii="宋体" w:hAnsi="宋体" w:eastAsia="宋体" w:cs="宋体"/>
                <w:b w:val="0"/>
                <w:i w:val="0"/>
                <w:color w:val="000000"/>
                <w:sz w:val="17"/>
              </w:rPr>
              <w:t>65.56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139.10</w:t>
            </w:r>
          </w:p>
        </w:tc>
        <w:tc>
          <w:tcPr>
            <w:tcW w:w="1440" w:type="dxa"/>
            <w:vAlign w:val="center"/>
          </w:tcPr>
          <w:p>
            <w:pPr>
              <w:jc w:val="right"/>
            </w:pPr>
            <w:r>
              <w:rPr>
                <w:rFonts w:ascii="宋体" w:hAnsi="宋体" w:eastAsia="宋体" w:cs="宋体"/>
                <w:b w:val="0"/>
                <w:i w:val="0"/>
                <w:color w:val="000000"/>
                <w:sz w:val="17"/>
              </w:rPr>
              <w:t>139.10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75.85</w:t>
            </w:r>
          </w:p>
        </w:tc>
        <w:tc>
          <w:tcPr>
            <w:tcW w:w="1440" w:type="dxa"/>
            <w:vAlign w:val="center"/>
          </w:tcPr>
          <w:p>
            <w:pPr>
              <w:jc w:val="right"/>
            </w:pPr>
            <w:r>
              <w:rPr>
                <w:rFonts w:ascii="宋体" w:hAnsi="宋体" w:eastAsia="宋体" w:cs="宋体"/>
                <w:b w:val="0"/>
                <w:i w:val="0"/>
                <w:color w:val="000000"/>
                <w:sz w:val="17"/>
              </w:rPr>
              <w:t>75.85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w:t>
            </w:r>
          </w:p>
        </w:tc>
        <w:tc>
          <w:tcPr>
            <w:tcW w:w="3140" w:type="dxa"/>
            <w:vAlign w:val="center"/>
          </w:tcPr>
          <w:p>
            <w:pPr>
              <w:jc w:val="left"/>
            </w:pPr>
            <w:r>
              <w:rPr>
                <w:rFonts w:ascii="宋体" w:hAnsi="宋体" w:eastAsia="宋体" w:cs="宋体"/>
                <w:b w:val="0"/>
                <w:i w:val="0"/>
                <w:color w:val="000000"/>
                <w:sz w:val="17"/>
              </w:rPr>
              <w:t>节能环保支出</w:t>
            </w:r>
          </w:p>
        </w:tc>
        <w:tc>
          <w:tcPr>
            <w:tcW w:w="1440" w:type="dxa"/>
            <w:vAlign w:val="center"/>
          </w:tcPr>
          <w:p>
            <w:pPr>
              <w:jc w:val="right"/>
            </w:pPr>
            <w:r>
              <w:rPr>
                <w:rFonts w:ascii="宋体" w:hAnsi="宋体" w:eastAsia="宋体" w:cs="宋体"/>
                <w:b w:val="0"/>
                <w:i w:val="0"/>
                <w:color w:val="000000"/>
                <w:sz w:val="17"/>
              </w:rPr>
              <w:t>3,504.24</w:t>
            </w:r>
          </w:p>
        </w:tc>
        <w:tc>
          <w:tcPr>
            <w:tcW w:w="1440" w:type="dxa"/>
            <w:vAlign w:val="center"/>
          </w:tcPr>
          <w:p>
            <w:pPr>
              <w:jc w:val="right"/>
            </w:pPr>
            <w:r>
              <w:rPr>
                <w:rFonts w:ascii="宋体" w:hAnsi="宋体" w:eastAsia="宋体" w:cs="宋体"/>
                <w:b w:val="0"/>
                <w:i w:val="0"/>
                <w:color w:val="000000"/>
                <w:sz w:val="17"/>
              </w:rPr>
              <w:t>3,504.24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21103</w:t>
            </w:r>
          </w:p>
        </w:tc>
        <w:tc>
          <w:tcPr>
            <w:tcW w:w="3140" w:type="dxa"/>
            <w:vAlign w:val="center"/>
          </w:tcPr>
          <w:p>
            <w:pPr>
              <w:jc w:val="left"/>
            </w:pPr>
            <w:r>
              <w:rPr>
                <w:rFonts w:ascii="宋体" w:hAnsi="宋体" w:eastAsia="宋体" w:cs="宋体"/>
                <w:b w:val="0"/>
                <w:i w:val="0"/>
                <w:color w:val="000000"/>
                <w:sz w:val="17"/>
              </w:rPr>
              <w:t>污染防治</w:t>
            </w:r>
          </w:p>
        </w:tc>
        <w:tc>
          <w:tcPr>
            <w:tcW w:w="1440" w:type="dxa"/>
            <w:vAlign w:val="center"/>
          </w:tcPr>
          <w:p>
            <w:pPr>
              <w:jc w:val="right"/>
            </w:pPr>
            <w:r>
              <w:rPr>
                <w:rFonts w:ascii="宋体" w:hAnsi="宋体" w:eastAsia="宋体" w:cs="宋体"/>
                <w:b w:val="0"/>
                <w:i w:val="0"/>
                <w:color w:val="000000"/>
                <w:sz w:val="17"/>
              </w:rPr>
              <w:t>825.62</w:t>
            </w:r>
          </w:p>
        </w:tc>
        <w:tc>
          <w:tcPr>
            <w:tcW w:w="1440" w:type="dxa"/>
            <w:vAlign w:val="center"/>
          </w:tcPr>
          <w:p>
            <w:pPr>
              <w:jc w:val="right"/>
            </w:pPr>
            <w:r>
              <w:rPr>
                <w:rFonts w:ascii="宋体" w:hAnsi="宋体" w:eastAsia="宋体" w:cs="宋体"/>
                <w:b w:val="0"/>
                <w:i w:val="0"/>
                <w:color w:val="000000"/>
                <w:sz w:val="17"/>
              </w:rPr>
              <w:t>825.62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2110399</w:t>
            </w:r>
          </w:p>
        </w:tc>
        <w:tc>
          <w:tcPr>
            <w:tcW w:w="3140" w:type="dxa"/>
            <w:vAlign w:val="center"/>
          </w:tcPr>
          <w:p>
            <w:pPr>
              <w:jc w:val="left"/>
            </w:pPr>
            <w:r>
              <w:rPr>
                <w:rFonts w:ascii="宋体" w:hAnsi="宋体" w:eastAsia="宋体" w:cs="宋体"/>
                <w:b w:val="0"/>
                <w:i w:val="0"/>
                <w:color w:val="000000"/>
                <w:sz w:val="17"/>
              </w:rPr>
              <w:t>其他污染防治支出</w:t>
            </w:r>
          </w:p>
        </w:tc>
        <w:tc>
          <w:tcPr>
            <w:tcW w:w="1440" w:type="dxa"/>
            <w:vAlign w:val="center"/>
          </w:tcPr>
          <w:p>
            <w:pPr>
              <w:jc w:val="right"/>
            </w:pPr>
            <w:r>
              <w:rPr>
                <w:rFonts w:ascii="宋体" w:hAnsi="宋体" w:eastAsia="宋体" w:cs="宋体"/>
                <w:b w:val="0"/>
                <w:i w:val="0"/>
                <w:color w:val="000000"/>
                <w:sz w:val="17"/>
              </w:rPr>
              <w:t>825.62</w:t>
            </w:r>
          </w:p>
        </w:tc>
        <w:tc>
          <w:tcPr>
            <w:tcW w:w="1440" w:type="dxa"/>
            <w:vAlign w:val="center"/>
          </w:tcPr>
          <w:p>
            <w:pPr>
              <w:jc w:val="right"/>
            </w:pPr>
            <w:r>
              <w:rPr>
                <w:rFonts w:ascii="宋体" w:hAnsi="宋体" w:eastAsia="宋体" w:cs="宋体"/>
                <w:b w:val="0"/>
                <w:i w:val="0"/>
                <w:color w:val="000000"/>
                <w:sz w:val="17"/>
              </w:rPr>
              <w:t>825.62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21114</w:t>
            </w:r>
          </w:p>
        </w:tc>
        <w:tc>
          <w:tcPr>
            <w:tcW w:w="3140" w:type="dxa"/>
            <w:vAlign w:val="center"/>
          </w:tcPr>
          <w:p>
            <w:pPr>
              <w:jc w:val="left"/>
            </w:pPr>
            <w:r>
              <w:rPr>
                <w:rFonts w:ascii="宋体" w:hAnsi="宋体" w:eastAsia="宋体" w:cs="宋体"/>
                <w:b w:val="0"/>
                <w:i w:val="0"/>
                <w:color w:val="000000"/>
                <w:sz w:val="17"/>
              </w:rPr>
              <w:t>能源管理事务</w:t>
            </w:r>
          </w:p>
        </w:tc>
        <w:tc>
          <w:tcPr>
            <w:tcW w:w="1440" w:type="dxa"/>
            <w:vAlign w:val="center"/>
          </w:tcPr>
          <w:p>
            <w:pPr>
              <w:jc w:val="right"/>
            </w:pPr>
            <w:r>
              <w:rPr>
                <w:rFonts w:ascii="宋体" w:hAnsi="宋体" w:eastAsia="宋体" w:cs="宋体"/>
                <w:b w:val="0"/>
                <w:i w:val="0"/>
                <w:color w:val="000000"/>
                <w:sz w:val="17"/>
              </w:rPr>
              <w:t>1,782.84</w:t>
            </w:r>
          </w:p>
        </w:tc>
        <w:tc>
          <w:tcPr>
            <w:tcW w:w="1440" w:type="dxa"/>
            <w:vAlign w:val="center"/>
          </w:tcPr>
          <w:p>
            <w:pPr>
              <w:jc w:val="right"/>
            </w:pPr>
            <w:r>
              <w:rPr>
                <w:rFonts w:ascii="宋体" w:hAnsi="宋体" w:eastAsia="宋体" w:cs="宋体"/>
                <w:b w:val="0"/>
                <w:i w:val="0"/>
                <w:color w:val="000000"/>
                <w:sz w:val="17"/>
              </w:rPr>
              <w:t>1,782.84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2111499</w:t>
            </w:r>
          </w:p>
        </w:tc>
        <w:tc>
          <w:tcPr>
            <w:tcW w:w="3140" w:type="dxa"/>
            <w:vAlign w:val="center"/>
          </w:tcPr>
          <w:p>
            <w:pPr>
              <w:jc w:val="left"/>
            </w:pPr>
            <w:r>
              <w:rPr>
                <w:rFonts w:ascii="宋体" w:hAnsi="宋体" w:eastAsia="宋体" w:cs="宋体"/>
                <w:b w:val="0"/>
                <w:i w:val="0"/>
                <w:color w:val="000000"/>
                <w:sz w:val="17"/>
              </w:rPr>
              <w:t>其他能源管理事务支出</w:t>
            </w:r>
          </w:p>
        </w:tc>
        <w:tc>
          <w:tcPr>
            <w:tcW w:w="1440" w:type="dxa"/>
            <w:vAlign w:val="center"/>
          </w:tcPr>
          <w:p>
            <w:pPr>
              <w:jc w:val="right"/>
            </w:pPr>
            <w:r>
              <w:rPr>
                <w:rFonts w:ascii="宋体" w:hAnsi="宋体" w:eastAsia="宋体" w:cs="宋体"/>
                <w:b w:val="0"/>
                <w:i w:val="0"/>
                <w:color w:val="000000"/>
                <w:sz w:val="17"/>
              </w:rPr>
              <w:t>1,782.84</w:t>
            </w:r>
          </w:p>
        </w:tc>
        <w:tc>
          <w:tcPr>
            <w:tcW w:w="1440" w:type="dxa"/>
            <w:vAlign w:val="center"/>
          </w:tcPr>
          <w:p>
            <w:pPr>
              <w:jc w:val="right"/>
            </w:pPr>
            <w:r>
              <w:rPr>
                <w:rFonts w:ascii="宋体" w:hAnsi="宋体" w:eastAsia="宋体" w:cs="宋体"/>
                <w:b w:val="0"/>
                <w:i w:val="0"/>
                <w:color w:val="000000"/>
                <w:sz w:val="17"/>
              </w:rPr>
              <w:t>1,782.84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21199</w:t>
            </w:r>
          </w:p>
        </w:tc>
        <w:tc>
          <w:tcPr>
            <w:tcW w:w="3140" w:type="dxa"/>
            <w:vAlign w:val="center"/>
          </w:tcPr>
          <w:p>
            <w:pPr>
              <w:jc w:val="left"/>
            </w:pPr>
            <w:r>
              <w:rPr>
                <w:rFonts w:ascii="宋体" w:hAnsi="宋体" w:eastAsia="宋体" w:cs="宋体"/>
                <w:b w:val="0"/>
                <w:i w:val="0"/>
                <w:color w:val="000000"/>
                <w:sz w:val="17"/>
              </w:rPr>
              <w:t>其他节能环保支出</w:t>
            </w:r>
          </w:p>
        </w:tc>
        <w:tc>
          <w:tcPr>
            <w:tcW w:w="1440" w:type="dxa"/>
            <w:vAlign w:val="center"/>
          </w:tcPr>
          <w:p>
            <w:pPr>
              <w:jc w:val="right"/>
            </w:pPr>
            <w:r>
              <w:rPr>
                <w:rFonts w:ascii="宋体" w:hAnsi="宋体" w:eastAsia="宋体" w:cs="宋体"/>
                <w:b w:val="0"/>
                <w:i w:val="0"/>
                <w:color w:val="000000"/>
                <w:sz w:val="17"/>
              </w:rPr>
              <w:t>895.79</w:t>
            </w:r>
          </w:p>
        </w:tc>
        <w:tc>
          <w:tcPr>
            <w:tcW w:w="1440" w:type="dxa"/>
            <w:vAlign w:val="center"/>
          </w:tcPr>
          <w:p>
            <w:pPr>
              <w:jc w:val="right"/>
            </w:pPr>
            <w:r>
              <w:rPr>
                <w:rFonts w:ascii="宋体" w:hAnsi="宋体" w:eastAsia="宋体" w:cs="宋体"/>
                <w:b w:val="0"/>
                <w:i w:val="0"/>
                <w:color w:val="000000"/>
                <w:sz w:val="17"/>
              </w:rPr>
              <w:t>895.79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2119999</w:t>
            </w:r>
          </w:p>
        </w:tc>
        <w:tc>
          <w:tcPr>
            <w:tcW w:w="3140" w:type="dxa"/>
            <w:vAlign w:val="center"/>
          </w:tcPr>
          <w:p>
            <w:pPr>
              <w:jc w:val="left"/>
            </w:pPr>
            <w:r>
              <w:rPr>
                <w:rFonts w:ascii="宋体" w:hAnsi="宋体" w:eastAsia="宋体" w:cs="宋体"/>
                <w:b w:val="0"/>
                <w:i w:val="0"/>
                <w:color w:val="000000"/>
                <w:sz w:val="17"/>
              </w:rPr>
              <w:t>其他节能环保支出</w:t>
            </w:r>
          </w:p>
        </w:tc>
        <w:tc>
          <w:tcPr>
            <w:tcW w:w="1440" w:type="dxa"/>
            <w:vAlign w:val="center"/>
          </w:tcPr>
          <w:p>
            <w:pPr>
              <w:jc w:val="right"/>
            </w:pPr>
            <w:r>
              <w:rPr>
                <w:rFonts w:ascii="宋体" w:hAnsi="宋体" w:eastAsia="宋体" w:cs="宋体"/>
                <w:b w:val="0"/>
                <w:i w:val="0"/>
                <w:color w:val="000000"/>
                <w:sz w:val="17"/>
              </w:rPr>
              <w:t>895.79</w:t>
            </w:r>
          </w:p>
        </w:tc>
        <w:tc>
          <w:tcPr>
            <w:tcW w:w="1440" w:type="dxa"/>
            <w:vAlign w:val="center"/>
          </w:tcPr>
          <w:p>
            <w:pPr>
              <w:jc w:val="right"/>
            </w:pPr>
            <w:r>
              <w:rPr>
                <w:rFonts w:ascii="宋体" w:hAnsi="宋体" w:eastAsia="宋体" w:cs="宋体"/>
                <w:b w:val="0"/>
                <w:i w:val="0"/>
                <w:color w:val="000000"/>
                <w:sz w:val="17"/>
              </w:rPr>
              <w:t>895.79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w:t>
            </w:r>
          </w:p>
        </w:tc>
        <w:tc>
          <w:tcPr>
            <w:tcW w:w="3140" w:type="dxa"/>
            <w:vAlign w:val="center"/>
          </w:tcPr>
          <w:p>
            <w:pPr>
              <w:jc w:val="left"/>
            </w:pPr>
            <w:r>
              <w:rPr>
                <w:rFonts w:ascii="宋体" w:hAnsi="宋体" w:eastAsia="宋体" w:cs="宋体"/>
                <w:b w:val="0"/>
                <w:i w:val="0"/>
                <w:color w:val="000000"/>
                <w:sz w:val="17"/>
              </w:rPr>
              <w:t>城乡社区支出</w:t>
            </w:r>
          </w:p>
        </w:tc>
        <w:tc>
          <w:tcPr>
            <w:tcW w:w="1440" w:type="dxa"/>
            <w:vAlign w:val="center"/>
          </w:tcPr>
          <w:p>
            <w:pPr>
              <w:jc w:val="right"/>
            </w:pPr>
            <w:r>
              <w:rPr>
                <w:rFonts w:ascii="宋体" w:hAnsi="宋体" w:eastAsia="宋体" w:cs="宋体"/>
                <w:b w:val="0"/>
                <w:i w:val="0"/>
                <w:color w:val="000000"/>
                <w:sz w:val="17"/>
              </w:rPr>
              <w:t>7,106.59</w:t>
            </w:r>
          </w:p>
        </w:tc>
        <w:tc>
          <w:tcPr>
            <w:tcW w:w="1440" w:type="dxa"/>
            <w:vAlign w:val="center"/>
          </w:tcPr>
          <w:p>
            <w:pPr>
              <w:jc w:val="right"/>
            </w:pPr>
            <w:r>
              <w:rPr>
                <w:rFonts w:ascii="宋体" w:hAnsi="宋体" w:eastAsia="宋体" w:cs="宋体"/>
                <w:b w:val="0"/>
                <w:i w:val="0"/>
                <w:color w:val="000000"/>
                <w:sz w:val="17"/>
              </w:rPr>
              <w:t>7,105.51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1.08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21201</w:t>
            </w:r>
          </w:p>
        </w:tc>
        <w:tc>
          <w:tcPr>
            <w:tcW w:w="3140" w:type="dxa"/>
            <w:vAlign w:val="center"/>
          </w:tcPr>
          <w:p>
            <w:pPr>
              <w:jc w:val="left"/>
            </w:pPr>
            <w:r>
              <w:rPr>
                <w:rFonts w:ascii="宋体" w:hAnsi="宋体" w:eastAsia="宋体" w:cs="宋体"/>
                <w:b w:val="0"/>
                <w:i w:val="0"/>
                <w:color w:val="000000"/>
                <w:sz w:val="17"/>
              </w:rPr>
              <w:t>城乡社区管理事务</w:t>
            </w:r>
          </w:p>
        </w:tc>
        <w:tc>
          <w:tcPr>
            <w:tcW w:w="1440" w:type="dxa"/>
            <w:vAlign w:val="center"/>
          </w:tcPr>
          <w:p>
            <w:pPr>
              <w:jc w:val="right"/>
            </w:pPr>
            <w:r>
              <w:rPr>
                <w:rFonts w:ascii="宋体" w:hAnsi="宋体" w:eastAsia="宋体" w:cs="宋体"/>
                <w:b w:val="0"/>
                <w:i w:val="0"/>
                <w:color w:val="000000"/>
                <w:sz w:val="17"/>
              </w:rPr>
              <w:t>1,504.37</w:t>
            </w:r>
          </w:p>
        </w:tc>
        <w:tc>
          <w:tcPr>
            <w:tcW w:w="1440" w:type="dxa"/>
            <w:vAlign w:val="center"/>
          </w:tcPr>
          <w:p>
            <w:pPr>
              <w:jc w:val="right"/>
            </w:pPr>
            <w:r>
              <w:rPr>
                <w:rFonts w:ascii="宋体" w:hAnsi="宋体" w:eastAsia="宋体" w:cs="宋体"/>
                <w:b w:val="0"/>
                <w:i w:val="0"/>
                <w:color w:val="000000"/>
                <w:sz w:val="17"/>
              </w:rPr>
              <w:t>1,503.66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564.50</w:t>
            </w:r>
          </w:p>
        </w:tc>
        <w:tc>
          <w:tcPr>
            <w:tcW w:w="1440" w:type="dxa"/>
            <w:vAlign w:val="center"/>
          </w:tcPr>
          <w:p>
            <w:pPr>
              <w:jc w:val="right"/>
            </w:pPr>
            <w:r>
              <w:rPr>
                <w:rFonts w:ascii="宋体" w:hAnsi="宋体" w:eastAsia="宋体" w:cs="宋体"/>
                <w:b w:val="0"/>
                <w:i w:val="0"/>
                <w:color w:val="000000"/>
                <w:sz w:val="17"/>
              </w:rPr>
              <w:t>563.79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2120102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81.23</w:t>
            </w:r>
          </w:p>
        </w:tc>
        <w:tc>
          <w:tcPr>
            <w:tcW w:w="1440" w:type="dxa"/>
            <w:vAlign w:val="center"/>
          </w:tcPr>
          <w:p>
            <w:pPr>
              <w:jc w:val="right"/>
            </w:pPr>
            <w:r>
              <w:rPr>
                <w:rFonts w:ascii="宋体" w:hAnsi="宋体" w:eastAsia="宋体" w:cs="宋体"/>
                <w:b w:val="0"/>
                <w:i w:val="0"/>
                <w:color w:val="000000"/>
                <w:sz w:val="17"/>
              </w:rPr>
              <w:t>81.23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2120104</w:t>
            </w:r>
          </w:p>
        </w:tc>
        <w:tc>
          <w:tcPr>
            <w:tcW w:w="3140" w:type="dxa"/>
            <w:vAlign w:val="center"/>
          </w:tcPr>
          <w:p>
            <w:pPr>
              <w:jc w:val="left"/>
            </w:pPr>
            <w:r>
              <w:rPr>
                <w:rFonts w:ascii="宋体" w:hAnsi="宋体" w:eastAsia="宋体" w:cs="宋体"/>
                <w:b w:val="0"/>
                <w:i w:val="0"/>
                <w:color w:val="000000"/>
                <w:sz w:val="17"/>
              </w:rPr>
              <w:t>城管执法</w:t>
            </w:r>
          </w:p>
        </w:tc>
        <w:tc>
          <w:tcPr>
            <w:tcW w:w="1440" w:type="dxa"/>
            <w:vAlign w:val="center"/>
          </w:tcPr>
          <w:p>
            <w:pPr>
              <w:jc w:val="right"/>
            </w:pPr>
            <w:r>
              <w:rPr>
                <w:rFonts w:ascii="宋体" w:hAnsi="宋体" w:eastAsia="宋体" w:cs="宋体"/>
                <w:b w:val="0"/>
                <w:i w:val="0"/>
                <w:color w:val="000000"/>
                <w:sz w:val="17"/>
              </w:rPr>
              <w:t>858.64</w:t>
            </w:r>
          </w:p>
        </w:tc>
        <w:tc>
          <w:tcPr>
            <w:tcW w:w="1440" w:type="dxa"/>
            <w:vAlign w:val="center"/>
          </w:tcPr>
          <w:p>
            <w:pPr>
              <w:jc w:val="right"/>
            </w:pPr>
            <w:r>
              <w:rPr>
                <w:rFonts w:ascii="宋体" w:hAnsi="宋体" w:eastAsia="宋体" w:cs="宋体"/>
                <w:b w:val="0"/>
                <w:i w:val="0"/>
                <w:color w:val="000000"/>
                <w:sz w:val="17"/>
              </w:rPr>
              <w:t>858.64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21203</w:t>
            </w:r>
          </w:p>
        </w:tc>
        <w:tc>
          <w:tcPr>
            <w:tcW w:w="3140" w:type="dxa"/>
            <w:vAlign w:val="center"/>
          </w:tcPr>
          <w:p>
            <w:pPr>
              <w:jc w:val="left"/>
            </w:pPr>
            <w:r>
              <w:rPr>
                <w:rFonts w:ascii="宋体" w:hAnsi="宋体" w:eastAsia="宋体" w:cs="宋体"/>
                <w:b w:val="0"/>
                <w:i w:val="0"/>
                <w:color w:val="000000"/>
                <w:sz w:val="17"/>
              </w:rPr>
              <w:t>城乡社区公共设施</w:t>
            </w:r>
          </w:p>
        </w:tc>
        <w:tc>
          <w:tcPr>
            <w:tcW w:w="1440" w:type="dxa"/>
            <w:vAlign w:val="center"/>
          </w:tcPr>
          <w:p>
            <w:pPr>
              <w:jc w:val="right"/>
            </w:pPr>
            <w:r>
              <w:rPr>
                <w:rFonts w:ascii="宋体" w:hAnsi="宋体" w:eastAsia="宋体" w:cs="宋体"/>
                <w:b w:val="0"/>
                <w:i w:val="0"/>
                <w:color w:val="000000"/>
                <w:sz w:val="17"/>
              </w:rPr>
              <w:t>1,671.03</w:t>
            </w:r>
          </w:p>
        </w:tc>
        <w:tc>
          <w:tcPr>
            <w:tcW w:w="1440" w:type="dxa"/>
            <w:vAlign w:val="center"/>
          </w:tcPr>
          <w:p>
            <w:pPr>
              <w:jc w:val="right"/>
            </w:pPr>
            <w:r>
              <w:rPr>
                <w:rFonts w:ascii="宋体" w:hAnsi="宋体" w:eastAsia="宋体" w:cs="宋体"/>
                <w:b w:val="0"/>
                <w:i w:val="0"/>
                <w:color w:val="000000"/>
                <w:sz w:val="17"/>
              </w:rPr>
              <w:t>1,671.03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2120399</w:t>
            </w:r>
          </w:p>
        </w:tc>
        <w:tc>
          <w:tcPr>
            <w:tcW w:w="3140" w:type="dxa"/>
            <w:vAlign w:val="center"/>
          </w:tcPr>
          <w:p>
            <w:pPr>
              <w:jc w:val="left"/>
            </w:pPr>
            <w:r>
              <w:rPr>
                <w:rFonts w:ascii="宋体" w:hAnsi="宋体" w:eastAsia="宋体" w:cs="宋体"/>
                <w:b w:val="0"/>
                <w:i w:val="0"/>
                <w:color w:val="000000"/>
                <w:sz w:val="17"/>
              </w:rPr>
              <w:t>其他城乡社区公共设施支出</w:t>
            </w:r>
          </w:p>
        </w:tc>
        <w:tc>
          <w:tcPr>
            <w:tcW w:w="1440" w:type="dxa"/>
            <w:vAlign w:val="center"/>
          </w:tcPr>
          <w:p>
            <w:pPr>
              <w:jc w:val="right"/>
            </w:pPr>
            <w:r>
              <w:rPr>
                <w:rFonts w:ascii="宋体" w:hAnsi="宋体" w:eastAsia="宋体" w:cs="宋体"/>
                <w:b w:val="0"/>
                <w:i w:val="0"/>
                <w:color w:val="000000"/>
                <w:sz w:val="17"/>
              </w:rPr>
              <w:t>1,671.03</w:t>
            </w:r>
          </w:p>
        </w:tc>
        <w:tc>
          <w:tcPr>
            <w:tcW w:w="1440" w:type="dxa"/>
            <w:vAlign w:val="center"/>
          </w:tcPr>
          <w:p>
            <w:pPr>
              <w:jc w:val="right"/>
            </w:pPr>
            <w:r>
              <w:rPr>
                <w:rFonts w:ascii="宋体" w:hAnsi="宋体" w:eastAsia="宋体" w:cs="宋体"/>
                <w:b w:val="0"/>
                <w:i w:val="0"/>
                <w:color w:val="000000"/>
                <w:sz w:val="17"/>
              </w:rPr>
              <w:t>1,671.03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21205</w:t>
            </w:r>
          </w:p>
        </w:tc>
        <w:tc>
          <w:tcPr>
            <w:tcW w:w="3140" w:type="dxa"/>
            <w:vAlign w:val="center"/>
          </w:tcPr>
          <w:p>
            <w:pPr>
              <w:jc w:val="left"/>
            </w:pPr>
            <w:r>
              <w:rPr>
                <w:rFonts w:ascii="宋体" w:hAnsi="宋体" w:eastAsia="宋体" w:cs="宋体"/>
                <w:b w:val="0"/>
                <w:i w:val="0"/>
                <w:color w:val="000000"/>
                <w:sz w:val="17"/>
              </w:rPr>
              <w:t>城乡社区环境卫生</w:t>
            </w:r>
          </w:p>
        </w:tc>
        <w:tc>
          <w:tcPr>
            <w:tcW w:w="1440" w:type="dxa"/>
            <w:vAlign w:val="center"/>
          </w:tcPr>
          <w:p>
            <w:pPr>
              <w:jc w:val="right"/>
            </w:pPr>
            <w:r>
              <w:rPr>
                <w:rFonts w:ascii="宋体" w:hAnsi="宋体" w:eastAsia="宋体" w:cs="宋体"/>
                <w:b w:val="0"/>
                <w:i w:val="0"/>
                <w:color w:val="000000"/>
                <w:sz w:val="17"/>
              </w:rPr>
              <w:t>3,931.19</w:t>
            </w:r>
          </w:p>
        </w:tc>
        <w:tc>
          <w:tcPr>
            <w:tcW w:w="1440" w:type="dxa"/>
            <w:vAlign w:val="center"/>
          </w:tcPr>
          <w:p>
            <w:pPr>
              <w:jc w:val="right"/>
            </w:pPr>
            <w:r>
              <w:rPr>
                <w:rFonts w:ascii="宋体" w:hAnsi="宋体" w:eastAsia="宋体" w:cs="宋体"/>
                <w:b w:val="0"/>
                <w:i w:val="0"/>
                <w:color w:val="000000"/>
                <w:sz w:val="17"/>
              </w:rPr>
              <w:t>3,930.82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2120501</w:t>
            </w:r>
          </w:p>
        </w:tc>
        <w:tc>
          <w:tcPr>
            <w:tcW w:w="3140" w:type="dxa"/>
            <w:vAlign w:val="center"/>
          </w:tcPr>
          <w:p>
            <w:pPr>
              <w:jc w:val="left"/>
            </w:pPr>
            <w:r>
              <w:rPr>
                <w:rFonts w:ascii="宋体" w:hAnsi="宋体" w:eastAsia="宋体" w:cs="宋体"/>
                <w:b w:val="0"/>
                <w:i w:val="0"/>
                <w:color w:val="000000"/>
                <w:sz w:val="17"/>
              </w:rPr>
              <w:t>城乡社区环境卫生</w:t>
            </w:r>
          </w:p>
        </w:tc>
        <w:tc>
          <w:tcPr>
            <w:tcW w:w="1440" w:type="dxa"/>
            <w:vAlign w:val="center"/>
          </w:tcPr>
          <w:p>
            <w:pPr>
              <w:jc w:val="right"/>
            </w:pPr>
            <w:r>
              <w:rPr>
                <w:rFonts w:ascii="宋体" w:hAnsi="宋体" w:eastAsia="宋体" w:cs="宋体"/>
                <w:b w:val="0"/>
                <w:i w:val="0"/>
                <w:color w:val="000000"/>
                <w:sz w:val="17"/>
              </w:rPr>
              <w:t>3,931.19</w:t>
            </w:r>
          </w:p>
        </w:tc>
        <w:tc>
          <w:tcPr>
            <w:tcW w:w="1440" w:type="dxa"/>
            <w:vAlign w:val="center"/>
          </w:tcPr>
          <w:p>
            <w:pPr>
              <w:jc w:val="right"/>
            </w:pPr>
            <w:r>
              <w:rPr>
                <w:rFonts w:ascii="宋体" w:hAnsi="宋体" w:eastAsia="宋体" w:cs="宋体"/>
                <w:b w:val="0"/>
                <w:i w:val="0"/>
                <w:color w:val="000000"/>
                <w:sz w:val="17"/>
              </w:rPr>
              <w:t>3,930.82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9.15</w:t>
            </w:r>
          </w:p>
        </w:tc>
        <w:tc>
          <w:tcPr>
            <w:tcW w:w="1440" w:type="dxa"/>
            <w:vAlign w:val="center"/>
          </w:tcPr>
          <w:p>
            <w:pPr>
              <w:jc w:val="right"/>
            </w:pPr>
            <w:r>
              <w:rPr>
                <w:rFonts w:ascii="宋体" w:hAnsi="宋体" w:eastAsia="宋体" w:cs="宋体"/>
                <w:b w:val="0"/>
                <w:i w:val="0"/>
                <w:color w:val="000000"/>
                <w:sz w:val="17"/>
              </w:rPr>
              <w:t>9.15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21303</w:t>
            </w:r>
          </w:p>
        </w:tc>
        <w:tc>
          <w:tcPr>
            <w:tcW w:w="3140" w:type="dxa"/>
            <w:vAlign w:val="center"/>
          </w:tcPr>
          <w:p>
            <w:pPr>
              <w:jc w:val="left"/>
            </w:pPr>
            <w:r>
              <w:rPr>
                <w:rFonts w:ascii="宋体" w:hAnsi="宋体" w:eastAsia="宋体" w:cs="宋体"/>
                <w:b w:val="0"/>
                <w:i w:val="0"/>
                <w:color w:val="000000"/>
                <w:sz w:val="17"/>
              </w:rPr>
              <w:t>水利</w:t>
            </w:r>
          </w:p>
        </w:tc>
        <w:tc>
          <w:tcPr>
            <w:tcW w:w="1440" w:type="dxa"/>
            <w:vAlign w:val="center"/>
          </w:tcPr>
          <w:p>
            <w:pPr>
              <w:jc w:val="right"/>
            </w:pPr>
            <w:r>
              <w:rPr>
                <w:rFonts w:ascii="宋体" w:hAnsi="宋体" w:eastAsia="宋体" w:cs="宋体"/>
                <w:b w:val="0"/>
                <w:i w:val="0"/>
                <w:color w:val="000000"/>
                <w:sz w:val="17"/>
              </w:rPr>
              <w:t>6.00</w:t>
            </w:r>
          </w:p>
        </w:tc>
        <w:tc>
          <w:tcPr>
            <w:tcW w:w="1440" w:type="dxa"/>
            <w:vAlign w:val="center"/>
          </w:tcPr>
          <w:p>
            <w:pPr>
              <w:jc w:val="right"/>
            </w:pPr>
            <w:r>
              <w:rPr>
                <w:rFonts w:ascii="宋体" w:hAnsi="宋体" w:eastAsia="宋体" w:cs="宋体"/>
                <w:b w:val="0"/>
                <w:i w:val="0"/>
                <w:color w:val="000000"/>
                <w:sz w:val="17"/>
              </w:rPr>
              <w:t>6.00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2130399</w:t>
            </w:r>
          </w:p>
        </w:tc>
        <w:tc>
          <w:tcPr>
            <w:tcW w:w="3140" w:type="dxa"/>
            <w:vAlign w:val="center"/>
          </w:tcPr>
          <w:p>
            <w:pPr>
              <w:jc w:val="left"/>
            </w:pPr>
            <w:r>
              <w:rPr>
                <w:rFonts w:ascii="宋体" w:hAnsi="宋体" w:eastAsia="宋体" w:cs="宋体"/>
                <w:b w:val="0"/>
                <w:i w:val="0"/>
                <w:color w:val="000000"/>
                <w:sz w:val="17"/>
              </w:rPr>
              <w:t>其他水利支出</w:t>
            </w:r>
          </w:p>
        </w:tc>
        <w:tc>
          <w:tcPr>
            <w:tcW w:w="1440" w:type="dxa"/>
            <w:vAlign w:val="center"/>
          </w:tcPr>
          <w:p>
            <w:pPr>
              <w:jc w:val="right"/>
            </w:pPr>
            <w:r>
              <w:rPr>
                <w:rFonts w:ascii="宋体" w:hAnsi="宋体" w:eastAsia="宋体" w:cs="宋体"/>
                <w:b w:val="0"/>
                <w:i w:val="0"/>
                <w:color w:val="000000"/>
                <w:sz w:val="17"/>
              </w:rPr>
              <w:t>6.00</w:t>
            </w:r>
          </w:p>
        </w:tc>
        <w:tc>
          <w:tcPr>
            <w:tcW w:w="1440" w:type="dxa"/>
            <w:vAlign w:val="center"/>
          </w:tcPr>
          <w:p>
            <w:pPr>
              <w:jc w:val="right"/>
            </w:pPr>
            <w:r>
              <w:rPr>
                <w:rFonts w:ascii="宋体" w:hAnsi="宋体" w:eastAsia="宋体" w:cs="宋体"/>
                <w:b w:val="0"/>
                <w:i w:val="0"/>
                <w:color w:val="000000"/>
                <w:sz w:val="17"/>
              </w:rPr>
              <w:t>6.00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3.15</w:t>
            </w:r>
          </w:p>
        </w:tc>
        <w:tc>
          <w:tcPr>
            <w:tcW w:w="1440" w:type="dxa"/>
            <w:vAlign w:val="center"/>
          </w:tcPr>
          <w:p>
            <w:pPr>
              <w:jc w:val="right"/>
            </w:pPr>
            <w:r>
              <w:rPr>
                <w:rFonts w:ascii="宋体" w:hAnsi="宋体" w:eastAsia="宋体" w:cs="宋体"/>
                <w:b w:val="0"/>
                <w:i w:val="0"/>
                <w:color w:val="000000"/>
                <w:sz w:val="17"/>
              </w:rPr>
              <w:t>3.15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0.90</w:t>
            </w:r>
          </w:p>
        </w:tc>
        <w:tc>
          <w:tcPr>
            <w:tcW w:w="1440" w:type="dxa"/>
            <w:vAlign w:val="center"/>
          </w:tcPr>
          <w:p>
            <w:pPr>
              <w:jc w:val="right"/>
            </w:pPr>
            <w:r>
              <w:rPr>
                <w:rFonts w:ascii="宋体" w:hAnsi="宋体" w:eastAsia="宋体" w:cs="宋体"/>
                <w:b w:val="0"/>
                <w:i w:val="0"/>
                <w:color w:val="000000"/>
                <w:sz w:val="17"/>
              </w:rPr>
              <w:t>0.90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397.88</w:t>
            </w:r>
          </w:p>
        </w:tc>
        <w:tc>
          <w:tcPr>
            <w:tcW w:w="1440" w:type="dxa"/>
            <w:vAlign w:val="center"/>
          </w:tcPr>
          <w:p>
            <w:pPr>
              <w:jc w:val="right"/>
            </w:pPr>
            <w:r>
              <w:rPr>
                <w:rFonts w:ascii="宋体" w:hAnsi="宋体" w:eastAsia="宋体" w:cs="宋体"/>
                <w:b w:val="0"/>
                <w:i w:val="0"/>
                <w:color w:val="000000"/>
                <w:sz w:val="17"/>
              </w:rPr>
              <w:t>397.88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397.88</w:t>
            </w:r>
          </w:p>
        </w:tc>
        <w:tc>
          <w:tcPr>
            <w:tcW w:w="1440" w:type="dxa"/>
            <w:vAlign w:val="center"/>
          </w:tcPr>
          <w:p>
            <w:pPr>
              <w:jc w:val="right"/>
            </w:pPr>
            <w:r>
              <w:rPr>
                <w:rFonts w:ascii="宋体" w:hAnsi="宋体" w:eastAsia="宋体" w:cs="宋体"/>
                <w:b w:val="0"/>
                <w:i w:val="0"/>
                <w:color w:val="000000"/>
                <w:sz w:val="17"/>
              </w:rPr>
              <w:t>397.88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397.88</w:t>
            </w:r>
          </w:p>
        </w:tc>
        <w:tc>
          <w:tcPr>
            <w:tcW w:w="1440" w:type="dxa"/>
            <w:vAlign w:val="center"/>
          </w:tcPr>
          <w:p>
            <w:pPr>
              <w:jc w:val="right"/>
            </w:pPr>
            <w:r>
              <w:rPr>
                <w:rFonts w:ascii="宋体" w:hAnsi="宋体" w:eastAsia="宋体" w:cs="宋体"/>
                <w:b w:val="0"/>
                <w:i w:val="0"/>
                <w:color w:val="000000"/>
                <w:sz w:val="17"/>
              </w:rPr>
              <w:t>397.88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部门：许昌市城市管理局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16,749.68</w:t>
            </w:r>
          </w:p>
        </w:tc>
        <w:tc>
          <w:tcPr>
            <w:tcW w:w="1600" w:type="dxa"/>
            <w:vAlign w:val="center"/>
          </w:tcPr>
          <w:p>
            <w:pPr>
              <w:jc w:val="right"/>
            </w:pPr>
            <w:r>
              <w:rPr>
                <w:rFonts w:ascii="宋体" w:hAnsi="宋体" w:eastAsia="宋体" w:cs="宋体"/>
                <w:b/>
                <w:i w:val="0"/>
                <w:color w:val="000000"/>
                <w:sz w:val="19"/>
              </w:rPr>
              <w:t>9,911.11</w:t>
            </w:r>
          </w:p>
        </w:tc>
        <w:tc>
          <w:tcPr>
            <w:tcW w:w="1600" w:type="dxa"/>
            <w:vAlign w:val="center"/>
          </w:tcPr>
          <w:p>
            <w:pPr>
              <w:jc w:val="right"/>
            </w:pPr>
            <w:r>
              <w:rPr>
                <w:rFonts w:ascii="宋体" w:hAnsi="宋体" w:eastAsia="宋体" w:cs="宋体"/>
                <w:b/>
                <w:i w:val="0"/>
                <w:color w:val="000000"/>
                <w:sz w:val="19"/>
              </w:rPr>
              <w:t>6,838.57</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2,172.59</w:t>
            </w:r>
          </w:p>
        </w:tc>
        <w:tc>
          <w:tcPr>
            <w:tcW w:w="1600" w:type="dxa"/>
            <w:vAlign w:val="center"/>
          </w:tcPr>
          <w:p>
            <w:pPr>
              <w:jc w:val="right"/>
            </w:pPr>
            <w:r>
              <w:rPr>
                <w:rFonts w:ascii="宋体" w:hAnsi="宋体" w:eastAsia="宋体" w:cs="宋体"/>
                <w:b w:val="0"/>
                <w:i w:val="0"/>
                <w:color w:val="000000"/>
                <w:sz w:val="19"/>
              </w:rPr>
              <w:t>2,172.59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w:t>
            </w:r>
          </w:p>
        </w:tc>
        <w:tc>
          <w:tcPr>
            <w:tcW w:w="3480" w:type="dxa"/>
            <w:vAlign w:val="center"/>
          </w:tcPr>
          <w:p>
            <w:pPr>
              <w:jc w:val="left"/>
            </w:pPr>
            <w:r>
              <w:rPr>
                <w:rFonts w:ascii="宋体" w:hAnsi="宋体" w:eastAsia="宋体" w:cs="宋体"/>
                <w:b w:val="0"/>
                <w:i w:val="0"/>
                <w:color w:val="000000"/>
                <w:sz w:val="19"/>
              </w:rPr>
              <w:t>人大事务</w:t>
            </w:r>
          </w:p>
        </w:tc>
        <w:tc>
          <w:tcPr>
            <w:tcW w:w="1600" w:type="dxa"/>
            <w:vAlign w:val="center"/>
          </w:tcPr>
          <w:p>
            <w:pPr>
              <w:jc w:val="right"/>
            </w:pPr>
            <w:r>
              <w:rPr>
                <w:rFonts w:ascii="宋体" w:hAnsi="宋体" w:eastAsia="宋体" w:cs="宋体"/>
                <w:b w:val="0"/>
                <w:i w:val="0"/>
                <w:color w:val="000000"/>
                <w:sz w:val="19"/>
              </w:rPr>
              <w:t>1,753.02</w:t>
            </w:r>
          </w:p>
        </w:tc>
        <w:tc>
          <w:tcPr>
            <w:tcW w:w="1600" w:type="dxa"/>
            <w:vAlign w:val="center"/>
          </w:tcPr>
          <w:p>
            <w:pPr>
              <w:jc w:val="right"/>
            </w:pPr>
            <w:r>
              <w:rPr>
                <w:rFonts w:ascii="宋体" w:hAnsi="宋体" w:eastAsia="宋体" w:cs="宋体"/>
                <w:b w:val="0"/>
                <w:i w:val="0"/>
                <w:color w:val="000000"/>
                <w:sz w:val="19"/>
              </w:rPr>
              <w:t>1,753.02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1,753.02</w:t>
            </w:r>
          </w:p>
        </w:tc>
        <w:tc>
          <w:tcPr>
            <w:tcW w:w="1600" w:type="dxa"/>
            <w:vAlign w:val="center"/>
          </w:tcPr>
          <w:p>
            <w:pPr>
              <w:jc w:val="right"/>
            </w:pPr>
            <w:r>
              <w:rPr>
                <w:rFonts w:ascii="宋体" w:hAnsi="宋体" w:eastAsia="宋体" w:cs="宋体"/>
                <w:b w:val="0"/>
                <w:i w:val="0"/>
                <w:color w:val="000000"/>
                <w:sz w:val="19"/>
              </w:rPr>
              <w:t>1,753.02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39.18</w:t>
            </w:r>
          </w:p>
        </w:tc>
        <w:tc>
          <w:tcPr>
            <w:tcW w:w="1600" w:type="dxa"/>
            <w:vAlign w:val="center"/>
          </w:tcPr>
          <w:p>
            <w:pPr>
              <w:jc w:val="right"/>
            </w:pPr>
            <w:r>
              <w:rPr>
                <w:rFonts w:ascii="宋体" w:hAnsi="宋体" w:eastAsia="宋体" w:cs="宋体"/>
                <w:b w:val="0"/>
                <w:i w:val="0"/>
                <w:color w:val="000000"/>
                <w:sz w:val="19"/>
              </w:rPr>
              <w:t>39.18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39.18</w:t>
            </w:r>
          </w:p>
        </w:tc>
        <w:tc>
          <w:tcPr>
            <w:tcW w:w="1600" w:type="dxa"/>
            <w:vAlign w:val="center"/>
          </w:tcPr>
          <w:p>
            <w:pPr>
              <w:jc w:val="right"/>
            </w:pPr>
            <w:r>
              <w:rPr>
                <w:rFonts w:ascii="宋体" w:hAnsi="宋体" w:eastAsia="宋体" w:cs="宋体"/>
                <w:b w:val="0"/>
                <w:i w:val="0"/>
                <w:color w:val="000000"/>
                <w:sz w:val="19"/>
              </w:rPr>
              <w:t>39.18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380.39</w:t>
            </w:r>
          </w:p>
        </w:tc>
        <w:tc>
          <w:tcPr>
            <w:tcW w:w="1600" w:type="dxa"/>
            <w:vAlign w:val="center"/>
          </w:tcPr>
          <w:p>
            <w:pPr>
              <w:jc w:val="right"/>
            </w:pPr>
            <w:r>
              <w:rPr>
                <w:rFonts w:ascii="宋体" w:hAnsi="宋体" w:eastAsia="宋体" w:cs="宋体"/>
                <w:b w:val="0"/>
                <w:i w:val="0"/>
                <w:color w:val="000000"/>
                <w:sz w:val="19"/>
              </w:rPr>
              <w:t>380.39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380.39</w:t>
            </w:r>
          </w:p>
        </w:tc>
        <w:tc>
          <w:tcPr>
            <w:tcW w:w="1600" w:type="dxa"/>
            <w:vAlign w:val="center"/>
          </w:tcPr>
          <w:p>
            <w:pPr>
              <w:jc w:val="right"/>
            </w:pPr>
            <w:r>
              <w:rPr>
                <w:rFonts w:ascii="宋体" w:hAnsi="宋体" w:eastAsia="宋体" w:cs="宋体"/>
                <w:b w:val="0"/>
                <w:i w:val="0"/>
                <w:color w:val="000000"/>
                <w:sz w:val="19"/>
              </w:rPr>
              <w:t>380.39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1,987.88</w:t>
            </w:r>
          </w:p>
        </w:tc>
        <w:tc>
          <w:tcPr>
            <w:tcW w:w="1600" w:type="dxa"/>
            <w:vAlign w:val="center"/>
          </w:tcPr>
          <w:p>
            <w:pPr>
              <w:jc w:val="right"/>
            </w:pPr>
            <w:r>
              <w:rPr>
                <w:rFonts w:ascii="宋体" w:hAnsi="宋体" w:eastAsia="宋体" w:cs="宋体"/>
                <w:b w:val="0"/>
                <w:i w:val="0"/>
                <w:color w:val="000000"/>
                <w:sz w:val="19"/>
              </w:rPr>
              <w:t>1,987.88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1,916.43</w:t>
            </w:r>
          </w:p>
        </w:tc>
        <w:tc>
          <w:tcPr>
            <w:tcW w:w="1600" w:type="dxa"/>
            <w:vAlign w:val="center"/>
          </w:tcPr>
          <w:p>
            <w:pPr>
              <w:jc w:val="right"/>
            </w:pPr>
            <w:r>
              <w:rPr>
                <w:rFonts w:ascii="宋体" w:hAnsi="宋体" w:eastAsia="宋体" w:cs="宋体"/>
                <w:b w:val="0"/>
                <w:i w:val="0"/>
                <w:color w:val="000000"/>
                <w:sz w:val="19"/>
              </w:rPr>
              <w:t>1,916.43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361.07</w:t>
            </w:r>
          </w:p>
        </w:tc>
        <w:tc>
          <w:tcPr>
            <w:tcW w:w="1600" w:type="dxa"/>
            <w:vAlign w:val="center"/>
          </w:tcPr>
          <w:p>
            <w:pPr>
              <w:jc w:val="right"/>
            </w:pPr>
            <w:r>
              <w:rPr>
                <w:rFonts w:ascii="宋体" w:hAnsi="宋体" w:eastAsia="宋体" w:cs="宋体"/>
                <w:b w:val="0"/>
                <w:i w:val="0"/>
                <w:color w:val="000000"/>
                <w:sz w:val="19"/>
              </w:rPr>
              <w:t>361.07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1,146.19</w:t>
            </w:r>
          </w:p>
        </w:tc>
        <w:tc>
          <w:tcPr>
            <w:tcW w:w="1600" w:type="dxa"/>
            <w:vAlign w:val="center"/>
          </w:tcPr>
          <w:p>
            <w:pPr>
              <w:jc w:val="right"/>
            </w:pPr>
            <w:r>
              <w:rPr>
                <w:rFonts w:ascii="宋体" w:hAnsi="宋体" w:eastAsia="宋体" w:cs="宋体"/>
                <w:b w:val="0"/>
                <w:i w:val="0"/>
                <w:color w:val="000000"/>
                <w:sz w:val="19"/>
              </w:rPr>
              <w:t>1,146.19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409.17</w:t>
            </w:r>
          </w:p>
        </w:tc>
        <w:tc>
          <w:tcPr>
            <w:tcW w:w="1600" w:type="dxa"/>
            <w:vAlign w:val="center"/>
          </w:tcPr>
          <w:p>
            <w:pPr>
              <w:jc w:val="right"/>
            </w:pPr>
            <w:r>
              <w:rPr>
                <w:rFonts w:ascii="宋体" w:hAnsi="宋体" w:eastAsia="宋体" w:cs="宋体"/>
                <w:b w:val="0"/>
                <w:i w:val="0"/>
                <w:color w:val="000000"/>
                <w:sz w:val="19"/>
              </w:rPr>
              <w:t>409.17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71.46</w:t>
            </w:r>
          </w:p>
        </w:tc>
        <w:tc>
          <w:tcPr>
            <w:tcW w:w="1600" w:type="dxa"/>
            <w:vAlign w:val="center"/>
          </w:tcPr>
          <w:p>
            <w:pPr>
              <w:jc w:val="right"/>
            </w:pPr>
            <w:r>
              <w:rPr>
                <w:rFonts w:ascii="宋体" w:hAnsi="宋体" w:eastAsia="宋体" w:cs="宋体"/>
                <w:b w:val="0"/>
                <w:i w:val="0"/>
                <w:color w:val="000000"/>
                <w:sz w:val="19"/>
              </w:rPr>
              <w:t>71.46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71.46</w:t>
            </w:r>
          </w:p>
        </w:tc>
        <w:tc>
          <w:tcPr>
            <w:tcW w:w="1600" w:type="dxa"/>
            <w:vAlign w:val="center"/>
          </w:tcPr>
          <w:p>
            <w:pPr>
              <w:jc w:val="right"/>
            </w:pPr>
            <w:r>
              <w:rPr>
                <w:rFonts w:ascii="宋体" w:hAnsi="宋体" w:eastAsia="宋体" w:cs="宋体"/>
                <w:b w:val="0"/>
                <w:i w:val="0"/>
                <w:color w:val="000000"/>
                <w:sz w:val="19"/>
              </w:rPr>
              <w:t>71.46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280.51</w:t>
            </w:r>
          </w:p>
        </w:tc>
        <w:tc>
          <w:tcPr>
            <w:tcW w:w="1600" w:type="dxa"/>
            <w:vAlign w:val="center"/>
          </w:tcPr>
          <w:p>
            <w:pPr>
              <w:jc w:val="right"/>
            </w:pPr>
            <w:r>
              <w:rPr>
                <w:rFonts w:ascii="宋体" w:hAnsi="宋体" w:eastAsia="宋体" w:cs="宋体"/>
                <w:b w:val="0"/>
                <w:i w:val="0"/>
                <w:color w:val="000000"/>
                <w:sz w:val="19"/>
              </w:rPr>
              <w:t>280.51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280.51</w:t>
            </w:r>
          </w:p>
        </w:tc>
        <w:tc>
          <w:tcPr>
            <w:tcW w:w="1600" w:type="dxa"/>
            <w:vAlign w:val="center"/>
          </w:tcPr>
          <w:p>
            <w:pPr>
              <w:jc w:val="right"/>
            </w:pPr>
            <w:r>
              <w:rPr>
                <w:rFonts w:ascii="宋体" w:hAnsi="宋体" w:eastAsia="宋体" w:cs="宋体"/>
                <w:b w:val="0"/>
                <w:i w:val="0"/>
                <w:color w:val="000000"/>
                <w:sz w:val="19"/>
              </w:rPr>
              <w:t>280.51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65.56</w:t>
            </w:r>
          </w:p>
        </w:tc>
        <w:tc>
          <w:tcPr>
            <w:tcW w:w="1600" w:type="dxa"/>
            <w:vAlign w:val="center"/>
          </w:tcPr>
          <w:p>
            <w:pPr>
              <w:jc w:val="right"/>
            </w:pPr>
            <w:r>
              <w:rPr>
                <w:rFonts w:ascii="宋体" w:hAnsi="宋体" w:eastAsia="宋体" w:cs="宋体"/>
                <w:b w:val="0"/>
                <w:i w:val="0"/>
                <w:color w:val="000000"/>
                <w:sz w:val="19"/>
              </w:rPr>
              <w:t>65.56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139.10</w:t>
            </w:r>
          </w:p>
        </w:tc>
        <w:tc>
          <w:tcPr>
            <w:tcW w:w="1600" w:type="dxa"/>
            <w:vAlign w:val="center"/>
          </w:tcPr>
          <w:p>
            <w:pPr>
              <w:jc w:val="right"/>
            </w:pPr>
            <w:r>
              <w:rPr>
                <w:rFonts w:ascii="宋体" w:hAnsi="宋体" w:eastAsia="宋体" w:cs="宋体"/>
                <w:b w:val="0"/>
                <w:i w:val="0"/>
                <w:color w:val="000000"/>
                <w:sz w:val="19"/>
              </w:rPr>
              <w:t>139.10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75.85</w:t>
            </w:r>
          </w:p>
        </w:tc>
        <w:tc>
          <w:tcPr>
            <w:tcW w:w="1600" w:type="dxa"/>
            <w:vAlign w:val="center"/>
          </w:tcPr>
          <w:p>
            <w:pPr>
              <w:jc w:val="right"/>
            </w:pPr>
            <w:r>
              <w:rPr>
                <w:rFonts w:ascii="宋体" w:hAnsi="宋体" w:eastAsia="宋体" w:cs="宋体"/>
                <w:b w:val="0"/>
                <w:i w:val="0"/>
                <w:color w:val="000000"/>
                <w:sz w:val="19"/>
              </w:rPr>
              <w:t>75.85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w:t>
            </w:r>
          </w:p>
        </w:tc>
        <w:tc>
          <w:tcPr>
            <w:tcW w:w="3480" w:type="dxa"/>
            <w:vAlign w:val="center"/>
          </w:tcPr>
          <w:p>
            <w:pPr>
              <w:jc w:val="left"/>
            </w:pPr>
            <w:r>
              <w:rPr>
                <w:rFonts w:ascii="宋体" w:hAnsi="宋体" w:eastAsia="宋体" w:cs="宋体"/>
                <w:b w:val="0"/>
                <w:i w:val="0"/>
                <w:color w:val="000000"/>
                <w:sz w:val="19"/>
              </w:rPr>
              <w:t>节能环保支出</w:t>
            </w:r>
          </w:p>
        </w:tc>
        <w:tc>
          <w:tcPr>
            <w:tcW w:w="1600" w:type="dxa"/>
            <w:vAlign w:val="center"/>
          </w:tcPr>
          <w:p>
            <w:pPr>
              <w:jc w:val="right"/>
            </w:pPr>
            <w:r>
              <w:rPr>
                <w:rFonts w:ascii="宋体" w:hAnsi="宋体" w:eastAsia="宋体" w:cs="宋体"/>
                <w:b w:val="0"/>
                <w:i w:val="0"/>
                <w:color w:val="000000"/>
                <w:sz w:val="19"/>
              </w:rPr>
              <w:t>3,513.14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3,513.14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21103</w:t>
            </w:r>
          </w:p>
        </w:tc>
        <w:tc>
          <w:tcPr>
            <w:tcW w:w="3480" w:type="dxa"/>
            <w:vAlign w:val="center"/>
          </w:tcPr>
          <w:p>
            <w:pPr>
              <w:jc w:val="left"/>
            </w:pPr>
            <w:r>
              <w:rPr>
                <w:rFonts w:ascii="宋体" w:hAnsi="宋体" w:eastAsia="宋体" w:cs="宋体"/>
                <w:b w:val="0"/>
                <w:i w:val="0"/>
                <w:color w:val="000000"/>
                <w:sz w:val="19"/>
              </w:rPr>
              <w:t>污染防治</w:t>
            </w:r>
          </w:p>
        </w:tc>
        <w:tc>
          <w:tcPr>
            <w:tcW w:w="1600" w:type="dxa"/>
            <w:vAlign w:val="center"/>
          </w:tcPr>
          <w:p>
            <w:pPr>
              <w:jc w:val="right"/>
            </w:pPr>
            <w:r>
              <w:rPr>
                <w:rFonts w:ascii="宋体" w:hAnsi="宋体" w:eastAsia="宋体" w:cs="宋体"/>
                <w:b w:val="0"/>
                <w:i w:val="0"/>
                <w:color w:val="000000"/>
                <w:sz w:val="19"/>
              </w:rPr>
              <w:t>834.52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834.52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2110301</w:t>
            </w:r>
          </w:p>
        </w:tc>
        <w:tc>
          <w:tcPr>
            <w:tcW w:w="3480" w:type="dxa"/>
            <w:vAlign w:val="center"/>
          </w:tcPr>
          <w:p>
            <w:pPr>
              <w:jc w:val="left"/>
            </w:pPr>
            <w:r>
              <w:rPr>
                <w:rFonts w:ascii="宋体" w:hAnsi="宋体" w:eastAsia="宋体" w:cs="宋体"/>
                <w:b w:val="0"/>
                <w:i w:val="0"/>
                <w:color w:val="000000"/>
                <w:sz w:val="19"/>
              </w:rPr>
              <w:t>大气</w:t>
            </w:r>
          </w:p>
        </w:tc>
        <w:tc>
          <w:tcPr>
            <w:tcW w:w="1600" w:type="dxa"/>
            <w:vAlign w:val="center"/>
          </w:tcPr>
          <w:p>
            <w:pPr>
              <w:jc w:val="right"/>
            </w:pPr>
            <w:r>
              <w:rPr>
                <w:rFonts w:ascii="宋体" w:hAnsi="宋体" w:eastAsia="宋体" w:cs="宋体"/>
                <w:b w:val="0"/>
                <w:i w:val="0"/>
                <w:color w:val="000000"/>
                <w:sz w:val="19"/>
              </w:rPr>
              <w:t>8.90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8.90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2110399</w:t>
            </w:r>
          </w:p>
        </w:tc>
        <w:tc>
          <w:tcPr>
            <w:tcW w:w="3480" w:type="dxa"/>
            <w:vAlign w:val="center"/>
          </w:tcPr>
          <w:p>
            <w:pPr>
              <w:jc w:val="left"/>
            </w:pPr>
            <w:r>
              <w:rPr>
                <w:rFonts w:ascii="宋体" w:hAnsi="宋体" w:eastAsia="宋体" w:cs="宋体"/>
                <w:b w:val="0"/>
                <w:i w:val="0"/>
                <w:color w:val="000000"/>
                <w:sz w:val="19"/>
              </w:rPr>
              <w:t>其他污染防治支出</w:t>
            </w:r>
          </w:p>
        </w:tc>
        <w:tc>
          <w:tcPr>
            <w:tcW w:w="1600" w:type="dxa"/>
            <w:vAlign w:val="center"/>
          </w:tcPr>
          <w:p>
            <w:pPr>
              <w:jc w:val="right"/>
            </w:pPr>
            <w:r>
              <w:rPr>
                <w:rFonts w:ascii="宋体" w:hAnsi="宋体" w:eastAsia="宋体" w:cs="宋体"/>
                <w:b w:val="0"/>
                <w:i w:val="0"/>
                <w:color w:val="000000"/>
                <w:sz w:val="19"/>
              </w:rPr>
              <w:t>825.62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825.62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21114</w:t>
            </w:r>
          </w:p>
        </w:tc>
        <w:tc>
          <w:tcPr>
            <w:tcW w:w="3480" w:type="dxa"/>
            <w:vAlign w:val="center"/>
          </w:tcPr>
          <w:p>
            <w:pPr>
              <w:jc w:val="left"/>
            </w:pPr>
            <w:r>
              <w:rPr>
                <w:rFonts w:ascii="宋体" w:hAnsi="宋体" w:eastAsia="宋体" w:cs="宋体"/>
                <w:b w:val="0"/>
                <w:i w:val="0"/>
                <w:color w:val="000000"/>
                <w:sz w:val="19"/>
              </w:rPr>
              <w:t>能源管理事务</w:t>
            </w:r>
          </w:p>
        </w:tc>
        <w:tc>
          <w:tcPr>
            <w:tcW w:w="1600" w:type="dxa"/>
            <w:vAlign w:val="center"/>
          </w:tcPr>
          <w:p>
            <w:pPr>
              <w:jc w:val="right"/>
            </w:pPr>
            <w:r>
              <w:rPr>
                <w:rFonts w:ascii="宋体" w:hAnsi="宋体" w:eastAsia="宋体" w:cs="宋体"/>
                <w:b w:val="0"/>
                <w:i w:val="0"/>
                <w:color w:val="000000"/>
                <w:sz w:val="19"/>
              </w:rPr>
              <w:t>1,782.84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1,782.84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2111499</w:t>
            </w:r>
          </w:p>
        </w:tc>
        <w:tc>
          <w:tcPr>
            <w:tcW w:w="3480" w:type="dxa"/>
            <w:vAlign w:val="center"/>
          </w:tcPr>
          <w:p>
            <w:pPr>
              <w:jc w:val="left"/>
            </w:pPr>
            <w:r>
              <w:rPr>
                <w:rFonts w:ascii="宋体" w:hAnsi="宋体" w:eastAsia="宋体" w:cs="宋体"/>
                <w:b w:val="0"/>
                <w:i w:val="0"/>
                <w:color w:val="000000"/>
                <w:sz w:val="19"/>
              </w:rPr>
              <w:t>其他能源管理事务支出</w:t>
            </w:r>
          </w:p>
        </w:tc>
        <w:tc>
          <w:tcPr>
            <w:tcW w:w="1600" w:type="dxa"/>
            <w:vAlign w:val="center"/>
          </w:tcPr>
          <w:p>
            <w:pPr>
              <w:jc w:val="right"/>
            </w:pPr>
            <w:r>
              <w:rPr>
                <w:rFonts w:ascii="宋体" w:hAnsi="宋体" w:eastAsia="宋体" w:cs="宋体"/>
                <w:b w:val="0"/>
                <w:i w:val="0"/>
                <w:color w:val="000000"/>
                <w:sz w:val="19"/>
              </w:rPr>
              <w:t>1,782.84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1,782.84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21199</w:t>
            </w:r>
          </w:p>
        </w:tc>
        <w:tc>
          <w:tcPr>
            <w:tcW w:w="3480" w:type="dxa"/>
            <w:vAlign w:val="center"/>
          </w:tcPr>
          <w:p>
            <w:pPr>
              <w:jc w:val="left"/>
            </w:pPr>
            <w:r>
              <w:rPr>
                <w:rFonts w:ascii="宋体" w:hAnsi="宋体" w:eastAsia="宋体" w:cs="宋体"/>
                <w:b w:val="0"/>
                <w:i w:val="0"/>
                <w:color w:val="000000"/>
                <w:sz w:val="19"/>
              </w:rPr>
              <w:t>其他节能环保支出</w:t>
            </w:r>
          </w:p>
        </w:tc>
        <w:tc>
          <w:tcPr>
            <w:tcW w:w="1600" w:type="dxa"/>
            <w:vAlign w:val="center"/>
          </w:tcPr>
          <w:p>
            <w:pPr>
              <w:jc w:val="right"/>
            </w:pPr>
            <w:r>
              <w:rPr>
                <w:rFonts w:ascii="宋体" w:hAnsi="宋体" w:eastAsia="宋体" w:cs="宋体"/>
                <w:b w:val="0"/>
                <w:i w:val="0"/>
                <w:color w:val="000000"/>
                <w:sz w:val="19"/>
              </w:rPr>
              <w:t>895.79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895.79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2119999</w:t>
            </w:r>
          </w:p>
        </w:tc>
        <w:tc>
          <w:tcPr>
            <w:tcW w:w="3480" w:type="dxa"/>
            <w:vAlign w:val="center"/>
          </w:tcPr>
          <w:p>
            <w:pPr>
              <w:jc w:val="left"/>
            </w:pPr>
            <w:r>
              <w:rPr>
                <w:rFonts w:ascii="宋体" w:hAnsi="宋体" w:eastAsia="宋体" w:cs="宋体"/>
                <w:b w:val="0"/>
                <w:i w:val="0"/>
                <w:color w:val="000000"/>
                <w:sz w:val="19"/>
              </w:rPr>
              <w:t>其他节能环保支出</w:t>
            </w:r>
          </w:p>
        </w:tc>
        <w:tc>
          <w:tcPr>
            <w:tcW w:w="1600" w:type="dxa"/>
            <w:vAlign w:val="center"/>
          </w:tcPr>
          <w:p>
            <w:pPr>
              <w:jc w:val="right"/>
            </w:pPr>
            <w:r>
              <w:rPr>
                <w:rFonts w:ascii="宋体" w:hAnsi="宋体" w:eastAsia="宋体" w:cs="宋体"/>
                <w:b w:val="0"/>
                <w:i w:val="0"/>
                <w:color w:val="000000"/>
                <w:sz w:val="19"/>
              </w:rPr>
              <w:t>895.79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895.79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w:t>
            </w:r>
          </w:p>
        </w:tc>
        <w:tc>
          <w:tcPr>
            <w:tcW w:w="3480" w:type="dxa"/>
            <w:vAlign w:val="center"/>
          </w:tcPr>
          <w:p>
            <w:pPr>
              <w:jc w:val="left"/>
            </w:pPr>
            <w:r>
              <w:rPr>
                <w:rFonts w:ascii="宋体" w:hAnsi="宋体" w:eastAsia="宋体" w:cs="宋体"/>
                <w:b w:val="0"/>
                <w:i w:val="0"/>
                <w:color w:val="000000"/>
                <w:sz w:val="19"/>
              </w:rPr>
              <w:t>城乡社区支出</w:t>
            </w:r>
          </w:p>
        </w:tc>
        <w:tc>
          <w:tcPr>
            <w:tcW w:w="1600" w:type="dxa"/>
            <w:vAlign w:val="center"/>
          </w:tcPr>
          <w:p>
            <w:pPr>
              <w:jc w:val="right"/>
            </w:pPr>
            <w:r>
              <w:rPr>
                <w:rFonts w:ascii="宋体" w:hAnsi="宋体" w:eastAsia="宋体" w:cs="宋体"/>
                <w:b w:val="0"/>
                <w:i w:val="0"/>
                <w:color w:val="000000"/>
                <w:sz w:val="19"/>
              </w:rPr>
              <w:t>8,388.52</w:t>
            </w:r>
          </w:p>
        </w:tc>
        <w:tc>
          <w:tcPr>
            <w:tcW w:w="1600" w:type="dxa"/>
            <w:vAlign w:val="center"/>
          </w:tcPr>
          <w:p>
            <w:pPr>
              <w:jc w:val="right"/>
            </w:pPr>
            <w:r>
              <w:rPr>
                <w:rFonts w:ascii="宋体" w:hAnsi="宋体" w:eastAsia="宋体" w:cs="宋体"/>
                <w:b w:val="0"/>
                <w:i w:val="0"/>
                <w:color w:val="000000"/>
                <w:sz w:val="19"/>
              </w:rPr>
              <w:t>5,071.35</w:t>
            </w:r>
          </w:p>
        </w:tc>
        <w:tc>
          <w:tcPr>
            <w:tcW w:w="1600" w:type="dxa"/>
            <w:vAlign w:val="center"/>
          </w:tcPr>
          <w:p>
            <w:pPr>
              <w:jc w:val="right"/>
            </w:pPr>
            <w:r>
              <w:rPr>
                <w:rFonts w:ascii="宋体" w:hAnsi="宋体" w:eastAsia="宋体" w:cs="宋体"/>
                <w:b w:val="0"/>
                <w:i w:val="0"/>
                <w:color w:val="000000"/>
                <w:sz w:val="19"/>
              </w:rPr>
              <w:t>3,317.17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21201</w:t>
            </w:r>
          </w:p>
        </w:tc>
        <w:tc>
          <w:tcPr>
            <w:tcW w:w="3480" w:type="dxa"/>
            <w:vAlign w:val="center"/>
          </w:tcPr>
          <w:p>
            <w:pPr>
              <w:jc w:val="left"/>
            </w:pPr>
            <w:r>
              <w:rPr>
                <w:rFonts w:ascii="宋体" w:hAnsi="宋体" w:eastAsia="宋体" w:cs="宋体"/>
                <w:b w:val="0"/>
                <w:i w:val="0"/>
                <w:color w:val="000000"/>
                <w:sz w:val="19"/>
              </w:rPr>
              <w:t>城乡社区管理事务</w:t>
            </w:r>
          </w:p>
        </w:tc>
        <w:tc>
          <w:tcPr>
            <w:tcW w:w="1600" w:type="dxa"/>
            <w:vAlign w:val="center"/>
          </w:tcPr>
          <w:p>
            <w:pPr>
              <w:jc w:val="right"/>
            </w:pPr>
            <w:r>
              <w:rPr>
                <w:rFonts w:ascii="宋体" w:hAnsi="宋体" w:eastAsia="宋体" w:cs="宋体"/>
                <w:b w:val="0"/>
                <w:i w:val="0"/>
                <w:color w:val="000000"/>
                <w:sz w:val="19"/>
              </w:rPr>
              <w:t>1,525.11</w:t>
            </w:r>
          </w:p>
        </w:tc>
        <w:tc>
          <w:tcPr>
            <w:tcW w:w="1600" w:type="dxa"/>
            <w:vAlign w:val="center"/>
          </w:tcPr>
          <w:p>
            <w:pPr>
              <w:jc w:val="right"/>
            </w:pPr>
            <w:r>
              <w:rPr>
                <w:rFonts w:ascii="宋体" w:hAnsi="宋体" w:eastAsia="宋体" w:cs="宋体"/>
                <w:b w:val="0"/>
                <w:i w:val="0"/>
                <w:color w:val="000000"/>
                <w:sz w:val="19"/>
              </w:rPr>
              <w:t>1,034.41</w:t>
            </w:r>
          </w:p>
        </w:tc>
        <w:tc>
          <w:tcPr>
            <w:tcW w:w="1600" w:type="dxa"/>
            <w:vAlign w:val="center"/>
          </w:tcPr>
          <w:p>
            <w:pPr>
              <w:jc w:val="right"/>
            </w:pPr>
            <w:r>
              <w:rPr>
                <w:rFonts w:ascii="宋体" w:hAnsi="宋体" w:eastAsia="宋体" w:cs="宋体"/>
                <w:b w:val="0"/>
                <w:i w:val="0"/>
                <w:color w:val="000000"/>
                <w:sz w:val="19"/>
              </w:rPr>
              <w:t>490.70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563.96</w:t>
            </w:r>
          </w:p>
        </w:tc>
        <w:tc>
          <w:tcPr>
            <w:tcW w:w="1600" w:type="dxa"/>
            <w:vAlign w:val="center"/>
          </w:tcPr>
          <w:p>
            <w:pPr>
              <w:jc w:val="right"/>
            </w:pPr>
            <w:r>
              <w:rPr>
                <w:rFonts w:ascii="宋体" w:hAnsi="宋体" w:eastAsia="宋体" w:cs="宋体"/>
                <w:b w:val="0"/>
                <w:i w:val="0"/>
                <w:color w:val="000000"/>
                <w:sz w:val="19"/>
              </w:rPr>
              <w:t>563.96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2120102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81.23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81.23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2120104</w:t>
            </w:r>
          </w:p>
        </w:tc>
        <w:tc>
          <w:tcPr>
            <w:tcW w:w="3480" w:type="dxa"/>
            <w:vAlign w:val="center"/>
          </w:tcPr>
          <w:p>
            <w:pPr>
              <w:jc w:val="left"/>
            </w:pPr>
            <w:r>
              <w:rPr>
                <w:rFonts w:ascii="宋体" w:hAnsi="宋体" w:eastAsia="宋体" w:cs="宋体"/>
                <w:b w:val="0"/>
                <w:i w:val="0"/>
                <w:color w:val="000000"/>
                <w:sz w:val="19"/>
              </w:rPr>
              <w:t>城管执法</w:t>
            </w:r>
          </w:p>
        </w:tc>
        <w:tc>
          <w:tcPr>
            <w:tcW w:w="1600" w:type="dxa"/>
            <w:vAlign w:val="center"/>
          </w:tcPr>
          <w:p>
            <w:pPr>
              <w:jc w:val="right"/>
            </w:pPr>
            <w:r>
              <w:rPr>
                <w:rFonts w:ascii="宋体" w:hAnsi="宋体" w:eastAsia="宋体" w:cs="宋体"/>
                <w:b w:val="0"/>
                <w:i w:val="0"/>
                <w:color w:val="000000"/>
                <w:sz w:val="19"/>
              </w:rPr>
              <w:t>879.92</w:t>
            </w:r>
          </w:p>
        </w:tc>
        <w:tc>
          <w:tcPr>
            <w:tcW w:w="1600" w:type="dxa"/>
            <w:vAlign w:val="center"/>
          </w:tcPr>
          <w:p>
            <w:pPr>
              <w:jc w:val="right"/>
            </w:pPr>
            <w:r>
              <w:rPr>
                <w:rFonts w:ascii="宋体" w:hAnsi="宋体" w:eastAsia="宋体" w:cs="宋体"/>
                <w:b w:val="0"/>
                <w:i w:val="0"/>
                <w:color w:val="000000"/>
                <w:sz w:val="19"/>
              </w:rPr>
              <w:t>470.45</w:t>
            </w:r>
          </w:p>
        </w:tc>
        <w:tc>
          <w:tcPr>
            <w:tcW w:w="1600" w:type="dxa"/>
            <w:vAlign w:val="center"/>
          </w:tcPr>
          <w:p>
            <w:pPr>
              <w:jc w:val="right"/>
            </w:pPr>
            <w:r>
              <w:rPr>
                <w:rFonts w:ascii="宋体" w:hAnsi="宋体" w:eastAsia="宋体" w:cs="宋体"/>
                <w:b w:val="0"/>
                <w:i w:val="0"/>
                <w:color w:val="000000"/>
                <w:sz w:val="19"/>
              </w:rPr>
              <w:t>409.47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21203</w:t>
            </w:r>
          </w:p>
        </w:tc>
        <w:tc>
          <w:tcPr>
            <w:tcW w:w="3480" w:type="dxa"/>
            <w:vAlign w:val="center"/>
          </w:tcPr>
          <w:p>
            <w:pPr>
              <w:jc w:val="left"/>
            </w:pPr>
            <w:r>
              <w:rPr>
                <w:rFonts w:ascii="宋体" w:hAnsi="宋体" w:eastAsia="宋体" w:cs="宋体"/>
                <w:b w:val="0"/>
                <w:i w:val="0"/>
                <w:color w:val="000000"/>
                <w:sz w:val="19"/>
              </w:rPr>
              <w:t>城乡社区公共设施</w:t>
            </w:r>
          </w:p>
        </w:tc>
        <w:tc>
          <w:tcPr>
            <w:tcW w:w="1600" w:type="dxa"/>
            <w:vAlign w:val="center"/>
          </w:tcPr>
          <w:p>
            <w:pPr>
              <w:jc w:val="right"/>
            </w:pPr>
            <w:r>
              <w:rPr>
                <w:rFonts w:ascii="宋体" w:hAnsi="宋体" w:eastAsia="宋体" w:cs="宋体"/>
                <w:b w:val="0"/>
                <w:i w:val="0"/>
                <w:color w:val="000000"/>
                <w:sz w:val="19"/>
              </w:rPr>
              <w:t>2,733.79</w:t>
            </w:r>
          </w:p>
        </w:tc>
        <w:tc>
          <w:tcPr>
            <w:tcW w:w="1600" w:type="dxa"/>
            <w:vAlign w:val="center"/>
          </w:tcPr>
          <w:p>
            <w:pPr>
              <w:jc w:val="right"/>
            </w:pPr>
            <w:r>
              <w:rPr>
                <w:rFonts w:ascii="宋体" w:hAnsi="宋体" w:eastAsia="宋体" w:cs="宋体"/>
                <w:b w:val="0"/>
                <w:i w:val="0"/>
                <w:color w:val="000000"/>
                <w:sz w:val="19"/>
              </w:rPr>
              <w:t>273.03</w:t>
            </w:r>
          </w:p>
        </w:tc>
        <w:tc>
          <w:tcPr>
            <w:tcW w:w="1600" w:type="dxa"/>
            <w:vAlign w:val="center"/>
          </w:tcPr>
          <w:p>
            <w:pPr>
              <w:jc w:val="right"/>
            </w:pPr>
            <w:r>
              <w:rPr>
                <w:rFonts w:ascii="宋体" w:hAnsi="宋体" w:eastAsia="宋体" w:cs="宋体"/>
                <w:b w:val="0"/>
                <w:i w:val="0"/>
                <w:color w:val="000000"/>
                <w:sz w:val="19"/>
              </w:rPr>
              <w:t>2,460.76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2120399</w:t>
            </w:r>
          </w:p>
        </w:tc>
        <w:tc>
          <w:tcPr>
            <w:tcW w:w="3480" w:type="dxa"/>
            <w:vAlign w:val="center"/>
          </w:tcPr>
          <w:p>
            <w:pPr>
              <w:jc w:val="left"/>
            </w:pPr>
            <w:r>
              <w:rPr>
                <w:rFonts w:ascii="宋体" w:hAnsi="宋体" w:eastAsia="宋体" w:cs="宋体"/>
                <w:b w:val="0"/>
                <w:i w:val="0"/>
                <w:color w:val="000000"/>
                <w:sz w:val="19"/>
              </w:rPr>
              <w:t>其他城乡社区公共设施支出</w:t>
            </w:r>
          </w:p>
        </w:tc>
        <w:tc>
          <w:tcPr>
            <w:tcW w:w="1600" w:type="dxa"/>
            <w:vAlign w:val="center"/>
          </w:tcPr>
          <w:p>
            <w:pPr>
              <w:jc w:val="right"/>
            </w:pPr>
            <w:r>
              <w:rPr>
                <w:rFonts w:ascii="宋体" w:hAnsi="宋体" w:eastAsia="宋体" w:cs="宋体"/>
                <w:b w:val="0"/>
                <w:i w:val="0"/>
                <w:color w:val="000000"/>
                <w:sz w:val="19"/>
              </w:rPr>
              <w:t>2,733.79</w:t>
            </w:r>
          </w:p>
        </w:tc>
        <w:tc>
          <w:tcPr>
            <w:tcW w:w="1600" w:type="dxa"/>
            <w:vAlign w:val="center"/>
          </w:tcPr>
          <w:p>
            <w:pPr>
              <w:jc w:val="right"/>
            </w:pPr>
            <w:r>
              <w:rPr>
                <w:rFonts w:ascii="宋体" w:hAnsi="宋体" w:eastAsia="宋体" w:cs="宋体"/>
                <w:b w:val="0"/>
                <w:i w:val="0"/>
                <w:color w:val="000000"/>
                <w:sz w:val="19"/>
              </w:rPr>
              <w:t>273.03</w:t>
            </w:r>
          </w:p>
        </w:tc>
        <w:tc>
          <w:tcPr>
            <w:tcW w:w="1600" w:type="dxa"/>
            <w:vAlign w:val="center"/>
          </w:tcPr>
          <w:p>
            <w:pPr>
              <w:jc w:val="right"/>
            </w:pPr>
            <w:r>
              <w:rPr>
                <w:rFonts w:ascii="宋体" w:hAnsi="宋体" w:eastAsia="宋体" w:cs="宋体"/>
                <w:b w:val="0"/>
                <w:i w:val="0"/>
                <w:color w:val="000000"/>
                <w:sz w:val="19"/>
              </w:rPr>
              <w:t>2,460.76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21205</w:t>
            </w:r>
          </w:p>
        </w:tc>
        <w:tc>
          <w:tcPr>
            <w:tcW w:w="3480" w:type="dxa"/>
            <w:vAlign w:val="center"/>
          </w:tcPr>
          <w:p>
            <w:pPr>
              <w:jc w:val="left"/>
            </w:pPr>
            <w:r>
              <w:rPr>
                <w:rFonts w:ascii="宋体" w:hAnsi="宋体" w:eastAsia="宋体" w:cs="宋体"/>
                <w:b w:val="0"/>
                <w:i w:val="0"/>
                <w:color w:val="000000"/>
                <w:sz w:val="19"/>
              </w:rPr>
              <w:t>城乡社区环境卫生</w:t>
            </w:r>
          </w:p>
        </w:tc>
        <w:tc>
          <w:tcPr>
            <w:tcW w:w="1600" w:type="dxa"/>
            <w:vAlign w:val="center"/>
          </w:tcPr>
          <w:p>
            <w:pPr>
              <w:jc w:val="right"/>
            </w:pPr>
            <w:r>
              <w:rPr>
                <w:rFonts w:ascii="宋体" w:hAnsi="宋体" w:eastAsia="宋体" w:cs="宋体"/>
                <w:b w:val="0"/>
                <w:i w:val="0"/>
                <w:color w:val="000000"/>
                <w:sz w:val="19"/>
              </w:rPr>
              <w:t>4,129.62</w:t>
            </w:r>
          </w:p>
        </w:tc>
        <w:tc>
          <w:tcPr>
            <w:tcW w:w="1600" w:type="dxa"/>
            <w:vAlign w:val="center"/>
          </w:tcPr>
          <w:p>
            <w:pPr>
              <w:jc w:val="right"/>
            </w:pPr>
            <w:r>
              <w:rPr>
                <w:rFonts w:ascii="宋体" w:hAnsi="宋体" w:eastAsia="宋体" w:cs="宋体"/>
                <w:b w:val="0"/>
                <w:i w:val="0"/>
                <w:color w:val="000000"/>
                <w:sz w:val="19"/>
              </w:rPr>
              <w:t>3,763.90</w:t>
            </w:r>
          </w:p>
        </w:tc>
        <w:tc>
          <w:tcPr>
            <w:tcW w:w="1600" w:type="dxa"/>
            <w:vAlign w:val="center"/>
          </w:tcPr>
          <w:p>
            <w:pPr>
              <w:jc w:val="right"/>
            </w:pPr>
            <w:r>
              <w:rPr>
                <w:rFonts w:ascii="宋体" w:hAnsi="宋体" w:eastAsia="宋体" w:cs="宋体"/>
                <w:b w:val="0"/>
                <w:i w:val="0"/>
                <w:color w:val="000000"/>
                <w:sz w:val="19"/>
              </w:rPr>
              <w:t>365.71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2120501</w:t>
            </w:r>
          </w:p>
        </w:tc>
        <w:tc>
          <w:tcPr>
            <w:tcW w:w="3480" w:type="dxa"/>
            <w:vAlign w:val="center"/>
          </w:tcPr>
          <w:p>
            <w:pPr>
              <w:jc w:val="left"/>
            </w:pPr>
            <w:r>
              <w:rPr>
                <w:rFonts w:ascii="宋体" w:hAnsi="宋体" w:eastAsia="宋体" w:cs="宋体"/>
                <w:b w:val="0"/>
                <w:i w:val="0"/>
                <w:color w:val="000000"/>
                <w:sz w:val="19"/>
              </w:rPr>
              <w:t>城乡社区环境卫生</w:t>
            </w:r>
          </w:p>
        </w:tc>
        <w:tc>
          <w:tcPr>
            <w:tcW w:w="1600" w:type="dxa"/>
            <w:vAlign w:val="center"/>
          </w:tcPr>
          <w:p>
            <w:pPr>
              <w:jc w:val="right"/>
            </w:pPr>
            <w:r>
              <w:rPr>
                <w:rFonts w:ascii="宋体" w:hAnsi="宋体" w:eastAsia="宋体" w:cs="宋体"/>
                <w:b w:val="0"/>
                <w:i w:val="0"/>
                <w:color w:val="000000"/>
                <w:sz w:val="19"/>
              </w:rPr>
              <w:t>4,129.62</w:t>
            </w:r>
          </w:p>
        </w:tc>
        <w:tc>
          <w:tcPr>
            <w:tcW w:w="1600" w:type="dxa"/>
            <w:vAlign w:val="center"/>
          </w:tcPr>
          <w:p>
            <w:pPr>
              <w:jc w:val="right"/>
            </w:pPr>
            <w:r>
              <w:rPr>
                <w:rFonts w:ascii="宋体" w:hAnsi="宋体" w:eastAsia="宋体" w:cs="宋体"/>
                <w:b w:val="0"/>
                <w:i w:val="0"/>
                <w:color w:val="000000"/>
                <w:sz w:val="19"/>
              </w:rPr>
              <w:t>3,763.90</w:t>
            </w:r>
          </w:p>
        </w:tc>
        <w:tc>
          <w:tcPr>
            <w:tcW w:w="1600" w:type="dxa"/>
            <w:vAlign w:val="center"/>
          </w:tcPr>
          <w:p>
            <w:pPr>
              <w:jc w:val="right"/>
            </w:pPr>
            <w:r>
              <w:rPr>
                <w:rFonts w:ascii="宋体" w:hAnsi="宋体" w:eastAsia="宋体" w:cs="宋体"/>
                <w:b w:val="0"/>
                <w:i w:val="0"/>
                <w:color w:val="000000"/>
                <w:sz w:val="19"/>
              </w:rPr>
              <w:t>365.71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9.15</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8.25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21303</w:t>
            </w:r>
          </w:p>
        </w:tc>
        <w:tc>
          <w:tcPr>
            <w:tcW w:w="3480" w:type="dxa"/>
            <w:vAlign w:val="center"/>
          </w:tcPr>
          <w:p>
            <w:pPr>
              <w:jc w:val="left"/>
            </w:pPr>
            <w:r>
              <w:rPr>
                <w:rFonts w:ascii="宋体" w:hAnsi="宋体" w:eastAsia="宋体" w:cs="宋体"/>
                <w:b w:val="0"/>
                <w:i w:val="0"/>
                <w:color w:val="000000"/>
                <w:sz w:val="19"/>
              </w:rPr>
              <w:t>水利</w:t>
            </w:r>
          </w:p>
        </w:tc>
        <w:tc>
          <w:tcPr>
            <w:tcW w:w="1600" w:type="dxa"/>
            <w:vAlign w:val="center"/>
          </w:tcPr>
          <w:p>
            <w:pPr>
              <w:jc w:val="right"/>
            </w:pPr>
            <w:r>
              <w:rPr>
                <w:rFonts w:ascii="宋体" w:hAnsi="宋体" w:eastAsia="宋体" w:cs="宋体"/>
                <w:b w:val="0"/>
                <w:i w:val="0"/>
                <w:color w:val="000000"/>
                <w:sz w:val="19"/>
              </w:rPr>
              <w:t>6.00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6.00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2130399</w:t>
            </w:r>
          </w:p>
        </w:tc>
        <w:tc>
          <w:tcPr>
            <w:tcW w:w="3480" w:type="dxa"/>
            <w:vAlign w:val="center"/>
          </w:tcPr>
          <w:p>
            <w:pPr>
              <w:jc w:val="left"/>
            </w:pPr>
            <w:r>
              <w:rPr>
                <w:rFonts w:ascii="宋体" w:hAnsi="宋体" w:eastAsia="宋体" w:cs="宋体"/>
                <w:b w:val="0"/>
                <w:i w:val="0"/>
                <w:color w:val="000000"/>
                <w:sz w:val="19"/>
              </w:rPr>
              <w:t>其他水利支出</w:t>
            </w:r>
          </w:p>
        </w:tc>
        <w:tc>
          <w:tcPr>
            <w:tcW w:w="1600" w:type="dxa"/>
            <w:vAlign w:val="center"/>
          </w:tcPr>
          <w:p>
            <w:pPr>
              <w:jc w:val="right"/>
            </w:pPr>
            <w:r>
              <w:rPr>
                <w:rFonts w:ascii="宋体" w:hAnsi="宋体" w:eastAsia="宋体" w:cs="宋体"/>
                <w:b w:val="0"/>
                <w:i w:val="0"/>
                <w:color w:val="000000"/>
                <w:sz w:val="19"/>
              </w:rPr>
              <w:t>6.00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6.00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3.15</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397.88</w:t>
            </w:r>
          </w:p>
        </w:tc>
        <w:tc>
          <w:tcPr>
            <w:tcW w:w="1600" w:type="dxa"/>
            <w:vAlign w:val="center"/>
          </w:tcPr>
          <w:p>
            <w:pPr>
              <w:jc w:val="right"/>
            </w:pPr>
            <w:r>
              <w:rPr>
                <w:rFonts w:ascii="宋体" w:hAnsi="宋体" w:eastAsia="宋体" w:cs="宋体"/>
                <w:b w:val="0"/>
                <w:i w:val="0"/>
                <w:color w:val="000000"/>
                <w:sz w:val="19"/>
              </w:rPr>
              <w:t>397.88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397.88</w:t>
            </w:r>
          </w:p>
        </w:tc>
        <w:tc>
          <w:tcPr>
            <w:tcW w:w="1600" w:type="dxa"/>
            <w:vAlign w:val="center"/>
          </w:tcPr>
          <w:p>
            <w:pPr>
              <w:jc w:val="right"/>
            </w:pPr>
            <w:r>
              <w:rPr>
                <w:rFonts w:ascii="宋体" w:hAnsi="宋体" w:eastAsia="宋体" w:cs="宋体"/>
                <w:b w:val="0"/>
                <w:i w:val="0"/>
                <w:color w:val="000000"/>
                <w:sz w:val="19"/>
              </w:rPr>
              <w:t>397.88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397.88</w:t>
            </w:r>
          </w:p>
        </w:tc>
        <w:tc>
          <w:tcPr>
            <w:tcW w:w="1600" w:type="dxa"/>
            <w:vAlign w:val="center"/>
          </w:tcPr>
          <w:p>
            <w:pPr>
              <w:jc w:val="right"/>
            </w:pPr>
            <w:r>
              <w:rPr>
                <w:rFonts w:ascii="宋体" w:hAnsi="宋体" w:eastAsia="宋体" w:cs="宋体"/>
                <w:b w:val="0"/>
                <w:i w:val="0"/>
                <w:color w:val="000000"/>
                <w:sz w:val="19"/>
              </w:rPr>
              <w:t>397.88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部门：许昌市城市管理局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15,457.77</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2,172.59</w:t>
            </w:r>
          </w:p>
        </w:tc>
        <w:tc>
          <w:tcPr>
            <w:tcW w:w="1420" w:type="dxa"/>
            <w:vAlign w:val="center"/>
          </w:tcPr>
          <w:p>
            <w:pPr>
              <w:jc w:val="right"/>
            </w:pPr>
            <w:r>
              <w:rPr>
                <w:rFonts w:ascii="宋体" w:hAnsi="宋体" w:eastAsia="宋体" w:cs="宋体"/>
                <w:b w:val="0"/>
                <w:i w:val="0"/>
                <w:color w:val="000000"/>
                <w:sz w:val="18"/>
              </w:rPr>
              <w:t>2,172.59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1,987.88</w:t>
            </w:r>
          </w:p>
        </w:tc>
        <w:tc>
          <w:tcPr>
            <w:tcW w:w="1420" w:type="dxa"/>
            <w:vAlign w:val="center"/>
          </w:tcPr>
          <w:p>
            <w:pPr>
              <w:jc w:val="right"/>
            </w:pPr>
            <w:r>
              <w:rPr>
                <w:rFonts w:ascii="宋体" w:hAnsi="宋体" w:eastAsia="宋体" w:cs="宋体"/>
                <w:b w:val="0"/>
                <w:i w:val="0"/>
                <w:color w:val="000000"/>
                <w:sz w:val="18"/>
              </w:rPr>
              <w:t>1,987.88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280.51</w:t>
            </w:r>
          </w:p>
        </w:tc>
        <w:tc>
          <w:tcPr>
            <w:tcW w:w="1420" w:type="dxa"/>
            <w:vAlign w:val="center"/>
          </w:tcPr>
          <w:p>
            <w:pPr>
              <w:jc w:val="right"/>
            </w:pPr>
            <w:r>
              <w:rPr>
                <w:rFonts w:ascii="宋体" w:hAnsi="宋体" w:eastAsia="宋体" w:cs="宋体"/>
                <w:b w:val="0"/>
                <w:i w:val="0"/>
                <w:color w:val="000000"/>
                <w:sz w:val="18"/>
              </w:rPr>
              <w:t>280.51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3,513.14</w:t>
            </w:r>
          </w:p>
        </w:tc>
        <w:tc>
          <w:tcPr>
            <w:tcW w:w="1420" w:type="dxa"/>
            <w:vAlign w:val="center"/>
          </w:tcPr>
          <w:p>
            <w:pPr>
              <w:jc w:val="right"/>
            </w:pPr>
            <w:r>
              <w:rPr>
                <w:rFonts w:ascii="宋体" w:hAnsi="宋体" w:eastAsia="宋体" w:cs="宋体"/>
                <w:b w:val="0"/>
                <w:i w:val="0"/>
                <w:color w:val="000000"/>
                <w:sz w:val="18"/>
              </w:rPr>
              <w:t>3,513.14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8,388.35</w:t>
            </w:r>
          </w:p>
        </w:tc>
        <w:tc>
          <w:tcPr>
            <w:tcW w:w="1420" w:type="dxa"/>
            <w:vAlign w:val="center"/>
          </w:tcPr>
          <w:p>
            <w:pPr>
              <w:jc w:val="right"/>
            </w:pPr>
            <w:r>
              <w:rPr>
                <w:rFonts w:ascii="宋体" w:hAnsi="宋体" w:eastAsia="宋体" w:cs="宋体"/>
                <w:b w:val="0"/>
                <w:i w:val="0"/>
                <w:color w:val="000000"/>
                <w:sz w:val="18"/>
              </w:rPr>
              <w:t>8,388.35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9.15</w:t>
            </w:r>
          </w:p>
        </w:tc>
        <w:tc>
          <w:tcPr>
            <w:tcW w:w="1420" w:type="dxa"/>
            <w:vAlign w:val="center"/>
          </w:tcPr>
          <w:p>
            <w:pPr>
              <w:jc w:val="right"/>
            </w:pPr>
            <w:r>
              <w:rPr>
                <w:rFonts w:ascii="宋体" w:hAnsi="宋体" w:eastAsia="宋体" w:cs="宋体"/>
                <w:b w:val="0"/>
                <w:i w:val="0"/>
                <w:color w:val="000000"/>
                <w:sz w:val="18"/>
              </w:rPr>
              <w:t>9.15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397.88</w:t>
            </w:r>
          </w:p>
        </w:tc>
        <w:tc>
          <w:tcPr>
            <w:tcW w:w="1420" w:type="dxa"/>
            <w:vAlign w:val="center"/>
          </w:tcPr>
          <w:p>
            <w:pPr>
              <w:jc w:val="right"/>
            </w:pPr>
            <w:r>
              <w:rPr>
                <w:rFonts w:ascii="宋体" w:hAnsi="宋体" w:eastAsia="宋体" w:cs="宋体"/>
                <w:b w:val="0"/>
                <w:i w:val="0"/>
                <w:color w:val="000000"/>
                <w:sz w:val="18"/>
              </w:rPr>
              <w:t>397.88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15,457.77</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16,749.51</w:t>
            </w:r>
          </w:p>
        </w:tc>
        <w:tc>
          <w:tcPr>
            <w:tcW w:w="1420" w:type="dxa"/>
            <w:vAlign w:val="center"/>
          </w:tcPr>
          <w:p>
            <w:pPr>
              <w:jc w:val="right"/>
            </w:pPr>
            <w:r>
              <w:rPr>
                <w:rFonts w:ascii="宋体" w:hAnsi="宋体" w:eastAsia="宋体" w:cs="宋体"/>
                <w:b w:val="0"/>
                <w:i w:val="0"/>
                <w:color w:val="000000"/>
                <w:sz w:val="18"/>
              </w:rPr>
              <w:t>16,749.51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1,291.74</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1,291.74</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16,749.51</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16,749.51</w:t>
            </w:r>
          </w:p>
        </w:tc>
        <w:tc>
          <w:tcPr>
            <w:tcW w:w="1420" w:type="dxa"/>
            <w:vAlign w:val="center"/>
          </w:tcPr>
          <w:p>
            <w:pPr>
              <w:jc w:val="right"/>
            </w:pPr>
            <w:r>
              <w:rPr>
                <w:rFonts w:ascii="宋体" w:hAnsi="宋体" w:eastAsia="宋体" w:cs="宋体"/>
                <w:b w:val="0"/>
                <w:i w:val="0"/>
                <w:color w:val="000000"/>
                <w:sz w:val="18"/>
              </w:rPr>
              <w:t>16,749.51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部门：许昌市城市管理局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16,749.51</w:t>
            </w:r>
          </w:p>
        </w:tc>
        <w:tc>
          <w:tcPr>
            <w:tcW w:w="2700" w:type="dxa"/>
            <w:vAlign w:val="center"/>
          </w:tcPr>
          <w:p>
            <w:pPr>
              <w:jc w:val="right"/>
            </w:pPr>
            <w:r>
              <w:rPr>
                <w:rFonts w:ascii="宋体" w:hAnsi="宋体" w:eastAsia="宋体" w:cs="宋体"/>
                <w:b/>
                <w:i w:val="0"/>
                <w:color w:val="000000"/>
                <w:sz w:val="25"/>
              </w:rPr>
              <w:t>9,910.94</w:t>
            </w:r>
          </w:p>
        </w:tc>
        <w:tc>
          <w:tcPr>
            <w:tcW w:w="2658" w:type="dxa"/>
            <w:vAlign w:val="center"/>
          </w:tcPr>
          <w:p>
            <w:pPr>
              <w:jc w:val="right"/>
            </w:pPr>
            <w:r>
              <w:rPr>
                <w:rFonts w:ascii="宋体" w:hAnsi="宋体" w:eastAsia="宋体" w:cs="宋体"/>
                <w:b/>
                <w:i w:val="0"/>
                <w:color w:val="000000"/>
                <w:sz w:val="25"/>
              </w:rPr>
              <w:t>6,838.57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2,172.59</w:t>
            </w:r>
          </w:p>
        </w:tc>
        <w:tc>
          <w:tcPr>
            <w:tcW w:w="2700" w:type="dxa"/>
            <w:vAlign w:val="center"/>
          </w:tcPr>
          <w:p>
            <w:pPr>
              <w:jc w:val="right"/>
            </w:pPr>
            <w:r>
              <w:rPr>
                <w:rFonts w:ascii="宋体" w:hAnsi="宋体" w:eastAsia="宋体" w:cs="宋体"/>
                <w:b w:val="0"/>
                <w:i w:val="0"/>
                <w:color w:val="000000"/>
                <w:sz w:val="25"/>
              </w:rPr>
              <w:t>2,172.59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w:t>
            </w:r>
          </w:p>
        </w:tc>
        <w:tc>
          <w:tcPr>
            <w:tcW w:w="4700" w:type="dxa"/>
            <w:vAlign w:val="center"/>
          </w:tcPr>
          <w:p>
            <w:pPr>
              <w:jc w:val="left"/>
            </w:pPr>
            <w:r>
              <w:rPr>
                <w:rFonts w:ascii="宋体" w:hAnsi="宋体" w:eastAsia="宋体" w:cs="宋体"/>
                <w:b w:val="0"/>
                <w:i w:val="0"/>
                <w:color w:val="000000"/>
                <w:sz w:val="25"/>
              </w:rPr>
              <w:t>人大事务</w:t>
            </w:r>
          </w:p>
        </w:tc>
        <w:tc>
          <w:tcPr>
            <w:tcW w:w="2700" w:type="dxa"/>
            <w:vAlign w:val="center"/>
          </w:tcPr>
          <w:p>
            <w:pPr>
              <w:jc w:val="right"/>
            </w:pPr>
            <w:r>
              <w:rPr>
                <w:rFonts w:ascii="宋体" w:hAnsi="宋体" w:eastAsia="宋体" w:cs="宋体"/>
                <w:b w:val="0"/>
                <w:i w:val="0"/>
                <w:color w:val="000000"/>
                <w:sz w:val="25"/>
              </w:rPr>
              <w:t>1,753.02</w:t>
            </w:r>
          </w:p>
        </w:tc>
        <w:tc>
          <w:tcPr>
            <w:tcW w:w="2700" w:type="dxa"/>
            <w:vAlign w:val="center"/>
          </w:tcPr>
          <w:p>
            <w:pPr>
              <w:jc w:val="right"/>
            </w:pPr>
            <w:r>
              <w:rPr>
                <w:rFonts w:ascii="宋体" w:hAnsi="宋体" w:eastAsia="宋体" w:cs="宋体"/>
                <w:b w:val="0"/>
                <w:i w:val="0"/>
                <w:color w:val="000000"/>
                <w:sz w:val="25"/>
              </w:rPr>
              <w:t>1,753.02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1,753.02</w:t>
            </w:r>
          </w:p>
        </w:tc>
        <w:tc>
          <w:tcPr>
            <w:tcW w:w="2700" w:type="dxa"/>
            <w:vAlign w:val="center"/>
          </w:tcPr>
          <w:p>
            <w:pPr>
              <w:jc w:val="right"/>
            </w:pPr>
            <w:r>
              <w:rPr>
                <w:rFonts w:ascii="宋体" w:hAnsi="宋体" w:eastAsia="宋体" w:cs="宋体"/>
                <w:b w:val="0"/>
                <w:i w:val="0"/>
                <w:color w:val="000000"/>
                <w:sz w:val="25"/>
              </w:rPr>
              <w:t>1,753.02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39.18</w:t>
            </w:r>
          </w:p>
        </w:tc>
        <w:tc>
          <w:tcPr>
            <w:tcW w:w="2700" w:type="dxa"/>
            <w:vAlign w:val="center"/>
          </w:tcPr>
          <w:p>
            <w:pPr>
              <w:jc w:val="right"/>
            </w:pPr>
            <w:r>
              <w:rPr>
                <w:rFonts w:ascii="宋体" w:hAnsi="宋体" w:eastAsia="宋体" w:cs="宋体"/>
                <w:b w:val="0"/>
                <w:i w:val="0"/>
                <w:color w:val="000000"/>
                <w:sz w:val="25"/>
              </w:rPr>
              <w:t>39.18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39.18</w:t>
            </w:r>
          </w:p>
        </w:tc>
        <w:tc>
          <w:tcPr>
            <w:tcW w:w="2700" w:type="dxa"/>
            <w:vAlign w:val="center"/>
          </w:tcPr>
          <w:p>
            <w:pPr>
              <w:jc w:val="right"/>
            </w:pPr>
            <w:r>
              <w:rPr>
                <w:rFonts w:ascii="宋体" w:hAnsi="宋体" w:eastAsia="宋体" w:cs="宋体"/>
                <w:b w:val="0"/>
                <w:i w:val="0"/>
                <w:color w:val="000000"/>
                <w:sz w:val="25"/>
              </w:rPr>
              <w:t>39.18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380.39</w:t>
            </w:r>
          </w:p>
        </w:tc>
        <w:tc>
          <w:tcPr>
            <w:tcW w:w="2700" w:type="dxa"/>
            <w:vAlign w:val="center"/>
          </w:tcPr>
          <w:p>
            <w:pPr>
              <w:jc w:val="right"/>
            </w:pPr>
            <w:r>
              <w:rPr>
                <w:rFonts w:ascii="宋体" w:hAnsi="宋体" w:eastAsia="宋体" w:cs="宋体"/>
                <w:b w:val="0"/>
                <w:i w:val="0"/>
                <w:color w:val="000000"/>
                <w:sz w:val="25"/>
              </w:rPr>
              <w:t>380.39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380.39</w:t>
            </w:r>
          </w:p>
        </w:tc>
        <w:tc>
          <w:tcPr>
            <w:tcW w:w="2700" w:type="dxa"/>
            <w:vAlign w:val="center"/>
          </w:tcPr>
          <w:p>
            <w:pPr>
              <w:jc w:val="right"/>
            </w:pPr>
            <w:r>
              <w:rPr>
                <w:rFonts w:ascii="宋体" w:hAnsi="宋体" w:eastAsia="宋体" w:cs="宋体"/>
                <w:b w:val="0"/>
                <w:i w:val="0"/>
                <w:color w:val="000000"/>
                <w:sz w:val="25"/>
              </w:rPr>
              <w:t>380.39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1,987.88</w:t>
            </w:r>
          </w:p>
        </w:tc>
        <w:tc>
          <w:tcPr>
            <w:tcW w:w="2700" w:type="dxa"/>
            <w:vAlign w:val="center"/>
          </w:tcPr>
          <w:p>
            <w:pPr>
              <w:jc w:val="right"/>
            </w:pPr>
            <w:r>
              <w:rPr>
                <w:rFonts w:ascii="宋体" w:hAnsi="宋体" w:eastAsia="宋体" w:cs="宋体"/>
                <w:b w:val="0"/>
                <w:i w:val="0"/>
                <w:color w:val="000000"/>
                <w:sz w:val="25"/>
              </w:rPr>
              <w:t>1,987.88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1,916.43</w:t>
            </w:r>
          </w:p>
        </w:tc>
        <w:tc>
          <w:tcPr>
            <w:tcW w:w="2700" w:type="dxa"/>
            <w:vAlign w:val="center"/>
          </w:tcPr>
          <w:p>
            <w:pPr>
              <w:jc w:val="right"/>
            </w:pPr>
            <w:r>
              <w:rPr>
                <w:rFonts w:ascii="宋体" w:hAnsi="宋体" w:eastAsia="宋体" w:cs="宋体"/>
                <w:b w:val="0"/>
                <w:i w:val="0"/>
                <w:color w:val="000000"/>
                <w:sz w:val="25"/>
              </w:rPr>
              <w:t>1,916.43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361.07</w:t>
            </w:r>
          </w:p>
        </w:tc>
        <w:tc>
          <w:tcPr>
            <w:tcW w:w="2700" w:type="dxa"/>
            <w:vAlign w:val="center"/>
          </w:tcPr>
          <w:p>
            <w:pPr>
              <w:jc w:val="right"/>
            </w:pPr>
            <w:r>
              <w:rPr>
                <w:rFonts w:ascii="宋体" w:hAnsi="宋体" w:eastAsia="宋体" w:cs="宋体"/>
                <w:b w:val="0"/>
                <w:i w:val="0"/>
                <w:color w:val="000000"/>
                <w:sz w:val="25"/>
              </w:rPr>
              <w:t>361.07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1,146.19</w:t>
            </w:r>
          </w:p>
        </w:tc>
        <w:tc>
          <w:tcPr>
            <w:tcW w:w="2700" w:type="dxa"/>
            <w:vAlign w:val="center"/>
          </w:tcPr>
          <w:p>
            <w:pPr>
              <w:jc w:val="right"/>
            </w:pPr>
            <w:r>
              <w:rPr>
                <w:rFonts w:ascii="宋体" w:hAnsi="宋体" w:eastAsia="宋体" w:cs="宋体"/>
                <w:b w:val="0"/>
                <w:i w:val="0"/>
                <w:color w:val="000000"/>
                <w:sz w:val="25"/>
              </w:rPr>
              <w:t>1,146.19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409.17</w:t>
            </w:r>
          </w:p>
        </w:tc>
        <w:tc>
          <w:tcPr>
            <w:tcW w:w="2700" w:type="dxa"/>
            <w:vAlign w:val="center"/>
          </w:tcPr>
          <w:p>
            <w:pPr>
              <w:jc w:val="right"/>
            </w:pPr>
            <w:r>
              <w:rPr>
                <w:rFonts w:ascii="宋体" w:hAnsi="宋体" w:eastAsia="宋体" w:cs="宋体"/>
                <w:b w:val="0"/>
                <w:i w:val="0"/>
                <w:color w:val="000000"/>
                <w:sz w:val="25"/>
              </w:rPr>
              <w:t>409.17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71.46</w:t>
            </w:r>
          </w:p>
        </w:tc>
        <w:tc>
          <w:tcPr>
            <w:tcW w:w="2700" w:type="dxa"/>
            <w:vAlign w:val="center"/>
          </w:tcPr>
          <w:p>
            <w:pPr>
              <w:jc w:val="right"/>
            </w:pPr>
            <w:r>
              <w:rPr>
                <w:rFonts w:ascii="宋体" w:hAnsi="宋体" w:eastAsia="宋体" w:cs="宋体"/>
                <w:b w:val="0"/>
                <w:i w:val="0"/>
                <w:color w:val="000000"/>
                <w:sz w:val="25"/>
              </w:rPr>
              <w:t>71.46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71.46</w:t>
            </w:r>
          </w:p>
        </w:tc>
        <w:tc>
          <w:tcPr>
            <w:tcW w:w="2700" w:type="dxa"/>
            <w:vAlign w:val="center"/>
          </w:tcPr>
          <w:p>
            <w:pPr>
              <w:jc w:val="right"/>
            </w:pPr>
            <w:r>
              <w:rPr>
                <w:rFonts w:ascii="宋体" w:hAnsi="宋体" w:eastAsia="宋体" w:cs="宋体"/>
                <w:b w:val="0"/>
                <w:i w:val="0"/>
                <w:color w:val="000000"/>
                <w:sz w:val="25"/>
              </w:rPr>
              <w:t>71.46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280.51</w:t>
            </w:r>
          </w:p>
        </w:tc>
        <w:tc>
          <w:tcPr>
            <w:tcW w:w="2700" w:type="dxa"/>
            <w:vAlign w:val="center"/>
          </w:tcPr>
          <w:p>
            <w:pPr>
              <w:jc w:val="right"/>
            </w:pPr>
            <w:r>
              <w:rPr>
                <w:rFonts w:ascii="宋体" w:hAnsi="宋体" w:eastAsia="宋体" w:cs="宋体"/>
                <w:b w:val="0"/>
                <w:i w:val="0"/>
                <w:color w:val="000000"/>
                <w:sz w:val="25"/>
              </w:rPr>
              <w:t>280.51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280.51</w:t>
            </w:r>
          </w:p>
        </w:tc>
        <w:tc>
          <w:tcPr>
            <w:tcW w:w="2700" w:type="dxa"/>
            <w:vAlign w:val="center"/>
          </w:tcPr>
          <w:p>
            <w:pPr>
              <w:jc w:val="right"/>
            </w:pPr>
            <w:r>
              <w:rPr>
                <w:rFonts w:ascii="宋体" w:hAnsi="宋体" w:eastAsia="宋体" w:cs="宋体"/>
                <w:b w:val="0"/>
                <w:i w:val="0"/>
                <w:color w:val="000000"/>
                <w:sz w:val="25"/>
              </w:rPr>
              <w:t>280.51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65.56</w:t>
            </w:r>
          </w:p>
        </w:tc>
        <w:tc>
          <w:tcPr>
            <w:tcW w:w="2700" w:type="dxa"/>
            <w:vAlign w:val="center"/>
          </w:tcPr>
          <w:p>
            <w:pPr>
              <w:jc w:val="right"/>
            </w:pPr>
            <w:r>
              <w:rPr>
                <w:rFonts w:ascii="宋体" w:hAnsi="宋体" w:eastAsia="宋体" w:cs="宋体"/>
                <w:b w:val="0"/>
                <w:i w:val="0"/>
                <w:color w:val="000000"/>
                <w:sz w:val="25"/>
              </w:rPr>
              <w:t>65.56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139.10</w:t>
            </w:r>
          </w:p>
        </w:tc>
        <w:tc>
          <w:tcPr>
            <w:tcW w:w="2700" w:type="dxa"/>
            <w:vAlign w:val="center"/>
          </w:tcPr>
          <w:p>
            <w:pPr>
              <w:jc w:val="right"/>
            </w:pPr>
            <w:r>
              <w:rPr>
                <w:rFonts w:ascii="宋体" w:hAnsi="宋体" w:eastAsia="宋体" w:cs="宋体"/>
                <w:b w:val="0"/>
                <w:i w:val="0"/>
                <w:color w:val="000000"/>
                <w:sz w:val="25"/>
              </w:rPr>
              <w:t>139.10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75.85</w:t>
            </w:r>
          </w:p>
        </w:tc>
        <w:tc>
          <w:tcPr>
            <w:tcW w:w="2700" w:type="dxa"/>
            <w:vAlign w:val="center"/>
          </w:tcPr>
          <w:p>
            <w:pPr>
              <w:jc w:val="right"/>
            </w:pPr>
            <w:r>
              <w:rPr>
                <w:rFonts w:ascii="宋体" w:hAnsi="宋体" w:eastAsia="宋体" w:cs="宋体"/>
                <w:b w:val="0"/>
                <w:i w:val="0"/>
                <w:color w:val="000000"/>
                <w:sz w:val="25"/>
              </w:rPr>
              <w:t>75.85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w:t>
            </w:r>
          </w:p>
        </w:tc>
        <w:tc>
          <w:tcPr>
            <w:tcW w:w="4700" w:type="dxa"/>
            <w:vAlign w:val="center"/>
          </w:tcPr>
          <w:p>
            <w:pPr>
              <w:jc w:val="left"/>
            </w:pPr>
            <w:r>
              <w:rPr>
                <w:rFonts w:ascii="宋体" w:hAnsi="宋体" w:eastAsia="宋体" w:cs="宋体"/>
                <w:b w:val="0"/>
                <w:i w:val="0"/>
                <w:color w:val="000000"/>
                <w:sz w:val="25"/>
              </w:rPr>
              <w:t>节能环保支出</w:t>
            </w:r>
          </w:p>
        </w:tc>
        <w:tc>
          <w:tcPr>
            <w:tcW w:w="2700" w:type="dxa"/>
            <w:vAlign w:val="center"/>
          </w:tcPr>
          <w:p>
            <w:pPr>
              <w:jc w:val="right"/>
            </w:pPr>
            <w:r>
              <w:rPr>
                <w:rFonts w:ascii="宋体" w:hAnsi="宋体" w:eastAsia="宋体" w:cs="宋体"/>
                <w:b w:val="0"/>
                <w:i w:val="0"/>
                <w:color w:val="000000"/>
                <w:sz w:val="25"/>
              </w:rPr>
              <w:t>3,513.14</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3,513.14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21103</w:t>
            </w:r>
          </w:p>
        </w:tc>
        <w:tc>
          <w:tcPr>
            <w:tcW w:w="4700" w:type="dxa"/>
            <w:vAlign w:val="center"/>
          </w:tcPr>
          <w:p>
            <w:pPr>
              <w:jc w:val="left"/>
            </w:pPr>
            <w:r>
              <w:rPr>
                <w:rFonts w:ascii="宋体" w:hAnsi="宋体" w:eastAsia="宋体" w:cs="宋体"/>
                <w:b w:val="0"/>
                <w:i w:val="0"/>
                <w:color w:val="000000"/>
                <w:sz w:val="25"/>
              </w:rPr>
              <w:t>污染防治</w:t>
            </w:r>
          </w:p>
        </w:tc>
        <w:tc>
          <w:tcPr>
            <w:tcW w:w="2700" w:type="dxa"/>
            <w:vAlign w:val="center"/>
          </w:tcPr>
          <w:p>
            <w:pPr>
              <w:jc w:val="right"/>
            </w:pPr>
            <w:r>
              <w:rPr>
                <w:rFonts w:ascii="宋体" w:hAnsi="宋体" w:eastAsia="宋体" w:cs="宋体"/>
                <w:b w:val="0"/>
                <w:i w:val="0"/>
                <w:color w:val="000000"/>
                <w:sz w:val="25"/>
              </w:rPr>
              <w:t>834.52</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834.52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2110301</w:t>
            </w:r>
          </w:p>
        </w:tc>
        <w:tc>
          <w:tcPr>
            <w:tcW w:w="4700" w:type="dxa"/>
            <w:vAlign w:val="center"/>
          </w:tcPr>
          <w:p>
            <w:pPr>
              <w:jc w:val="left"/>
            </w:pPr>
            <w:r>
              <w:rPr>
                <w:rFonts w:ascii="宋体" w:hAnsi="宋体" w:eastAsia="宋体" w:cs="宋体"/>
                <w:b w:val="0"/>
                <w:i w:val="0"/>
                <w:color w:val="000000"/>
                <w:sz w:val="25"/>
              </w:rPr>
              <w:t>大气</w:t>
            </w:r>
          </w:p>
        </w:tc>
        <w:tc>
          <w:tcPr>
            <w:tcW w:w="2700" w:type="dxa"/>
            <w:vAlign w:val="center"/>
          </w:tcPr>
          <w:p>
            <w:pPr>
              <w:jc w:val="right"/>
            </w:pPr>
            <w:r>
              <w:rPr>
                <w:rFonts w:ascii="宋体" w:hAnsi="宋体" w:eastAsia="宋体" w:cs="宋体"/>
                <w:b w:val="0"/>
                <w:i w:val="0"/>
                <w:color w:val="000000"/>
                <w:sz w:val="25"/>
              </w:rPr>
              <w:t>8.90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8.90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2110399</w:t>
            </w:r>
          </w:p>
        </w:tc>
        <w:tc>
          <w:tcPr>
            <w:tcW w:w="4700" w:type="dxa"/>
            <w:vAlign w:val="center"/>
          </w:tcPr>
          <w:p>
            <w:pPr>
              <w:jc w:val="left"/>
            </w:pPr>
            <w:r>
              <w:rPr>
                <w:rFonts w:ascii="宋体" w:hAnsi="宋体" w:eastAsia="宋体" w:cs="宋体"/>
                <w:b w:val="0"/>
                <w:i w:val="0"/>
                <w:color w:val="000000"/>
                <w:sz w:val="25"/>
              </w:rPr>
              <w:t>其他污染防治支出</w:t>
            </w:r>
          </w:p>
        </w:tc>
        <w:tc>
          <w:tcPr>
            <w:tcW w:w="2700" w:type="dxa"/>
            <w:vAlign w:val="center"/>
          </w:tcPr>
          <w:p>
            <w:pPr>
              <w:jc w:val="right"/>
            </w:pPr>
            <w:r>
              <w:rPr>
                <w:rFonts w:ascii="宋体" w:hAnsi="宋体" w:eastAsia="宋体" w:cs="宋体"/>
                <w:b w:val="0"/>
                <w:i w:val="0"/>
                <w:color w:val="000000"/>
                <w:sz w:val="25"/>
              </w:rPr>
              <w:t>825.62</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825.62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21114</w:t>
            </w:r>
          </w:p>
        </w:tc>
        <w:tc>
          <w:tcPr>
            <w:tcW w:w="4700" w:type="dxa"/>
            <w:vAlign w:val="center"/>
          </w:tcPr>
          <w:p>
            <w:pPr>
              <w:jc w:val="left"/>
            </w:pPr>
            <w:r>
              <w:rPr>
                <w:rFonts w:ascii="宋体" w:hAnsi="宋体" w:eastAsia="宋体" w:cs="宋体"/>
                <w:b w:val="0"/>
                <w:i w:val="0"/>
                <w:color w:val="000000"/>
                <w:sz w:val="25"/>
              </w:rPr>
              <w:t>能源管理事务</w:t>
            </w:r>
          </w:p>
        </w:tc>
        <w:tc>
          <w:tcPr>
            <w:tcW w:w="2700" w:type="dxa"/>
            <w:vAlign w:val="center"/>
          </w:tcPr>
          <w:p>
            <w:pPr>
              <w:jc w:val="right"/>
            </w:pPr>
            <w:r>
              <w:rPr>
                <w:rFonts w:ascii="宋体" w:hAnsi="宋体" w:eastAsia="宋体" w:cs="宋体"/>
                <w:b w:val="0"/>
                <w:i w:val="0"/>
                <w:color w:val="000000"/>
                <w:sz w:val="25"/>
              </w:rPr>
              <w:t>1,782.84</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1,782.84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2111499</w:t>
            </w:r>
          </w:p>
        </w:tc>
        <w:tc>
          <w:tcPr>
            <w:tcW w:w="4700" w:type="dxa"/>
            <w:vAlign w:val="center"/>
          </w:tcPr>
          <w:p>
            <w:pPr>
              <w:jc w:val="left"/>
            </w:pPr>
            <w:r>
              <w:rPr>
                <w:rFonts w:ascii="宋体" w:hAnsi="宋体" w:eastAsia="宋体" w:cs="宋体"/>
                <w:b w:val="0"/>
                <w:i w:val="0"/>
                <w:color w:val="000000"/>
                <w:sz w:val="25"/>
              </w:rPr>
              <w:t>其他能源管理事务支出</w:t>
            </w:r>
          </w:p>
        </w:tc>
        <w:tc>
          <w:tcPr>
            <w:tcW w:w="2700" w:type="dxa"/>
            <w:vAlign w:val="center"/>
          </w:tcPr>
          <w:p>
            <w:pPr>
              <w:jc w:val="right"/>
            </w:pPr>
            <w:r>
              <w:rPr>
                <w:rFonts w:ascii="宋体" w:hAnsi="宋体" w:eastAsia="宋体" w:cs="宋体"/>
                <w:b w:val="0"/>
                <w:i w:val="0"/>
                <w:color w:val="000000"/>
                <w:sz w:val="25"/>
              </w:rPr>
              <w:t>1,782.84</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1,782.84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21199</w:t>
            </w:r>
          </w:p>
        </w:tc>
        <w:tc>
          <w:tcPr>
            <w:tcW w:w="4700" w:type="dxa"/>
            <w:vAlign w:val="center"/>
          </w:tcPr>
          <w:p>
            <w:pPr>
              <w:jc w:val="left"/>
            </w:pPr>
            <w:r>
              <w:rPr>
                <w:rFonts w:ascii="宋体" w:hAnsi="宋体" w:eastAsia="宋体" w:cs="宋体"/>
                <w:b w:val="0"/>
                <w:i w:val="0"/>
                <w:color w:val="000000"/>
                <w:sz w:val="25"/>
              </w:rPr>
              <w:t>其他节能环保支出</w:t>
            </w:r>
          </w:p>
        </w:tc>
        <w:tc>
          <w:tcPr>
            <w:tcW w:w="2700" w:type="dxa"/>
            <w:vAlign w:val="center"/>
          </w:tcPr>
          <w:p>
            <w:pPr>
              <w:jc w:val="right"/>
            </w:pPr>
            <w:r>
              <w:rPr>
                <w:rFonts w:ascii="宋体" w:hAnsi="宋体" w:eastAsia="宋体" w:cs="宋体"/>
                <w:b w:val="0"/>
                <w:i w:val="0"/>
                <w:color w:val="000000"/>
                <w:sz w:val="25"/>
              </w:rPr>
              <w:t>895.79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895.79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2119999</w:t>
            </w:r>
          </w:p>
        </w:tc>
        <w:tc>
          <w:tcPr>
            <w:tcW w:w="4700" w:type="dxa"/>
            <w:vAlign w:val="center"/>
          </w:tcPr>
          <w:p>
            <w:pPr>
              <w:jc w:val="left"/>
            </w:pPr>
            <w:r>
              <w:rPr>
                <w:rFonts w:ascii="宋体" w:hAnsi="宋体" w:eastAsia="宋体" w:cs="宋体"/>
                <w:b w:val="0"/>
                <w:i w:val="0"/>
                <w:color w:val="000000"/>
                <w:sz w:val="25"/>
              </w:rPr>
              <w:t>其他节能环保支出</w:t>
            </w:r>
          </w:p>
        </w:tc>
        <w:tc>
          <w:tcPr>
            <w:tcW w:w="2700" w:type="dxa"/>
            <w:vAlign w:val="center"/>
          </w:tcPr>
          <w:p>
            <w:pPr>
              <w:jc w:val="right"/>
            </w:pPr>
            <w:r>
              <w:rPr>
                <w:rFonts w:ascii="宋体" w:hAnsi="宋体" w:eastAsia="宋体" w:cs="宋体"/>
                <w:b w:val="0"/>
                <w:i w:val="0"/>
                <w:color w:val="000000"/>
                <w:sz w:val="25"/>
              </w:rPr>
              <w:t>895.79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895.79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w:t>
            </w:r>
          </w:p>
        </w:tc>
        <w:tc>
          <w:tcPr>
            <w:tcW w:w="4700" w:type="dxa"/>
            <w:vAlign w:val="center"/>
          </w:tcPr>
          <w:p>
            <w:pPr>
              <w:jc w:val="left"/>
            </w:pPr>
            <w:r>
              <w:rPr>
                <w:rFonts w:ascii="宋体" w:hAnsi="宋体" w:eastAsia="宋体" w:cs="宋体"/>
                <w:b w:val="0"/>
                <w:i w:val="0"/>
                <w:color w:val="000000"/>
                <w:sz w:val="25"/>
              </w:rPr>
              <w:t>城乡社区支出</w:t>
            </w:r>
          </w:p>
        </w:tc>
        <w:tc>
          <w:tcPr>
            <w:tcW w:w="2700" w:type="dxa"/>
            <w:vAlign w:val="center"/>
          </w:tcPr>
          <w:p>
            <w:pPr>
              <w:jc w:val="right"/>
            </w:pPr>
            <w:r>
              <w:rPr>
                <w:rFonts w:ascii="宋体" w:hAnsi="宋体" w:eastAsia="宋体" w:cs="宋体"/>
                <w:b w:val="0"/>
                <w:i w:val="0"/>
                <w:color w:val="000000"/>
                <w:sz w:val="25"/>
              </w:rPr>
              <w:t>8,388.35</w:t>
            </w:r>
          </w:p>
        </w:tc>
        <w:tc>
          <w:tcPr>
            <w:tcW w:w="2700" w:type="dxa"/>
            <w:vAlign w:val="center"/>
          </w:tcPr>
          <w:p>
            <w:pPr>
              <w:jc w:val="right"/>
            </w:pPr>
            <w:r>
              <w:rPr>
                <w:rFonts w:ascii="宋体" w:hAnsi="宋体" w:eastAsia="宋体" w:cs="宋体"/>
                <w:b w:val="0"/>
                <w:i w:val="0"/>
                <w:color w:val="000000"/>
                <w:sz w:val="25"/>
              </w:rPr>
              <w:t>5,071.18</w:t>
            </w:r>
          </w:p>
        </w:tc>
        <w:tc>
          <w:tcPr>
            <w:tcW w:w="2658" w:type="dxa"/>
            <w:vAlign w:val="center"/>
          </w:tcPr>
          <w:p>
            <w:pPr>
              <w:jc w:val="right"/>
            </w:pPr>
            <w:r>
              <w:rPr>
                <w:rFonts w:ascii="宋体" w:hAnsi="宋体" w:eastAsia="宋体" w:cs="宋体"/>
                <w:b w:val="0"/>
                <w:i w:val="0"/>
                <w:color w:val="000000"/>
                <w:sz w:val="25"/>
              </w:rPr>
              <w:t>3,317.17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21201</w:t>
            </w:r>
          </w:p>
        </w:tc>
        <w:tc>
          <w:tcPr>
            <w:tcW w:w="4700" w:type="dxa"/>
            <w:vAlign w:val="center"/>
          </w:tcPr>
          <w:p>
            <w:pPr>
              <w:jc w:val="left"/>
            </w:pPr>
            <w:r>
              <w:rPr>
                <w:rFonts w:ascii="宋体" w:hAnsi="宋体" w:eastAsia="宋体" w:cs="宋体"/>
                <w:b w:val="0"/>
                <w:i w:val="0"/>
                <w:color w:val="000000"/>
                <w:sz w:val="25"/>
              </w:rPr>
              <w:t>城乡社区管理事务</w:t>
            </w:r>
          </w:p>
        </w:tc>
        <w:tc>
          <w:tcPr>
            <w:tcW w:w="2700" w:type="dxa"/>
            <w:vAlign w:val="center"/>
          </w:tcPr>
          <w:p>
            <w:pPr>
              <w:jc w:val="right"/>
            </w:pPr>
            <w:r>
              <w:rPr>
                <w:rFonts w:ascii="宋体" w:hAnsi="宋体" w:eastAsia="宋体" w:cs="宋体"/>
                <w:b w:val="0"/>
                <w:i w:val="0"/>
                <w:color w:val="000000"/>
                <w:sz w:val="25"/>
              </w:rPr>
              <w:t>1,524.94</w:t>
            </w:r>
          </w:p>
        </w:tc>
        <w:tc>
          <w:tcPr>
            <w:tcW w:w="2700" w:type="dxa"/>
            <w:vAlign w:val="center"/>
          </w:tcPr>
          <w:p>
            <w:pPr>
              <w:jc w:val="right"/>
            </w:pPr>
            <w:r>
              <w:rPr>
                <w:rFonts w:ascii="宋体" w:hAnsi="宋体" w:eastAsia="宋体" w:cs="宋体"/>
                <w:b w:val="0"/>
                <w:i w:val="0"/>
                <w:color w:val="000000"/>
                <w:sz w:val="25"/>
              </w:rPr>
              <w:t>1,034.24</w:t>
            </w:r>
          </w:p>
        </w:tc>
        <w:tc>
          <w:tcPr>
            <w:tcW w:w="2658" w:type="dxa"/>
            <w:vAlign w:val="center"/>
          </w:tcPr>
          <w:p>
            <w:pPr>
              <w:jc w:val="right"/>
            </w:pPr>
            <w:r>
              <w:rPr>
                <w:rFonts w:ascii="宋体" w:hAnsi="宋体" w:eastAsia="宋体" w:cs="宋体"/>
                <w:b w:val="0"/>
                <w:i w:val="0"/>
                <w:color w:val="000000"/>
                <w:sz w:val="25"/>
              </w:rPr>
              <w:t>490.70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563.79</w:t>
            </w:r>
          </w:p>
        </w:tc>
        <w:tc>
          <w:tcPr>
            <w:tcW w:w="2700" w:type="dxa"/>
            <w:vAlign w:val="center"/>
          </w:tcPr>
          <w:p>
            <w:pPr>
              <w:jc w:val="right"/>
            </w:pPr>
            <w:r>
              <w:rPr>
                <w:rFonts w:ascii="宋体" w:hAnsi="宋体" w:eastAsia="宋体" w:cs="宋体"/>
                <w:b w:val="0"/>
                <w:i w:val="0"/>
                <w:color w:val="000000"/>
                <w:sz w:val="25"/>
              </w:rPr>
              <w:t>563.79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2120102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81.23</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81.23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2120104</w:t>
            </w:r>
          </w:p>
        </w:tc>
        <w:tc>
          <w:tcPr>
            <w:tcW w:w="4700" w:type="dxa"/>
            <w:vAlign w:val="center"/>
          </w:tcPr>
          <w:p>
            <w:pPr>
              <w:jc w:val="left"/>
            </w:pPr>
            <w:r>
              <w:rPr>
                <w:rFonts w:ascii="宋体" w:hAnsi="宋体" w:eastAsia="宋体" w:cs="宋体"/>
                <w:b w:val="0"/>
                <w:i w:val="0"/>
                <w:color w:val="000000"/>
                <w:sz w:val="25"/>
              </w:rPr>
              <w:t>城管执法</w:t>
            </w:r>
          </w:p>
        </w:tc>
        <w:tc>
          <w:tcPr>
            <w:tcW w:w="2700" w:type="dxa"/>
            <w:vAlign w:val="center"/>
          </w:tcPr>
          <w:p>
            <w:pPr>
              <w:jc w:val="right"/>
            </w:pPr>
            <w:r>
              <w:rPr>
                <w:rFonts w:ascii="宋体" w:hAnsi="宋体" w:eastAsia="宋体" w:cs="宋体"/>
                <w:b w:val="0"/>
                <w:i w:val="0"/>
                <w:color w:val="000000"/>
                <w:sz w:val="25"/>
              </w:rPr>
              <w:t>879.92</w:t>
            </w:r>
          </w:p>
        </w:tc>
        <w:tc>
          <w:tcPr>
            <w:tcW w:w="2700" w:type="dxa"/>
            <w:vAlign w:val="center"/>
          </w:tcPr>
          <w:p>
            <w:pPr>
              <w:jc w:val="right"/>
            </w:pPr>
            <w:r>
              <w:rPr>
                <w:rFonts w:ascii="宋体" w:hAnsi="宋体" w:eastAsia="宋体" w:cs="宋体"/>
                <w:b w:val="0"/>
                <w:i w:val="0"/>
                <w:color w:val="000000"/>
                <w:sz w:val="25"/>
              </w:rPr>
              <w:t>470.45</w:t>
            </w:r>
          </w:p>
        </w:tc>
        <w:tc>
          <w:tcPr>
            <w:tcW w:w="2658" w:type="dxa"/>
            <w:vAlign w:val="center"/>
          </w:tcPr>
          <w:p>
            <w:pPr>
              <w:jc w:val="right"/>
            </w:pPr>
            <w:r>
              <w:rPr>
                <w:rFonts w:ascii="宋体" w:hAnsi="宋体" w:eastAsia="宋体" w:cs="宋体"/>
                <w:b w:val="0"/>
                <w:i w:val="0"/>
                <w:color w:val="000000"/>
                <w:sz w:val="25"/>
              </w:rPr>
              <w:t>409.47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21203</w:t>
            </w:r>
          </w:p>
        </w:tc>
        <w:tc>
          <w:tcPr>
            <w:tcW w:w="4700" w:type="dxa"/>
            <w:vAlign w:val="center"/>
          </w:tcPr>
          <w:p>
            <w:pPr>
              <w:jc w:val="left"/>
            </w:pPr>
            <w:r>
              <w:rPr>
                <w:rFonts w:ascii="宋体" w:hAnsi="宋体" w:eastAsia="宋体" w:cs="宋体"/>
                <w:b w:val="0"/>
                <w:i w:val="0"/>
                <w:color w:val="000000"/>
                <w:sz w:val="25"/>
              </w:rPr>
              <w:t>城乡社区公共设施</w:t>
            </w:r>
          </w:p>
        </w:tc>
        <w:tc>
          <w:tcPr>
            <w:tcW w:w="2700" w:type="dxa"/>
            <w:vAlign w:val="center"/>
          </w:tcPr>
          <w:p>
            <w:pPr>
              <w:jc w:val="right"/>
            </w:pPr>
            <w:r>
              <w:rPr>
                <w:rFonts w:ascii="宋体" w:hAnsi="宋体" w:eastAsia="宋体" w:cs="宋体"/>
                <w:b w:val="0"/>
                <w:i w:val="0"/>
                <w:color w:val="000000"/>
                <w:sz w:val="25"/>
              </w:rPr>
              <w:t>2,733.79</w:t>
            </w:r>
          </w:p>
        </w:tc>
        <w:tc>
          <w:tcPr>
            <w:tcW w:w="2700" w:type="dxa"/>
            <w:vAlign w:val="center"/>
          </w:tcPr>
          <w:p>
            <w:pPr>
              <w:jc w:val="right"/>
            </w:pPr>
            <w:r>
              <w:rPr>
                <w:rFonts w:ascii="宋体" w:hAnsi="宋体" w:eastAsia="宋体" w:cs="宋体"/>
                <w:b w:val="0"/>
                <w:i w:val="0"/>
                <w:color w:val="000000"/>
                <w:sz w:val="25"/>
              </w:rPr>
              <w:t>273.03</w:t>
            </w:r>
          </w:p>
        </w:tc>
        <w:tc>
          <w:tcPr>
            <w:tcW w:w="2658" w:type="dxa"/>
            <w:vAlign w:val="center"/>
          </w:tcPr>
          <w:p>
            <w:pPr>
              <w:jc w:val="right"/>
            </w:pPr>
            <w:r>
              <w:rPr>
                <w:rFonts w:ascii="宋体" w:hAnsi="宋体" w:eastAsia="宋体" w:cs="宋体"/>
                <w:b w:val="0"/>
                <w:i w:val="0"/>
                <w:color w:val="000000"/>
                <w:sz w:val="25"/>
              </w:rPr>
              <w:t>2,460.76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2120399</w:t>
            </w:r>
          </w:p>
        </w:tc>
        <w:tc>
          <w:tcPr>
            <w:tcW w:w="4700" w:type="dxa"/>
            <w:vAlign w:val="center"/>
          </w:tcPr>
          <w:p>
            <w:pPr>
              <w:jc w:val="left"/>
            </w:pPr>
            <w:r>
              <w:rPr>
                <w:rFonts w:ascii="宋体" w:hAnsi="宋体" w:eastAsia="宋体" w:cs="宋体"/>
                <w:b w:val="0"/>
                <w:i w:val="0"/>
                <w:color w:val="000000"/>
                <w:sz w:val="25"/>
              </w:rPr>
              <w:t>其他城乡社区公共设施支出</w:t>
            </w:r>
          </w:p>
        </w:tc>
        <w:tc>
          <w:tcPr>
            <w:tcW w:w="2700" w:type="dxa"/>
            <w:vAlign w:val="center"/>
          </w:tcPr>
          <w:p>
            <w:pPr>
              <w:jc w:val="right"/>
            </w:pPr>
            <w:r>
              <w:rPr>
                <w:rFonts w:ascii="宋体" w:hAnsi="宋体" w:eastAsia="宋体" w:cs="宋体"/>
                <w:b w:val="0"/>
                <w:i w:val="0"/>
                <w:color w:val="000000"/>
                <w:sz w:val="25"/>
              </w:rPr>
              <w:t>2,733.79</w:t>
            </w:r>
          </w:p>
        </w:tc>
        <w:tc>
          <w:tcPr>
            <w:tcW w:w="2700" w:type="dxa"/>
            <w:vAlign w:val="center"/>
          </w:tcPr>
          <w:p>
            <w:pPr>
              <w:jc w:val="right"/>
            </w:pPr>
            <w:r>
              <w:rPr>
                <w:rFonts w:ascii="宋体" w:hAnsi="宋体" w:eastAsia="宋体" w:cs="宋体"/>
                <w:b w:val="0"/>
                <w:i w:val="0"/>
                <w:color w:val="000000"/>
                <w:sz w:val="25"/>
              </w:rPr>
              <w:t>273.03</w:t>
            </w:r>
          </w:p>
        </w:tc>
        <w:tc>
          <w:tcPr>
            <w:tcW w:w="2658" w:type="dxa"/>
            <w:vAlign w:val="center"/>
          </w:tcPr>
          <w:p>
            <w:pPr>
              <w:jc w:val="right"/>
            </w:pPr>
            <w:r>
              <w:rPr>
                <w:rFonts w:ascii="宋体" w:hAnsi="宋体" w:eastAsia="宋体" w:cs="宋体"/>
                <w:b w:val="0"/>
                <w:i w:val="0"/>
                <w:color w:val="000000"/>
                <w:sz w:val="25"/>
              </w:rPr>
              <w:t>2,460.76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21205</w:t>
            </w:r>
          </w:p>
        </w:tc>
        <w:tc>
          <w:tcPr>
            <w:tcW w:w="4700" w:type="dxa"/>
            <w:vAlign w:val="center"/>
          </w:tcPr>
          <w:p>
            <w:pPr>
              <w:jc w:val="left"/>
            </w:pPr>
            <w:r>
              <w:rPr>
                <w:rFonts w:ascii="宋体" w:hAnsi="宋体" w:eastAsia="宋体" w:cs="宋体"/>
                <w:b w:val="0"/>
                <w:i w:val="0"/>
                <w:color w:val="000000"/>
                <w:sz w:val="25"/>
              </w:rPr>
              <w:t>城乡社区环境卫生</w:t>
            </w:r>
          </w:p>
        </w:tc>
        <w:tc>
          <w:tcPr>
            <w:tcW w:w="2700" w:type="dxa"/>
            <w:vAlign w:val="center"/>
          </w:tcPr>
          <w:p>
            <w:pPr>
              <w:jc w:val="right"/>
            </w:pPr>
            <w:r>
              <w:rPr>
                <w:rFonts w:ascii="宋体" w:hAnsi="宋体" w:eastAsia="宋体" w:cs="宋体"/>
                <w:b w:val="0"/>
                <w:i w:val="0"/>
                <w:color w:val="000000"/>
                <w:sz w:val="25"/>
              </w:rPr>
              <w:t>4,129.62</w:t>
            </w:r>
          </w:p>
        </w:tc>
        <w:tc>
          <w:tcPr>
            <w:tcW w:w="2700" w:type="dxa"/>
            <w:vAlign w:val="center"/>
          </w:tcPr>
          <w:p>
            <w:pPr>
              <w:jc w:val="right"/>
            </w:pPr>
            <w:r>
              <w:rPr>
                <w:rFonts w:ascii="宋体" w:hAnsi="宋体" w:eastAsia="宋体" w:cs="宋体"/>
                <w:b w:val="0"/>
                <w:i w:val="0"/>
                <w:color w:val="000000"/>
                <w:sz w:val="25"/>
              </w:rPr>
              <w:t>3,763.90</w:t>
            </w:r>
          </w:p>
        </w:tc>
        <w:tc>
          <w:tcPr>
            <w:tcW w:w="2658" w:type="dxa"/>
            <w:vAlign w:val="center"/>
          </w:tcPr>
          <w:p>
            <w:pPr>
              <w:jc w:val="right"/>
            </w:pPr>
            <w:r>
              <w:rPr>
                <w:rFonts w:ascii="宋体" w:hAnsi="宋体" w:eastAsia="宋体" w:cs="宋体"/>
                <w:b w:val="0"/>
                <w:i w:val="0"/>
                <w:color w:val="000000"/>
                <w:sz w:val="25"/>
              </w:rPr>
              <w:t>365.71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2120501</w:t>
            </w:r>
          </w:p>
        </w:tc>
        <w:tc>
          <w:tcPr>
            <w:tcW w:w="4700" w:type="dxa"/>
            <w:vAlign w:val="center"/>
          </w:tcPr>
          <w:p>
            <w:pPr>
              <w:jc w:val="left"/>
            </w:pPr>
            <w:r>
              <w:rPr>
                <w:rFonts w:ascii="宋体" w:hAnsi="宋体" w:eastAsia="宋体" w:cs="宋体"/>
                <w:b w:val="0"/>
                <w:i w:val="0"/>
                <w:color w:val="000000"/>
                <w:sz w:val="25"/>
              </w:rPr>
              <w:t>城乡社区环境卫生</w:t>
            </w:r>
          </w:p>
        </w:tc>
        <w:tc>
          <w:tcPr>
            <w:tcW w:w="2700" w:type="dxa"/>
            <w:vAlign w:val="center"/>
          </w:tcPr>
          <w:p>
            <w:pPr>
              <w:jc w:val="right"/>
            </w:pPr>
            <w:r>
              <w:rPr>
                <w:rFonts w:ascii="宋体" w:hAnsi="宋体" w:eastAsia="宋体" w:cs="宋体"/>
                <w:b w:val="0"/>
                <w:i w:val="0"/>
                <w:color w:val="000000"/>
                <w:sz w:val="25"/>
              </w:rPr>
              <w:t>4,129.62</w:t>
            </w:r>
          </w:p>
        </w:tc>
        <w:tc>
          <w:tcPr>
            <w:tcW w:w="2700" w:type="dxa"/>
            <w:vAlign w:val="center"/>
          </w:tcPr>
          <w:p>
            <w:pPr>
              <w:jc w:val="right"/>
            </w:pPr>
            <w:r>
              <w:rPr>
                <w:rFonts w:ascii="宋体" w:hAnsi="宋体" w:eastAsia="宋体" w:cs="宋体"/>
                <w:b w:val="0"/>
                <w:i w:val="0"/>
                <w:color w:val="000000"/>
                <w:sz w:val="25"/>
              </w:rPr>
              <w:t>3,763.90</w:t>
            </w:r>
          </w:p>
        </w:tc>
        <w:tc>
          <w:tcPr>
            <w:tcW w:w="2658" w:type="dxa"/>
            <w:vAlign w:val="center"/>
          </w:tcPr>
          <w:p>
            <w:pPr>
              <w:jc w:val="right"/>
            </w:pPr>
            <w:r>
              <w:rPr>
                <w:rFonts w:ascii="宋体" w:hAnsi="宋体" w:eastAsia="宋体" w:cs="宋体"/>
                <w:b w:val="0"/>
                <w:i w:val="0"/>
                <w:color w:val="000000"/>
                <w:sz w:val="25"/>
              </w:rPr>
              <w:t>365.71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9.15</w:t>
            </w:r>
          </w:p>
        </w:tc>
        <w:tc>
          <w:tcPr>
            <w:tcW w:w="2700" w:type="dxa"/>
            <w:vAlign w:val="center"/>
          </w:tcPr>
          <w:p>
            <w:pPr>
              <w:jc w:val="right"/>
            </w:pPr>
            <w:r>
              <w:rPr>
                <w:rFonts w:ascii="宋体" w:hAnsi="宋体" w:eastAsia="宋体" w:cs="宋体"/>
                <w:b w:val="0"/>
                <w:i w:val="0"/>
                <w:color w:val="000000"/>
                <w:sz w:val="25"/>
              </w:rPr>
              <w:t>0.90</w:t>
            </w:r>
          </w:p>
        </w:tc>
        <w:tc>
          <w:tcPr>
            <w:tcW w:w="2658" w:type="dxa"/>
            <w:vAlign w:val="center"/>
          </w:tcPr>
          <w:p>
            <w:pPr>
              <w:jc w:val="right"/>
            </w:pPr>
            <w:r>
              <w:rPr>
                <w:rFonts w:ascii="宋体" w:hAnsi="宋体" w:eastAsia="宋体" w:cs="宋体"/>
                <w:b w:val="0"/>
                <w:i w:val="0"/>
                <w:color w:val="000000"/>
                <w:sz w:val="25"/>
              </w:rPr>
              <w:t>8.25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21303</w:t>
            </w:r>
          </w:p>
        </w:tc>
        <w:tc>
          <w:tcPr>
            <w:tcW w:w="4700" w:type="dxa"/>
            <w:vAlign w:val="center"/>
          </w:tcPr>
          <w:p>
            <w:pPr>
              <w:jc w:val="left"/>
            </w:pPr>
            <w:r>
              <w:rPr>
                <w:rFonts w:ascii="宋体" w:hAnsi="宋体" w:eastAsia="宋体" w:cs="宋体"/>
                <w:b w:val="0"/>
                <w:i w:val="0"/>
                <w:color w:val="000000"/>
                <w:sz w:val="25"/>
              </w:rPr>
              <w:t>水利</w:t>
            </w:r>
          </w:p>
        </w:tc>
        <w:tc>
          <w:tcPr>
            <w:tcW w:w="2700" w:type="dxa"/>
            <w:vAlign w:val="center"/>
          </w:tcPr>
          <w:p>
            <w:pPr>
              <w:jc w:val="right"/>
            </w:pPr>
            <w:r>
              <w:rPr>
                <w:rFonts w:ascii="宋体" w:hAnsi="宋体" w:eastAsia="宋体" w:cs="宋体"/>
                <w:b w:val="0"/>
                <w:i w:val="0"/>
                <w:color w:val="000000"/>
                <w:sz w:val="25"/>
              </w:rPr>
              <w:t>6.00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2130399</w:t>
            </w:r>
          </w:p>
        </w:tc>
        <w:tc>
          <w:tcPr>
            <w:tcW w:w="4700" w:type="dxa"/>
            <w:vAlign w:val="center"/>
          </w:tcPr>
          <w:p>
            <w:pPr>
              <w:jc w:val="left"/>
            </w:pPr>
            <w:r>
              <w:rPr>
                <w:rFonts w:ascii="宋体" w:hAnsi="宋体" w:eastAsia="宋体" w:cs="宋体"/>
                <w:b w:val="0"/>
                <w:i w:val="0"/>
                <w:color w:val="000000"/>
                <w:sz w:val="25"/>
              </w:rPr>
              <w:t>其他水利支出</w:t>
            </w:r>
          </w:p>
        </w:tc>
        <w:tc>
          <w:tcPr>
            <w:tcW w:w="2700" w:type="dxa"/>
            <w:vAlign w:val="center"/>
          </w:tcPr>
          <w:p>
            <w:pPr>
              <w:jc w:val="right"/>
            </w:pPr>
            <w:r>
              <w:rPr>
                <w:rFonts w:ascii="宋体" w:hAnsi="宋体" w:eastAsia="宋体" w:cs="宋体"/>
                <w:b w:val="0"/>
                <w:i w:val="0"/>
                <w:color w:val="000000"/>
                <w:sz w:val="25"/>
              </w:rPr>
              <w:t>6.00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3.15</w:t>
            </w:r>
          </w:p>
        </w:tc>
        <w:tc>
          <w:tcPr>
            <w:tcW w:w="2700" w:type="dxa"/>
            <w:vAlign w:val="center"/>
          </w:tcPr>
          <w:p>
            <w:pPr>
              <w:jc w:val="right"/>
            </w:pPr>
            <w:r>
              <w:rPr>
                <w:rFonts w:ascii="宋体" w:hAnsi="宋体" w:eastAsia="宋体" w:cs="宋体"/>
                <w:b w:val="0"/>
                <w:i w:val="0"/>
                <w:color w:val="000000"/>
                <w:sz w:val="25"/>
              </w:rPr>
              <w:t>0.90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0.90</w:t>
            </w:r>
          </w:p>
        </w:tc>
        <w:tc>
          <w:tcPr>
            <w:tcW w:w="2700" w:type="dxa"/>
            <w:vAlign w:val="center"/>
          </w:tcPr>
          <w:p>
            <w:pPr>
              <w:jc w:val="right"/>
            </w:pPr>
            <w:r>
              <w:rPr>
                <w:rFonts w:ascii="宋体" w:hAnsi="宋体" w:eastAsia="宋体" w:cs="宋体"/>
                <w:b w:val="0"/>
                <w:i w:val="0"/>
                <w:color w:val="000000"/>
                <w:sz w:val="25"/>
              </w:rPr>
              <w:t>0.90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397.88</w:t>
            </w:r>
          </w:p>
        </w:tc>
        <w:tc>
          <w:tcPr>
            <w:tcW w:w="2700" w:type="dxa"/>
            <w:vAlign w:val="center"/>
          </w:tcPr>
          <w:p>
            <w:pPr>
              <w:jc w:val="right"/>
            </w:pPr>
            <w:r>
              <w:rPr>
                <w:rFonts w:ascii="宋体" w:hAnsi="宋体" w:eastAsia="宋体" w:cs="宋体"/>
                <w:b w:val="0"/>
                <w:i w:val="0"/>
                <w:color w:val="000000"/>
                <w:sz w:val="25"/>
              </w:rPr>
              <w:t>397.88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397.88</w:t>
            </w:r>
          </w:p>
        </w:tc>
        <w:tc>
          <w:tcPr>
            <w:tcW w:w="2700" w:type="dxa"/>
            <w:vAlign w:val="center"/>
          </w:tcPr>
          <w:p>
            <w:pPr>
              <w:jc w:val="right"/>
            </w:pPr>
            <w:r>
              <w:rPr>
                <w:rFonts w:ascii="宋体" w:hAnsi="宋体" w:eastAsia="宋体" w:cs="宋体"/>
                <w:b w:val="0"/>
                <w:i w:val="0"/>
                <w:color w:val="000000"/>
                <w:sz w:val="25"/>
              </w:rPr>
              <w:t>397.88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397.88</w:t>
            </w:r>
          </w:p>
        </w:tc>
        <w:tc>
          <w:tcPr>
            <w:tcW w:w="2700" w:type="dxa"/>
            <w:vAlign w:val="center"/>
          </w:tcPr>
          <w:p>
            <w:pPr>
              <w:jc w:val="right"/>
            </w:pPr>
            <w:r>
              <w:rPr>
                <w:rFonts w:ascii="宋体" w:hAnsi="宋体" w:eastAsia="宋体" w:cs="宋体"/>
                <w:b w:val="0"/>
                <w:i w:val="0"/>
                <w:color w:val="000000"/>
                <w:sz w:val="25"/>
              </w:rPr>
              <w:t>397.88</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部门：许昌市城市管理局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7,781.44</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493.03</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1,793.69</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83.05</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2,064.31</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9.16</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2,213.80</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2.86</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4.53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592.25</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0.55</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4.40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415.95</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9.07</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13.96</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204.48</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4.49</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75.85</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3.77</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18.50</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24.09</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397.88</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47.69</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4.72</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10.86</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1,631.94</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2.03</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1.25</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1,504.95</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1.81</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7.42</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71.46</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24.83</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3.75</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2.00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11.17</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39.18</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26.40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44.98</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37.61</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104.67</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2.31</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0.20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29.41</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9,413.38</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497.56</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部门：许昌市城市管理局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部门：许昌市城市管理局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部门：许昌市城市管理局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39.42</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37.61</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37.61</w:t>
            </w:r>
          </w:p>
        </w:tc>
        <w:tc>
          <w:tcPr>
            <w:tcW w:w="1160" w:type="dxa"/>
            <w:vAlign w:val="center"/>
          </w:tcPr>
          <w:p>
            <w:pPr>
              <w:jc w:val="right"/>
            </w:pPr>
            <w:r>
              <w:rPr>
                <w:rFonts w:ascii="宋体" w:hAnsi="宋体" w:eastAsia="宋体" w:cs="宋体"/>
                <w:b w:val="0"/>
                <w:i w:val="0"/>
                <w:color w:val="000000"/>
                <w:sz w:val="17"/>
              </w:rPr>
              <w:t>1.81</w:t>
            </w:r>
          </w:p>
        </w:tc>
        <w:tc>
          <w:tcPr>
            <w:tcW w:w="1160" w:type="dxa"/>
            <w:vAlign w:val="center"/>
          </w:tcPr>
          <w:p>
            <w:pPr>
              <w:jc w:val="right"/>
            </w:pPr>
            <w:r>
              <w:rPr>
                <w:rFonts w:ascii="宋体" w:hAnsi="宋体" w:eastAsia="宋体" w:cs="宋体"/>
                <w:b w:val="0"/>
                <w:i w:val="0"/>
                <w:color w:val="000000"/>
                <w:sz w:val="17"/>
              </w:rPr>
              <w:t>39.42</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37.61</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37.61</w:t>
            </w:r>
          </w:p>
        </w:tc>
        <w:tc>
          <w:tcPr>
            <w:tcW w:w="1198" w:type="dxa"/>
            <w:vAlign w:val="center"/>
          </w:tcPr>
          <w:p>
            <w:pPr>
              <w:jc w:val="right"/>
            </w:pPr>
            <w:r>
              <w:rPr>
                <w:rFonts w:ascii="宋体" w:hAnsi="宋体" w:eastAsia="宋体" w:cs="宋体"/>
                <w:b w:val="0"/>
                <w:i w:val="0"/>
                <w:color w:val="000000"/>
                <w:sz w:val="17"/>
              </w:rPr>
              <w:t>1.81</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bookmarkStart w:id="0" w:name="_GoBack"/>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2023年度收、支总计均为16793.94万元。与上年度相比，收、支总计各减少5080.55万元，下降23.23%。主要原因是项目经费减少。</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15458.85万元，其中：财政拨款收入15457.77万元，占99.99%；上级补助收入0.00万元，占0.00%；事业收入0.00万元，占0.00%；经营收入0.00万元，占0.00%；附属单位上缴收入0.00万元，占0.00%；其他收入1.08万元，占0.01%</w:t>
      </w:r>
      <w:r>
        <w:rPr>
          <w:rFonts w:hint="eastAsia" w:ascii="仿宋" w:hAnsi="仿宋" w:eastAsia="仿宋" w:cs="仿宋"/>
          <w:kern w:val="0"/>
          <w:sz w:val="32"/>
          <w:szCs w:val="32"/>
          <w:lang w:val="en-US" w:eastAsia="zh-CN"/>
        </w:rPr>
        <w:t>。</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2023年度支出合计16749.68万元，其中：基本支出9911.11万元，占59.17%；项目支出6838.57万元，占40.83%；上缴上级支出0.00万元，占0.00%；经营支出0.00万元，占0.00%；对附属单位补助支出0.00万元，占0.00%</w:t>
      </w:r>
      <w:r>
        <w:rPr>
          <w:rFonts w:hint="eastAsia" w:ascii="仿宋" w:hAnsi="仿宋" w:eastAsia="仿宋" w:cs="仿宋"/>
          <w:kern w:val="0"/>
          <w:sz w:val="32"/>
          <w:szCs w:val="32"/>
          <w:lang w:val="en-US" w:eastAsia="zh-CN"/>
        </w:rPr>
        <w:t>。</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2023年度财政拨款收、支总计均为16749.51万元。与上年度相比，财政拨款收、支总计各减少5081.15万元，下降23.28%。主要原因是项目经费减少。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2023年度一般公共预算财政拨款支出16749.51万元，占支出合计的100.00%。与上年度相比，一般公共预算财政拨款支出减少5081.15万元，下降23.28%。主要原因是项目经费减少。</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16749.51万元，主要用于以下方面：一般公共服务支出（类）2172.59万元，占12.97%；社会保障和就业支出（类）1987.88万元，占11.87%；卫生健康支出（类）280.51万元，占1.67%；节能环保支出（类）3513.14万元，占20.97%；城乡社区支出（类）8388.35万元，占50.08%；农林水支出（类）9.15万元，占0.05%；住房保障支出（类）397.88万元，占2.39%</w:t>
      </w:r>
      <w:r>
        <w:rPr>
          <w:rFonts w:hint="eastAsia" w:ascii="仿宋" w:hAnsi="仿宋" w:eastAsia="仿宋" w:cs="仿宋"/>
          <w:kern w:val="0"/>
          <w:sz w:val="32"/>
          <w:szCs w:val="32"/>
          <w:lang w:val="en-US" w:eastAsia="zh-CN"/>
        </w:rPr>
        <w:t>。</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2023年度一般公共预算财政拨款支出年初预算为12508.86万元，支出决算为16749.51万元，完成年初预算的133.90%。其中：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1.一般公共服务支出（类）人大事务（款）行政运行（项）</w:t>
      </w:r>
      <w:r>
        <w:rPr>
          <w:rFonts w:hint="default" w:ascii="仿宋" w:hAnsi="仿宋" w:eastAsia="仿宋" w:cs="仿宋"/>
          <w:kern w:val="0"/>
          <w:sz w:val="32"/>
          <w:szCs w:val="32"/>
          <w:lang w:val="en-US" w:eastAsia="zh-CN"/>
        </w:rPr>
        <w:t>年初预算数为2001.90万元，决算数1753.02万元,完成年初预算的87.57%，决算数与年初预算数存在差异的主要原因是在职人员转退休，支出经费减少。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0"/>
          <w:sz w:val="32"/>
          <w:szCs w:val="32"/>
          <w:lang w:val="en-US" w:eastAsia="zh-CN"/>
        </w:rPr>
        <w:t>年初预算数为39.18万元，决算数39.18万元,完成年初预算的100.00%，决算数与年初预算数不存在差异。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0"/>
          <w:sz w:val="32"/>
          <w:szCs w:val="32"/>
          <w:lang w:val="en-US" w:eastAsia="zh-CN"/>
        </w:rPr>
        <w:t>年初预算数为0.00万元，决算数380.39万元,决算数与年初预算数存在差异的主要原因是财政拨入2021年度平安建设奖未列入年初部门预算。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4.社会保障和就业支出（类）行政事业单位养老支出（款）行政单位离退休（项）</w:t>
      </w:r>
      <w:r>
        <w:rPr>
          <w:rFonts w:hint="default" w:ascii="仿宋" w:hAnsi="仿宋" w:eastAsia="仿宋" w:cs="仿宋"/>
          <w:kern w:val="0"/>
          <w:sz w:val="32"/>
          <w:szCs w:val="32"/>
          <w:lang w:val="en-US" w:eastAsia="zh-CN"/>
        </w:rPr>
        <w:t>年初预算数为295.90万元，决算数361.07万元,完成年初预算的122.02%，决算数与年初预算数存在差异的主要原因是新增在职人员转退休，支出经费增加。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5.社会保障和就业支出（类）行政事业单位养老支出（款）事业单位离退休（项）</w:t>
      </w:r>
      <w:r>
        <w:rPr>
          <w:rFonts w:hint="default" w:ascii="仿宋" w:hAnsi="仿宋" w:eastAsia="仿宋" w:cs="仿宋"/>
          <w:kern w:val="0"/>
          <w:sz w:val="32"/>
          <w:szCs w:val="32"/>
          <w:lang w:val="en-US" w:eastAsia="zh-CN"/>
        </w:rPr>
        <w:t>年初预算数为1137.80万元，决算数1146.19万元,完成年初预算的100.74%，决算数与年初预算数存在差异的主要原因是新增在职人员转退休，支出经费增加。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年初预算数为425.30万元，决算数409.17万元,完成年初预算的96.21%，决算数与年初预算数存在差异的主要原因是在职人员转退休、在职人员死亡，支出经费减少。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7.社会保障和就业支出（类）抚恤（款）死亡抚恤（项）</w:t>
      </w:r>
      <w:r>
        <w:rPr>
          <w:rFonts w:hint="default" w:ascii="仿宋" w:hAnsi="仿宋" w:eastAsia="仿宋" w:cs="仿宋"/>
          <w:kern w:val="0"/>
          <w:sz w:val="32"/>
          <w:szCs w:val="32"/>
          <w:lang w:val="en-US" w:eastAsia="zh-CN"/>
        </w:rPr>
        <w:t>年初预算数为0.00万元，决算数71.46万元,决算数与年初预算数存在差异的主要原因是在职和退休人员死亡，追加的丧葬费、抚恤金。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8.卫生健康支出（类）行政事业单位医疗（款）行政单位医疗（项）</w:t>
      </w:r>
      <w:r>
        <w:rPr>
          <w:rFonts w:hint="default" w:ascii="仿宋" w:hAnsi="仿宋" w:eastAsia="仿宋" w:cs="仿宋"/>
          <w:kern w:val="0"/>
          <w:sz w:val="32"/>
          <w:szCs w:val="32"/>
          <w:lang w:val="en-US" w:eastAsia="zh-CN"/>
        </w:rPr>
        <w:t>年初预算数为67.70万元，决算数65.56万元,完成年初预算的96.84%，决算数与年初预算数存在差异的主要原因是在职人员转退休、在职人员死亡，支出经费减少。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9.卫生健康支出（类）行政事业单位医疗（款）事业单位医疗（项）</w:t>
      </w:r>
      <w:r>
        <w:rPr>
          <w:rFonts w:hint="default" w:ascii="仿宋" w:hAnsi="仿宋" w:eastAsia="仿宋" w:cs="仿宋"/>
          <w:kern w:val="0"/>
          <w:sz w:val="32"/>
          <w:szCs w:val="32"/>
          <w:lang w:val="en-US" w:eastAsia="zh-CN"/>
        </w:rPr>
        <w:t>年初预算数为153.20万元，决算数139.10万元,完成年初预算的90.80%，决算数与年初预算数存在差异的主要原因是在职人员转退休、在职人员死亡，支出经费减少。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10.卫生健康支出（类）行政事业单位医疗（款）公务员医疗补助（项）</w:t>
      </w:r>
      <w:r>
        <w:rPr>
          <w:rFonts w:hint="default" w:ascii="仿宋" w:hAnsi="仿宋" w:eastAsia="仿宋" w:cs="仿宋"/>
          <w:kern w:val="0"/>
          <w:sz w:val="32"/>
          <w:szCs w:val="32"/>
          <w:lang w:val="en-US" w:eastAsia="zh-CN"/>
        </w:rPr>
        <w:t>年初预算数为84.10万元，决算数75.85万元,完成年初预算的90.19%，决算数与年初预算数存在差异的主要原因是在职人员转退休、在职人员死亡，支出经费减少。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11.节能环保支出（类）污染防治（款）大气（项）</w:t>
      </w:r>
      <w:r>
        <w:rPr>
          <w:rFonts w:hint="default" w:ascii="仿宋" w:hAnsi="仿宋" w:eastAsia="仿宋" w:cs="仿宋"/>
          <w:kern w:val="0"/>
          <w:sz w:val="32"/>
          <w:szCs w:val="32"/>
          <w:lang w:val="en-US" w:eastAsia="zh-CN"/>
        </w:rPr>
        <w:t>年初预算数为0.00万元，决算数8.90万元,决算数与年初预算数存在差异的主要原因是新增项目资金。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12.节能环保支出（类）污染防治（款）其他污染防治支出（项）</w:t>
      </w:r>
      <w:r>
        <w:rPr>
          <w:rFonts w:hint="default" w:ascii="仿宋" w:hAnsi="仿宋" w:eastAsia="仿宋" w:cs="仿宋"/>
          <w:kern w:val="0"/>
          <w:sz w:val="32"/>
          <w:szCs w:val="32"/>
          <w:lang w:val="en-US" w:eastAsia="zh-CN"/>
        </w:rPr>
        <w:t>年初预算数为0.00万元，决算数825.62万元,决算数与年初预算数存在差异的主要原因是财政拨入餐厨垃圾收运处置补贴费用未列入年初预算。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13.节能环保支出（类）能源管理事务（款）其他能源管理事务支出（项）</w:t>
      </w:r>
      <w:r>
        <w:rPr>
          <w:rFonts w:hint="default" w:ascii="仿宋" w:hAnsi="仿宋" w:eastAsia="仿宋" w:cs="仿宋"/>
          <w:kern w:val="0"/>
          <w:sz w:val="32"/>
          <w:szCs w:val="32"/>
          <w:lang w:val="en-US" w:eastAsia="zh-CN"/>
        </w:rPr>
        <w:t>年初预算数为0.00万元，决算数1782.84万元,决算数与年初预算数存在差异的主要原因是财政拨入生活垃圾焚烧补贴费用未列入年初预算。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14.节能环保支出（类）其他节能环保支出（款）其他节能环保支出（项）</w:t>
      </w:r>
      <w:r>
        <w:rPr>
          <w:rFonts w:hint="default" w:ascii="仿宋" w:hAnsi="仿宋" w:eastAsia="仿宋" w:cs="仿宋"/>
          <w:kern w:val="0"/>
          <w:sz w:val="32"/>
          <w:szCs w:val="32"/>
          <w:lang w:val="en-US" w:eastAsia="zh-CN"/>
        </w:rPr>
        <w:t>年初预算数为0.00万元，决算数895.79万元,决算数与年初预算数存在差异的主要原因是财政拨入市区公共自行车交通系统费用未列入年初预算。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15.城乡社区支出（类）城乡社区管理事务（款）行政运行（项）</w:t>
      </w:r>
      <w:r>
        <w:rPr>
          <w:rFonts w:hint="default" w:ascii="仿宋" w:hAnsi="仿宋" w:eastAsia="仿宋" w:cs="仿宋"/>
          <w:kern w:val="0"/>
          <w:sz w:val="32"/>
          <w:szCs w:val="32"/>
          <w:lang w:val="en-US" w:eastAsia="zh-CN"/>
        </w:rPr>
        <w:t>年初预算数为380.10万元，决算数563.79万元,完成年初预算的148.33%，决算数与年初预算数存在差异的主要原因是2021年-2022年未休假补贴及2022年平安建设奖等奖金未列入年初预算。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16.城乡社区支出（类）城乡社区管理事务（款）一般行政管理事务（项）</w:t>
      </w:r>
      <w:r>
        <w:rPr>
          <w:rFonts w:hint="default" w:ascii="仿宋" w:hAnsi="仿宋" w:eastAsia="仿宋" w:cs="仿宋"/>
          <w:kern w:val="0"/>
          <w:sz w:val="32"/>
          <w:szCs w:val="32"/>
          <w:lang w:val="en-US" w:eastAsia="zh-CN"/>
        </w:rPr>
        <w:t>年初预算数为85.50万元，决算数81.23万元,完成年初预算的95.01%，决算数与年初预算数存在差异的主要原因是继续严格执行八项规定，节约预算资金使用，减少不必要的公务活动。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17.城乡社区支出（类）城乡社区管理事务（款）城管执法（项）</w:t>
      </w:r>
      <w:r>
        <w:rPr>
          <w:rFonts w:hint="default" w:ascii="仿宋" w:hAnsi="仿宋" w:eastAsia="仿宋" w:cs="仿宋"/>
          <w:kern w:val="0"/>
          <w:sz w:val="32"/>
          <w:szCs w:val="32"/>
          <w:lang w:val="en-US" w:eastAsia="zh-CN"/>
        </w:rPr>
        <w:t>年初预算数为743.70万元，决算数879.92万元,完成年初预算的118.32%，决算数与年初预算数存在差异的主要原因是部分项目经费未列入年初预算。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18.城乡社区支出（类）城乡社区公共设施（款）其他城乡社区公共设施支出（项）</w:t>
      </w:r>
      <w:r>
        <w:rPr>
          <w:rFonts w:hint="default" w:ascii="仿宋" w:hAnsi="仿宋" w:eastAsia="仿宋" w:cs="仿宋"/>
          <w:kern w:val="0"/>
          <w:sz w:val="32"/>
          <w:szCs w:val="32"/>
          <w:lang w:val="en-US" w:eastAsia="zh-CN"/>
        </w:rPr>
        <w:t>年初预算数为2796.60万元，决算数2733.79万元,完成年初预算的97.75%，决算数与年初预算数存在差异的主要原因是部分项目工程款未支付完毕。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19.城乡社区支出（类）城乡社区环境卫生（款）城乡社区环境卫生（项）</w:t>
      </w:r>
      <w:r>
        <w:rPr>
          <w:rFonts w:hint="default" w:ascii="仿宋" w:hAnsi="仿宋" w:eastAsia="仿宋" w:cs="仿宋"/>
          <w:kern w:val="0"/>
          <w:sz w:val="32"/>
          <w:szCs w:val="32"/>
          <w:lang w:val="en-US" w:eastAsia="zh-CN"/>
        </w:rPr>
        <w:t>年初预算数为3876.90万元，决算数4129.62万元,完成年初预算的106.52%，决算数与年初预算数存在差异的主要原因是2021、2022年度未休假补贴和平安建设奖未列入年初预算。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20.农林水支出（类）水利（款）其他水利支出（项）</w:t>
      </w:r>
      <w:r>
        <w:rPr>
          <w:rFonts w:hint="default" w:ascii="仿宋" w:hAnsi="仿宋" w:eastAsia="仿宋" w:cs="仿宋"/>
          <w:kern w:val="0"/>
          <w:sz w:val="32"/>
          <w:szCs w:val="32"/>
          <w:lang w:val="en-US" w:eastAsia="zh-CN"/>
        </w:rPr>
        <w:t>年初预算数为0.00万元，决算数6.00万元,决算数与年初预算数存在差异的主要原因是财政拨入2021年10月至2022年9月市区河湖水系考核奖惩款未列入年初预算。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21.农林水支出（类）巩固脱贫攻坚成果衔接乡村振兴（款）行政运行（项）</w:t>
      </w:r>
      <w:r>
        <w:rPr>
          <w:rFonts w:hint="default" w:ascii="仿宋" w:hAnsi="仿宋" w:eastAsia="仿宋" w:cs="仿宋"/>
          <w:kern w:val="0"/>
          <w:sz w:val="32"/>
          <w:szCs w:val="32"/>
          <w:lang w:val="en-US" w:eastAsia="zh-CN"/>
        </w:rPr>
        <w:t>年初预算数为0.00万元，决算数0.90万元,决算数与年初预算数存在差异的主要原因是财政拨入抽调脱贫攻坚指导组人员差旅补助未列入年初预算。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22.农林水支出（类）巩固脱贫攻坚成果衔接乡村振兴（款）一般行政管理事务（项）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年初预算数为0.00万元，决算数2.25万元,决算数与年初预算数存在差异的主要原因是财政拨入派驻第一驻村书记差旅补助未列入年初预算。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23.住房保障支出（类）住房改革支出（款）住房公积金（项）</w:t>
      </w:r>
      <w:r>
        <w:rPr>
          <w:rFonts w:hint="default" w:ascii="仿宋" w:hAnsi="仿宋" w:eastAsia="仿宋" w:cs="仿宋"/>
          <w:kern w:val="0"/>
          <w:sz w:val="32"/>
          <w:szCs w:val="32"/>
          <w:lang w:val="en-US" w:eastAsia="zh-CN"/>
        </w:rPr>
        <w:t>年初预算数为420.90万元，决算数397.88万元,完成年初预算的94.53%，决算数与年初预算数存在差异的主要原因是在职人员转退休、在职人员死亡，支出经费减少。</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9910.94万元。其中：人员经费9413.38万元，主要包括：基本工资、津贴补贴、奖金、绩效工资、机关事业单位基本养老保险缴费、职工基本医疗保险缴费、公务员医疗补助缴费、其他社会保障缴费、住房公积金、其他工资福利支出、退休费、抚恤金、生活补助、医疗费补助、奖励金、其他对个人和家庭的补助支出。公用经费497.56万元，主要包括：办公费、印刷费、咨询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2023年度“三公”经费财政拨款支出预算为39.42万元，支出决算为39.42万元，完成预算的100.00%。2023年度“三公”经费支出决算数与预算数无差异。</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37.61万元,完成预算的100.00%，占95.41%；公务接待费支出决算1.81万元，完成预算的100.00%，占4.59%。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预算为37.61万元，支出决算为37.61万元，完成预算的100.00%。决算数与预算数无差异。其中：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37.61万元。主要用于支付公务用车燃油费、维修保养费、过路过桥费、车辆保险费等支出。2023年期末，部门开支财政拨款的公务用车保有量为</w:t>
      </w:r>
      <w:r>
        <w:rPr>
          <w:rFonts w:hint="eastAsia" w:ascii="仿宋" w:hAnsi="仿宋" w:eastAsia="仿宋" w:cs="仿宋"/>
          <w:kern w:val="2"/>
          <w:sz w:val="32"/>
          <w:szCs w:val="32"/>
          <w:lang w:val="en-US" w:eastAsia="zh-CN"/>
        </w:rPr>
        <w:t>58</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预算为1.81万元，支出决算为1.81万元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1.81</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主要用于外地市城市管理部门学习、考察等公务接待。</w:t>
      </w:r>
      <w:r>
        <w:rPr>
          <w:rFonts w:hint="eastAsia" w:ascii="仿宋" w:hAnsi="仿宋" w:eastAsia="仿宋" w:cs="仿宋"/>
          <w:kern w:val="0"/>
          <w:sz w:val="32"/>
          <w:szCs w:val="32"/>
          <w:lang w:val="en-US" w:eastAsia="zh-CN"/>
        </w:rPr>
        <w:t>2023年共接待国内来访团组21个、来宾155人次（不包括陪同人员）。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2023年度机关运行经费支出253.67万元，较2022年度下降13.07万元，下降4.90%，主要原因是我部门严格执行“八项规定”，节约预算资金使用，减少不必要的公务活动，压缩三公经费开支。</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719.23万元，其中：政府采购货物支出67.25万元、政府采购工程支出392.81万元、政府采购服务支出259.17万元。授予中小企业合同金额67.25万元，占政府采购支出总额的9.35%，其中：授予小微企业合同金额0.00万元，占授予中小企业合同金额的0.00%。</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2023年期末，本部门共有车辆104辆，其中：省级领导干部用车0辆、主要领导干部用车0辆、机要通信用车3辆、应急保障车0辆、执法执勤用车38辆、特种专业技术用车46</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17辆；单价100万元（含）以上设备（不含车辆）10台（套）。财政拨款的公务用车保有量与国有资产车辆差异原因:1、许昌市城市管理局（本级）1辆其他用车为中央公园管理办公室巡逻使用的电动车辆；2、许昌市城市管理执法支队保留的5辆执法执勤车为电动执法执勤车；3、许昌市环境卫生管理处32辆车为环卫特种专业技术车辆，主要用于市中心区内环卫清扫保洁、垃圾清运、公厕保洁和垃圾填埋场生产作业等；原生活垃圾费征收管理中心合并到环卫处8辆车为执法执勤车。</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涉及预算资金16749.68万元。自评得分为99.47分，等级为“优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。从部门整体自评情况来看，我部门按照《中共许昌市委 许昌市人民政府关于全面实施预算绩效管理的实施意见》（许发〔2021〕13号）文件要求，对本部门整体支出和项目支出开展全过程预算绩效管理。2023年，我部门认真做好年度财政资金的预算编制与预算绩效目标编制工作，做到应编尽编。在资金使用和管理方面，进一步强化支出管理，明确开支范围，细化资金用途，做到“预算编制有目标、预算执行有监督”，促进绩效目标如期保质保量实现。按照年初工作任务安排，在财政资金的支持下有序开展城市管理相关工作，确保各项目标能够完成。实施的预算支出与实际需求高度相关；具有明确的绩效目标，预算资金到位及时，预算实施过程中严格按实际需要实施，具有较高的效率；预算项目的顺利实施有力的保障了我部门工作的良性开展，取得了优异的成绩，具有较好的经济效益和社会效益，实施效果较好。全年基本支出保证了部门的正常运行和日常工作的正常开展，项目支出保证了业务工作有效开展，达到预期绩效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基于项目预期目标的实现程度，我部门对2023年度部门预算项目支出（含部门参与分配的转移支付项目）开展绩效自评，涉及项目39个，项目金额8968.85万元。其中：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城市管理局-2023年城市管理综合考评奖励资金,自评得分100.00分，等级为“优”。年初预算数为0.00万元，全年预算数450.00万元，全年执行数为450.00万元，执行率为100.00%。通过激励和约束并重的调度考评机制，建立高位协调、统一高效的城市管理长效机制，用经济手段倒逼各地有关单位进一步落实部门职责，加强配合联动，形成城市管理合力，提高了城市管理水平，形成全市统筹、分级负责、责权明晰、齐抓共管的“大城管”格局。</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城市管理局-许昌市户外广告集中整治和中心城区房屋安全隐患集中整治工作奖励经费，自评得分100.00分，等级为“优”。年初预算数为0.00万元，全年预算数28.88万元，全年执行数为28.88万元，执行率为100.00%。根据《中共许昌市委 许昌市人民政府关于奖励许昌市户外广告集中整治和中心城区房屋安全隐患集中整治工作集体和个人的决定》（许文〔2022〕145号）文件要求，完成了户外广告集中整治和中心城区房屋安全隐患集中整治两项工作奖励所需奖牌、奖章、证书采购制作及奖励资金发放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许昌市城市管理局-2021年10月-2022年9月市区河湖水系考核奖惩款，自评得分为100.00分，等级为“优”。年初预算数为0.00万元，全年预算数6.00万元，全年执行数为6.00万元，执行率为100.00%。根据我市部署，结合工作，做好了河湖水系的日常管理、巡查工作；按照养护工作要求，及时清理河道，保障了环境优美。</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许昌市城市管理局-餐厨废弃物收运处置补贴，自评得分为91.94分，等级为“优”。年初预算数0.00万元，全年预算数612.51万元，全年执行数612.51万元，执行率100.00%。依据《许昌市餐厨废弃物收运处理特许经营项目协议书》，督促欧绿保公司维护运行好地磅称重、处理车间等设施，确保了中心城区餐厨废弃物及时进厂，餐厨废弃物应收尽收。在项目绩效申报时中心城区全年餐厨废弃物处置量参照2022年度实际处置量进行填报，当时考虑2023年会继续受疫情的影响，但2023年放开后，各项生产秩序逐渐正常，餐饮业迅速复苏，学校和单位不再受封控影响，工厂除2023年1月份外，全年不间断的进行收运和生产，处理量逐渐提升，基本接近满产运营，造成2023中心城区全年餐厨废弃物处置量远大于年度指标值，出现偏差较大；2023年收运处理量远超预期，经济效益同步增长，用工数量同步增加，经济效益和社会效益指标出现偏差。今后要继续修改、完善项目绩效指标值，使之更加贴合工作实际。</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许昌市城市管理局-市管区域路灯提升改造项目，自评得分为100.00分，等级为“优”。年初预算数0.00万元，全年预算数139.01万元，全年执行数139.01万元，执行率100.00%。按照《许昌市城市夜景灯饰管理办法》，对夜景亮化、路灯照明进行监管考核，加强日常巡查，保障市民夜间出行安全，方便市民夜间出行；做好夜景亮化、路灯照明设施合理配置，完善城市功能，改善城市人居环境，提高人民生活水平。</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许昌市城市管理局-2022年第三季度中央公园管养经费，自评得分为100.00分，等级为“优”。年初预算数0.00万元，全年预算数356.50万元，全年执行数356.50万元，执行率100.00%。严格按照《许昌市中央公园考评办法（试行）》，对中央公园进行监管考核，加强日常巡查频次，定期开展中央公园养护质量考评；着力提升中央公园精细化管养水平；三是督促中央公园管养单位认真做好园区安全、秩序、设施（含建筑物、构筑物、园林小品、水系景观、座椅、廊桥、道路广场、公厕、垃圾箱）和照明亮化等基础设施的监督管理工作。按照年初预算安排，完成了正常的管养经费拨付，确保了日常养护工作，有效提升了公园总体管养水平。</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许昌市城市管理局-市区公共自行车交通系统，自评得分为98.00分，等级为“优”。年初预算数0.00万元，全年预算数895.79万元，全年执行数895.79万元，执行率为100.00%。完成了对公共自行车运营进行监管考核，加强日常巡查，定期汇总考评结果；保障了市区公共自行车正常运营，为市民群众提供借还车服务及办、换、补、退业务；做好了公共自行车站点及车辆的维护管理，保障设施完好；做好了公共自行车站点间的运营调度，保障站点车辆合理配置，方便市民群众使用。因产出指标中站点车辆在桩率完成值大于年度指标值，造成产出指标产生了偏差。</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许昌市城市管理局-老干部城市管理督导团经费，自评得分为98.76分，等级为“优”。年初预算数为5.00万元，全年预算数5.00万元，全年执行数为4.98万元，执行率为99.60%。较好的完成了老干部督导团的各项工作开展。因每年撰写城市管理方面调研报告实际完成情况8篇超过年度指标值5篇，造成偏差。下一步，将根据工作实际，及时调整、合理设置年度指标值。</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许昌市城市管理局-中央公园管养经费，自评得分为92.50分，等级为“优”。年初预算数1426.00万元，全年预算数1426.00万元，全年执行数356.50万元，执行率25.00%。严格按照《许昌市中央公园考评办法（试行）》，对中央公园进行监管考核，加强日常巡查频次，定期开展中央公园养护质量考评；着力提升中央公园精细化管养水平；三是督促中央公园管养单位认真做好园区安全、秩序、设施（含建筑物、构筑物、园林小品、水系景观、座椅、廊桥、道路广场、公厕、垃圾箱）和照明亮化等基础设施的监督管理工作。按照年初预算安排，完成了正常的管养经费拨付，确保了日常养护工作，有效提升了公园总体管养水平，完成率100%。原许昌市园林绿化管理处改制，2023年重新注册改制新企业为许昌许韵园林绿化有限公司，发票开具当年额度受限，造成2023年第一至三季度管养经费未拨付，下一步将积极协调解决，尽快拨付、支付到位。</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许昌市城市管理局-许昌火车站候车楼钟表改造项目工程，自评得分为100.00分，等级为“优”。年初预算数0.00万元，全年预算数0.79万元，全年执行数0.79万元，执行率100.00%。做好了窗口建设，完善城市功能，改善城市人居环境，提高人民生活水平；定点报时功能，解决了旅客因时间不准确而耽误乘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许昌市城市管理局-大型户外党建宣传广告设置项目工程，自评得分为100.00分，等级为“优”。年初预算数0.00万元，全年预算数5.41万元，全年执行数5.41万元，执行率100.00%。根据市委、市政府领导指示要求，宣传习近平总书记新时代中国特色社会主义思想，在市区设置四处大型党建宣传牌，完成了项目年度党建宣传工作目标，提升城市整体党建氛围。</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许昌市城市管理局-生活垃圾焚烧补贴，自评得分为99.00分，等级为“优”。年初预算数0.00万元，全年预算数1782.84万元，全年执行数1782.84万元，执行率100.00%。依据《许昌市生活垃圾焚烧运营监管考核实施办法(试行)》（许城管[2020]6号），及时督促旺能公司维护运行好地磅称重、垃圾库房等设施，确保了中心城区生活垃圾及时进厂，生活垃圾应烧尽烧。因生产工艺由分灰水+水泥+螯合剂变更为飞灰水+螯合剂，飞灰处理工艺优化，减少了水泥，导致飞灰填埋量减少；又随着垃圾处置量减少，飞灰量随之减少，造成垃圾焚烧后产生飞灰填埋量减少，成本指标和效益指标产生了偏差，今后要继续完善绩效自评指标，使之更加贴合工作实际。</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许昌市城市管理执法支队-临时人员工资及社保，自评得分为97.32分，等级为“优”。年初预算数80.49万元，全年预算数80.49万元，全年执行数58.92万元，预算执行率为73.20%。该项目按照实施内容和目标进行开展，项目预算执行、产出指标、经济指标、服务对象满意度等指标完成较好，达到了预期效果，有力的保证了我单位工作业务的开展，项目的实施效果得到了实施对象的满意和认可。由于临时人员流动相较大，该项目预算执行率未达到100%。下一步我支队将加大对临时人员的人文关怀，争取100%完成预算执行数。</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14）许昌市城市管理执法支队-餐饮油烟在线监控平台(尾款)，自评得分为100.00分，等级为“优”。年初预算数0.00万元，全年预算数8.9万元，全年执行数8.9万元，预算执行率为100%。该项目按照实施内容和目标进行开展，项目预算执行、产出指标、经济指标、服务对象满意度等指标完成较好，达到了预期效果，有力的保证了我单位餐饮油烟工作业务的开展，项目的实施效果得到了实施对象的满意和认可。下一步我支队将加大对餐饮门店的检查力度，致力于餐饮油烟达标排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15）许昌市城市管理执法支队-毓秀路街景整治提升项目(尾款)，自评得分为100分，等级为“优”。年初预算数0万元，全年预算数17.33万元，全年执行数17.33万元，预算执行率为100%。该项目按照实施内容和目标进行开展，项目预算执行、产出指标、经济指标、服务对象满意度等指标完成较好，达到了预期效果，有力的保证了我市的市容市貌，项目的实施效果得到了实施对象的满意和认可。下一步我支队将加大对沿街门店的治理，努力打造美丽许昌。</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16）许昌市环境卫生管理处-生活垃圾填埋场运行经费，自评得分为95.13分，等级为“优”。年初预算数192.6万元，全年预算数251.58万元，全年执行数225.9万元。主要实施内容及目标为：更换垃圾渗滤液设备滤膜1套；保障市中心区、魏都区、东城区垃圾填埋；市中心区粪便处理及所产生的污水处理；魏都区东城区开发区部分粪便处理及所产生的污水处理等;保障垃圾焚烧后产生的飞灰填埋工作。保障我市香山公园绿化管养、巡山安全等工作支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17）许昌市环境卫生管理处-2020年环卫专用车辆购置质保金，自评得分为100分，等级为“优”。年初预算数52.26万元，全年预算数52.26万元，全年执行数52.26万元。主要实施内容及目标为：购置环卫专用车辆6辆；提高环卫工人工作效率，保障环境卫生工作高质量开展。提高新能源环卫作业车辆使用，增加环卫机械化作业能力。</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18）许昌市环境卫生管理处-2020年生活垃圾填埋场购置垃圾渗滤液设备质保金，自评得分为100分，等级为“优”。年初预算52.5万元，全年预算数52.5万元，全年执行数52.5万元。主要实施内容及目标为：有效保障垃圾渗滤液的无害化处理工作、避免了垃圾渗滤液的环境污染事件、更换原老旧设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19）许昌市环境卫生管理处-2021年昌盛街、健康巷两座公厕修建工程款及前期费用，自评得分为100分，等级为“优”。年初预算数29.56万元，全年预算数29.56万元，全年执行数29.56万元。主要实施内容及目标为：提升城市窗口形象、完善城市公共服务设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20）许昌市环境卫生管理处-2021年火车站新建公厕质保金，自评得分为100分，等级为“优”。年初预算数5.49万元，全年预算数5.49万元，全年执行数5.49万元。主要实施内容及目标为：提升城市窗口形象、完善城市公共服务设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21）许昌市数字化城市管理中心-12345政务服务热线运营维护费,自评得分为99.98分，等级为“优”。及时受理市民群众12345热线诉求，全天候受理、解答、转办群众的咨询、求助、投诉、举报、建议，产出指标、效益指标、满意度指标均完成良好。资金落实到位情况良好，管理制度健全，制度执行有效，绩效目标完成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许昌市数字化城市管理中心-聘用第三方采集市容信息专项经费,自评得分为94.28分，等级为“优”。按照城市事、部件管理标准，进行城市管理案件的采集，保证了城市管理问题的及时发现和全面处置，产出指标、效益指标、满意度指标均完成良好。资金落实到位情况良好，管理制度健全，制度执行有效，绩效目标完成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23）许昌市数字化城市管理中心-网络运营年费,自评得分为100分，等级为“优”。数字城管光纤电路和移动手持终端满足系统正常使用，保障了数字城管正常运行，提升了问题处置效率，产出指标、效益指标、满意度指标均完成良好。资金落实到位情况良好，管理制度健全，制度执行有效，绩效目标完成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24）许昌市数字化城市管理中心-2022年窨井设施专项整治第一批奖补资金，自评得分为99.41分，等级为“优”。实现对窨井设施安全状况的实时监测和预警，打造感知数据驱动的智能高效管理模式，产出指标、效益指标、满意度指标均完成良好。资金落实到位情况良好，管理制度健全，制度执行有效，绩效目标完成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（25）许昌市园林绿化中心-2022年安全隐患排除项目，自评得分为98.50分，等级为“优”，预算执行率100%，项目已按目标实施完成。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（26）许昌市园林绿化中心-2022年第四季度市管区域公共绿地管养经费项目，自评得分为98.43分，自评结果为“优”，预算执行率100%，项目已按目标实施完成。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（27）许昌市园林绿化中心-2022年第三季度市管区域公共绿地管养经费项目，自评得分为99.25分，自评结果为“优”，预算执行率100%，项目已按目标实施完成。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（28）许昌市园林绿化中心-2022年市管区域道路游园提升5个项目前期费用，自评得分为100分，自评结果为“优”，预算执行率100%，项目已按目标实施完成。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（29）许昌市园林绿化中心-2022年市管区域口袋公园建设项目，自评得分为78.50分，自评结果为“良”，预算执行率0%，项目已按目标实施完成，由于中标单位财务原因未提供支付手续，未完成项目款支付。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（30）许昌市园林绿化中心-2022年望田路（毓秀路—文博路）提升项目，自评得分为98.5分，自评结果为“优”，预算执行率100%，项目已按目标实施完成。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（31）许昌市园林绿化中心-2022年新兴路（京广铁路—清潩河）绿化带提升项目，自评得分为98.5分，自评结果为“优”，预算执行率100%，项目已按目标实施完成。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（32）许昌市园林绿化中心-2022年中立交南北游园提升改造项目，自评得分为98.5分，自评结果为“优”，预算执行率100%，项目已按目标实施完成。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（33）许昌市园林绿化中心-2023年文峰路（八一路—许由路）分车绿化带提升改造工程方案规划编制费用项目，自评得分为100分，自评结果为“优”，预算执行率100%，项目已按目标实施完成。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（34）许昌市园林绿化中心-2017年许昌市中心区道路游园广场绿化提升工程（二标）项目，自评得分为99分，自评结果为“优”，预算执行率100%，项目已按目标实施完成。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（35）许昌市园林绿化中心-2017年中心区文峰广场滨河广场应急避险场所设施完善工程（一期）项目，自评得分为99.5分，自评结果为“优”，预算执行率100%，项目已按目标实施完成。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（36）许昌市园林绿化中心-2019年市管区域立体绿化建设和绿满大地项目，自评得分为99分，自评结果为“优”，预算执行率100%，项目已按目标实施完成。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（37）许昌市园林绿化中心-2020年市管区域立体绿化工程项目，自评得分为100分，自评结果为“优”，预算执行率100%，项目已按目标实施完成。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（38）许昌市园林绿化中心-2021年毓秀路综合整治提升工程（园林绿化）20%进度款项目，自评得分为99分，自评结果为“优”，预算执行率100%，项目已按目标实施完成。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39）许昌市园林绿化中心-2023年市管区域公共绿地管养经费项目，自评得分为92.89分，自评结果为“优”，预算执行率43.92%，项目已按目标实施完成。根据项目实施进度，对2023年第一、第二季度市管区域公共绿地管养经费进行支付，2023年第三、第四季度市管区域公共绿地管养经费2024年度支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39个项目分别按照实施内容和目标进行开展，全部执行完毕，项目预算执行、产出指标、经济指标、服务对象满意度等指标完成较好，达到了预期效果，有力的保证了我单位工作业务的开展，项目的实施效果得到了实施对象的满意和认可。</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bookmarkEnd w:id="0"/>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5" w:type="dxa"/>
          <w:bottom w:w="0" w:type="dxa"/>
          <w:right w:w="15" w:type="dxa"/>
        </w:tblCellMar>
      </w:tblPr>
      <w:tblGrid>
        <w:gridCol w:w="892"/>
        <w:gridCol w:w="376"/>
        <w:gridCol w:w="566"/>
        <w:gridCol w:w="674"/>
        <w:gridCol w:w="1121"/>
        <w:gridCol w:w="805"/>
        <w:gridCol w:w="1207"/>
        <w:gridCol w:w="598"/>
        <w:gridCol w:w="900"/>
        <w:gridCol w:w="32"/>
        <w:gridCol w:w="702"/>
        <w:gridCol w:w="1056"/>
        <w:gridCol w:w="775"/>
        <w:gridCol w:w="1034"/>
        <w:gridCol w:w="32"/>
        <w:gridCol w:w="1045"/>
        <w:gridCol w:w="874"/>
        <w:gridCol w:w="32"/>
        <w:gridCol w:w="525"/>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40" w:hRule="atLeast"/>
        </w:trPr>
        <w:tc>
          <w:tcPr>
            <w:tcW w:w="892" w:type="dxa"/>
            <w:shd w:val="clear" w:color="auto" w:fill="auto"/>
            <w:noWrap w:val="0"/>
            <w:vAlign w:val="center"/>
          </w:tcPr>
          <w:p>
            <w:pPr>
              <w:pStyle w:val="10"/>
              <w:kinsoku/>
              <w:autoSpaceDE/>
              <w:autoSpaceDN w:val="0"/>
              <w:jc w:val="left"/>
              <w:textAlignment w:val="center"/>
              <w:rPr>
                <w:rFonts w:hint="default" w:ascii="方正黑体_GBK" w:hAnsi="宋体"/>
                <w:b w:val="0"/>
                <w:i w:val="0"/>
                <w:snapToGrid/>
                <w:color w:val="000000"/>
                <w:sz w:val="22"/>
                <w:u w:val="none"/>
              </w:rPr>
            </w:pPr>
            <w:r>
              <w:rPr>
                <w:rFonts w:hint="default" w:ascii="方正黑体_GBK" w:hAnsi="宋体"/>
                <w:b w:val="0"/>
                <w:i w:val="0"/>
                <w:snapToGrid/>
                <w:color w:val="000000"/>
                <w:sz w:val="22"/>
                <w:u w:val="none"/>
              </w:rPr>
              <w:t>附件2</w:t>
            </w:r>
          </w:p>
        </w:tc>
        <w:tc>
          <w:tcPr>
            <w:tcW w:w="376" w:type="dxa"/>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24"/>
                <w:u w:val="none"/>
                <w:lang w:eastAsia="zh-CN"/>
              </w:rPr>
            </w:pPr>
          </w:p>
        </w:tc>
        <w:tc>
          <w:tcPr>
            <w:tcW w:w="566" w:type="dxa"/>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24"/>
                <w:u w:val="none"/>
                <w:lang w:eastAsia="zh-CN"/>
              </w:rPr>
            </w:pPr>
          </w:p>
        </w:tc>
        <w:tc>
          <w:tcPr>
            <w:tcW w:w="674" w:type="dxa"/>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24"/>
                <w:u w:val="none"/>
                <w:lang w:eastAsia="zh-CN"/>
              </w:rPr>
            </w:pPr>
          </w:p>
        </w:tc>
        <w:tc>
          <w:tcPr>
            <w:tcW w:w="1121" w:type="dxa"/>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24"/>
                <w:u w:val="none"/>
                <w:lang w:eastAsia="zh-CN"/>
              </w:rPr>
            </w:pPr>
          </w:p>
        </w:tc>
        <w:tc>
          <w:tcPr>
            <w:tcW w:w="805" w:type="dxa"/>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24"/>
                <w:u w:val="none"/>
                <w:lang w:eastAsia="zh-CN"/>
              </w:rPr>
            </w:pPr>
          </w:p>
        </w:tc>
        <w:tc>
          <w:tcPr>
            <w:tcW w:w="1207" w:type="dxa"/>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24"/>
                <w:u w:val="none"/>
                <w:lang w:eastAsia="zh-CN"/>
              </w:rPr>
            </w:pPr>
          </w:p>
        </w:tc>
        <w:tc>
          <w:tcPr>
            <w:tcW w:w="598" w:type="dxa"/>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24"/>
                <w:u w:val="none"/>
                <w:lang w:eastAsia="zh-CN"/>
              </w:rPr>
            </w:pPr>
          </w:p>
        </w:tc>
        <w:tc>
          <w:tcPr>
            <w:tcW w:w="932" w:type="dxa"/>
            <w:gridSpan w:val="2"/>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24"/>
                <w:u w:val="none"/>
                <w:lang w:eastAsia="zh-CN"/>
              </w:rPr>
            </w:pPr>
          </w:p>
        </w:tc>
        <w:tc>
          <w:tcPr>
            <w:tcW w:w="702" w:type="dxa"/>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24"/>
                <w:u w:val="none"/>
                <w:lang w:eastAsia="zh-CN"/>
              </w:rPr>
            </w:pPr>
          </w:p>
        </w:tc>
        <w:tc>
          <w:tcPr>
            <w:tcW w:w="1056" w:type="dxa"/>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24"/>
                <w:u w:val="none"/>
                <w:lang w:eastAsia="zh-CN"/>
              </w:rPr>
            </w:pPr>
          </w:p>
        </w:tc>
        <w:tc>
          <w:tcPr>
            <w:tcW w:w="775" w:type="dxa"/>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24"/>
                <w:u w:val="none"/>
                <w:lang w:eastAsia="zh-CN"/>
              </w:rPr>
            </w:pPr>
          </w:p>
        </w:tc>
        <w:tc>
          <w:tcPr>
            <w:tcW w:w="1066" w:type="dxa"/>
            <w:gridSpan w:val="2"/>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24"/>
                <w:u w:val="none"/>
                <w:lang w:eastAsia="zh-CN"/>
              </w:rPr>
            </w:pPr>
          </w:p>
        </w:tc>
        <w:tc>
          <w:tcPr>
            <w:tcW w:w="1045" w:type="dxa"/>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24"/>
                <w:u w:val="none"/>
                <w:lang w:eastAsia="zh-CN"/>
              </w:rPr>
            </w:pPr>
          </w:p>
        </w:tc>
        <w:tc>
          <w:tcPr>
            <w:tcW w:w="906" w:type="dxa"/>
            <w:gridSpan w:val="2"/>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24"/>
                <w:u w:val="none"/>
                <w:lang w:eastAsia="zh-CN"/>
              </w:rPr>
            </w:pPr>
          </w:p>
        </w:tc>
        <w:tc>
          <w:tcPr>
            <w:tcW w:w="525" w:type="dxa"/>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24"/>
                <w:u w:val="none"/>
                <w:lang w:eastAsia="zh-CN"/>
              </w:rPr>
            </w:pPr>
          </w:p>
        </w:tc>
        <w:tc>
          <w:tcPr>
            <w:tcW w:w="788" w:type="dxa"/>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05" w:hRule="atLeast"/>
        </w:trPr>
        <w:tc>
          <w:tcPr>
            <w:tcW w:w="14034" w:type="dxa"/>
            <w:gridSpan w:val="20"/>
            <w:shd w:val="clear" w:color="auto" w:fill="auto"/>
            <w:noWrap w:val="0"/>
            <w:vAlign w:val="center"/>
          </w:tcPr>
          <w:p>
            <w:pPr>
              <w:pStyle w:val="10"/>
              <w:kinsoku/>
              <w:autoSpaceDE/>
              <w:autoSpaceDN w:val="0"/>
              <w:jc w:val="center"/>
              <w:textAlignment w:val="center"/>
              <w:rPr>
                <w:rFonts w:hint="default" w:ascii="宋体" w:hAnsi="宋体" w:eastAsia="宋体"/>
                <w:b/>
                <w:i w:val="0"/>
                <w:snapToGrid/>
                <w:color w:val="000000"/>
                <w:sz w:val="38"/>
                <w:u w:val="none"/>
                <w:lang w:eastAsia="zh-CN"/>
              </w:rPr>
            </w:pPr>
            <w:r>
              <w:rPr>
                <w:rFonts w:hint="default" w:ascii="宋体" w:hAnsi="宋体" w:eastAsia="宋体"/>
                <w:b/>
                <w:i w:val="0"/>
                <w:snapToGrid/>
                <w:color w:val="000000"/>
                <w:sz w:val="38"/>
                <w:u w:val="none"/>
                <w:lang w:eastAsia="zh-CN"/>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362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部门（单位）名称</w:t>
            </w:r>
          </w:p>
        </w:tc>
        <w:tc>
          <w:tcPr>
            <w:tcW w:w="10405" w:type="dxa"/>
            <w:gridSpan w:val="1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部门整体支出情况</w:t>
            </w:r>
          </w:p>
        </w:tc>
        <w:tc>
          <w:tcPr>
            <w:tcW w:w="273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年初预算数</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全年预算数</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全年执行数</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执行率</w:t>
            </w:r>
          </w:p>
        </w:tc>
        <w:tc>
          <w:tcPr>
            <w:tcW w:w="134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273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部门预算总额（万元）</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12508.86</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19568.35</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16749.68</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85.6</w:t>
            </w:r>
          </w:p>
        </w:tc>
        <w:tc>
          <w:tcPr>
            <w:tcW w:w="134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273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资金来源：（1）政府预算资金</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12508.86</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19568.18</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16749.51</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85.6</w:t>
            </w:r>
          </w:p>
        </w:tc>
        <w:tc>
          <w:tcPr>
            <w:tcW w:w="134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273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（2）财政专户管理资金</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34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273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（3）单位资金</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0.17</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0.17</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34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年度履职目标</w:t>
            </w:r>
          </w:p>
        </w:tc>
        <w:tc>
          <w:tcPr>
            <w:tcW w:w="6247"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预期目标</w:t>
            </w:r>
          </w:p>
        </w:tc>
        <w:tc>
          <w:tcPr>
            <w:tcW w:w="6895"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9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6247"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2023年全市城市管理工作的总体要求是：以习近平新时代中国特色社会主义思想为指导，深入贯彻落实党的二十大精神，坚持以人民为中心的发展理念，以建设“宜居、智能、韧性、安全”的现代化城市为目标，紧紧围绕“六个聚焦”，以实施城市管理整治提升行动为主线，不断深化城市网格化管理，健全完善城市管理体制机制，着力打造城市管理新亮点，不断推动城市管理新提升，为加快推进“五个强市”建设，实现经济发展高质量、城乡建设高水平、人民群众高素质贡献许昌城管力量。</w:t>
            </w:r>
          </w:p>
        </w:tc>
        <w:tc>
          <w:tcPr>
            <w:tcW w:w="6895"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年度主要任务</w:t>
            </w:r>
          </w:p>
        </w:tc>
        <w:tc>
          <w:tcPr>
            <w:tcW w:w="161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任务名称</w:t>
            </w:r>
          </w:p>
        </w:tc>
        <w:tc>
          <w:tcPr>
            <w:tcW w:w="463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主要内容</w:t>
            </w:r>
          </w:p>
        </w:tc>
        <w:tc>
          <w:tcPr>
            <w:tcW w:w="6895"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61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聚焦机制完善，合力构建大城管格局。</w:t>
            </w:r>
          </w:p>
        </w:tc>
        <w:tc>
          <w:tcPr>
            <w:tcW w:w="463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一是健全完善工作机制。二是细化量化工作标准。三是持续深化网格管理。</w:t>
            </w:r>
          </w:p>
        </w:tc>
        <w:tc>
          <w:tcPr>
            <w:tcW w:w="6895"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61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聚焦精准治理，大力推进管理水平提升。</w:t>
            </w:r>
          </w:p>
        </w:tc>
        <w:tc>
          <w:tcPr>
            <w:tcW w:w="463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一是厚植绿色生态底色，二是加强环卫精细管理，三是开展市容秩序整治，四是优化景观照明建设。</w:t>
            </w:r>
          </w:p>
        </w:tc>
        <w:tc>
          <w:tcPr>
            <w:tcW w:w="6895"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61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聚焦依法行政，全力提升综合执法效能。</w:t>
            </w:r>
          </w:p>
        </w:tc>
        <w:tc>
          <w:tcPr>
            <w:tcW w:w="463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一是加快立法进程，推进有法可依，二是加大执法力度，推进执法必严，三是强化执法联动，推进违法必究。</w:t>
            </w:r>
          </w:p>
        </w:tc>
        <w:tc>
          <w:tcPr>
            <w:tcW w:w="6895"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61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聚焦民生福祉，有力推动民生实事落实。</w:t>
            </w:r>
          </w:p>
        </w:tc>
        <w:tc>
          <w:tcPr>
            <w:tcW w:w="463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一是深入推进生活垃圾分类，二是规范文明养犬，三是狠抓停车场管理，四是推进公共自行车改革。</w:t>
            </w:r>
          </w:p>
        </w:tc>
        <w:tc>
          <w:tcPr>
            <w:tcW w:w="6895"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61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聚焦数字赋能，借力构建智慧城管脉络。</w:t>
            </w:r>
          </w:p>
        </w:tc>
        <w:tc>
          <w:tcPr>
            <w:tcW w:w="463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一是谋划建设智能井盖管理系统，二是持续提升数字城管效能，三是不断提高应急指挥能力。</w:t>
            </w:r>
          </w:p>
        </w:tc>
        <w:tc>
          <w:tcPr>
            <w:tcW w:w="6895"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61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聚焦队伍建设，着力打造“五型”城管。</w:t>
            </w:r>
          </w:p>
        </w:tc>
        <w:tc>
          <w:tcPr>
            <w:tcW w:w="463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一是打造法治型城管，二是打造文明型城管，三是打造服务型城管，四是打造创新型城管，五是打造清廉型城管。</w:t>
            </w:r>
          </w:p>
        </w:tc>
        <w:tc>
          <w:tcPr>
            <w:tcW w:w="6895"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一级指标</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三级指标</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年度指标值</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实际完成值</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偏差度</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绩效指标</w:t>
            </w:r>
          </w:p>
        </w:tc>
        <w:tc>
          <w:tcPr>
            <w:tcW w:w="9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投入管理指标</w:t>
            </w:r>
          </w:p>
        </w:tc>
        <w:tc>
          <w:tcPr>
            <w:tcW w:w="17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工作目标管理</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年度履职目标相关性</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相关</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工作任务科学性</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科学</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绩效指标合理性</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合理</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7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预算和财务管理</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预算编制完整性</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完整</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专项资金细化率</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预算调整率</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结转结余率</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“三公经费”控制率</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政府采购执行率</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决算真实性</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真实</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资金使用合规性</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合规</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管理制度健全性</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健全</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预决算信息公开性</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公开</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资产管理规范性</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规范</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7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绩效管理</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绩效目标编制完成率</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绩效监控完成率</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绩效自评完成率</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部门绩效评价完成率</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评价结果应用率</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9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产出指标</w:t>
            </w:r>
          </w:p>
        </w:tc>
        <w:tc>
          <w:tcPr>
            <w:tcW w:w="17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重点工作任务完成</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聚焦机制完善，合力构建大城管格局。</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≥95%</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聚焦精准治理，大力推进管理水平提升。</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≥95%</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聚焦依法行政，全力提升综合执法效能。</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≥95%</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聚焦民生福祉，有力推动民生实事落实。</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≥95%</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聚焦数字赋能，借力构建智慧城管脉络。</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≥95%</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聚焦队伍建设，着力打造“五型”城管。</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≥95%</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4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履职目标实现</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不断深化城市网格化管理，健全完善城市管理体制机制，着力打造城市管理新亮点，不断推进城市管理新提升。</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≥95%</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7</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7</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9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效益指标</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履职效益</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保证城市管理正常运转</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15</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7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市民群众满意度</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≥95%</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95%</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服务企业满意度</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≥95%</w:t>
            </w:r>
          </w:p>
        </w:tc>
        <w:tc>
          <w:tcPr>
            <w:tcW w:w="1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8037"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总分</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99.47</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p>
        </w:tc>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p>
        </w:tc>
      </w:tr>
    </w:tbl>
    <w:p>
      <w:pPr>
        <w:pStyle w:val="10"/>
        <w:sectPr>
          <w:pgSz w:w="16838" w:h="11906" w:orient="landscape"/>
          <w:pgMar w:top="1803" w:right="1440" w:bottom="1803" w:left="1440" w:header="851" w:footer="992" w:gutter="0"/>
          <w:cols w:space="720" w:num="1"/>
          <w:docGrid w:type="lines" w:linePitch="319"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5"/>
        <w:gridCol w:w="667"/>
        <w:gridCol w:w="1036"/>
        <w:gridCol w:w="524"/>
        <w:gridCol w:w="1304"/>
        <w:gridCol w:w="3323"/>
        <w:gridCol w:w="594"/>
        <w:gridCol w:w="557"/>
        <w:gridCol w:w="500"/>
        <w:gridCol w:w="621"/>
        <w:gridCol w:w="424"/>
        <w:gridCol w:w="692"/>
        <w:gridCol w:w="1713"/>
        <w:gridCol w:w="1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gridSpan w:val="3"/>
            <w:tcBorders>
              <w:top w:val="nil"/>
              <w:left w:val="nil"/>
              <w:bottom w:val="nil"/>
              <w:right w:val="nil"/>
            </w:tcBorders>
            <w:shd w:val="clear" w:color="auto" w:fill="auto"/>
            <w:noWrap/>
            <w:vAlign w:val="center"/>
          </w:tcPr>
          <w:p>
            <w:pPr>
              <w:pStyle w:val="10"/>
              <w:keepNext w:val="0"/>
              <w:keepLines w:val="0"/>
              <w:widowControl/>
              <w:suppressLineNumbers w:val="0"/>
              <w:jc w:val="left"/>
              <w:textAlignment w:val="center"/>
              <w:rPr>
                <w:rFonts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en-AU"/>
              </w:rPr>
              <w:t>附件1</w:t>
            </w: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2023年城市管理综合考评奖励资金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通过激励和约束并重的调度考评机制，建立高位协调、统一高效的城市管理长效机制，用经济手段倒逼各地有关单位进一步落实部门职责，加强配合联动，形成城市管理合力，提高城市管理水平，形成全市统筹、分级负责、责权明晰、齐抓共管的“大城管”格局。</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全年后进单位扣缴经费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960万元/年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960万元/年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全年先进单位奖励资金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960万元/年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600万元/年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月调度评价次数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年度综合考评次数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奖惩资金落实率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月调度评价完成时效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次月5日前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年度综合考评完成时效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次年1月底前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城市居住环境及宜居程度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改善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市民群众生活幸福度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城市美誉度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许昌市户外广告集中整治和中心城区房屋安全隐患集中整治工作奖励经费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28.88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28.88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28.88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根据《中共许昌市委 许昌市人民政府关于奖励许昌市户外广告集中整治和中心城区房屋安全隐患集中整治工作集体和个人的决定》（许文〔2022〕145号）文件要求，我局统筹负责户外广告集中整治和中心城区房屋安全隐患集中整治两项工作奖励所需奖牌、奖章、证书采购制作及奖励资金发放工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户外广告整治工作先进个人奖励资金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安全隐患集中整治工作先进个人奖励资金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奖牌、奖章、证书制作费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制作奖牌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68块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68块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奖励先进个人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93人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制作奖章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51枚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51枚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制作证书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93张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93张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户外广告整治工作完成率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安全隐患集中整治工作完成率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全面消除安全隐患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受奖励人员满意度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市民、企业满意度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2021年10月-2022年9月市区河湖水系考核奖惩款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1、根据我市部署，结合工作，做好河湖水系的日常管理工作；</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2、针对河湖水系日常人员防护工作，添置部分救生器材，做好日常巡查工作；</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3、按照养护工作要求，购置养护工具，清理河道，保障环境优美。</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保护河湖水系宣传用品制作  、补充河湖水系管护器材、 购置救生用品、河湖水系日常管养等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每天不定时按照要求开展巡查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每天对河湖水系及其周边绿地进行管养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确保河湖水系各类设施安全运转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保障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河湖水系管养范围的巡查周期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12个月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对人居环境的提升程度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明显增加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提升、改善生态环境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增强市民群众的幸福感、获得感、安全感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餐厨废弃物收运处置补贴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612.51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612.51</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612.51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612.51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依据《许昌市餐厨废弃物收运处置特许经营项目协议书》，督促欧绿保公司维护运行好地磅称重、处理车间等设施，确保中心城区餐厨废弃物及时进厂，餐厨废弃物应收尽收。</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餐厨废弃物收运处置财政补贴费用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825.62万元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餐厨废弃物收运处置财政补贴标准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265元/吨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265元/吨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中心城区全年餐厨废弃物处置量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≥1.5万吨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3.3万吨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年实际才1.3万吨，当时考虑继续会受疫情的影响。23年放开后，各项生产秩序逐渐正常，餐饮业迅速复苏，学校和单位不再受封控影响，工厂除1月受外，全年不间断的进行收运和生产。处理量逐渐提升。基本接近一期满产运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无害化处置率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全年中心城区餐厨废弃物收运时效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365天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365天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全年中心城区餐厨废弃物处置时效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≥340天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365天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处置企业年经济效益增加值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56.00%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收运处理量远超预期，经济效益同步增长。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增加就业人数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收运处置量增加，用工数量同步增加。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全市餐厨垃圾处置率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餐厨废弃物产出单位满意度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91.94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市管区域路灯提升改造项目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139.01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139.01</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139.01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目标1：按照《许昌市城市夜景灯饰管理办法》，对夜景亮化、路灯照明进行监管考核，加强日常巡查。</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目标2：保障市民夜间出行安全，方便市民夜间出行</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目标3：确保做好路灯照明的维护管理，保障设施完好。                                                                </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目标4：做好夜景亮化、路灯照明设施合理配置，完善城市功能，改善城市人居环境，提高人民生活水平。</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项目工程款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137.236066万元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133.11万元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项目前期费用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新建路灯数量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32盏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32盏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改造路灯数量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59盏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59盏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改造组合型成套箱变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路灯验收合格率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箱变安全运行率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开工时间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2022年9月20日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验收时间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2023年1月18日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改善城市人居环境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明显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增加照明里程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1.095公里</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1.10公里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节能减排减少二氧化碳排放量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≤7.04吨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7.04吨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2022年第三季度中央公园管养经费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356.5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目标1：严格按照《许昌市中央公园考评办法（试行）》，对中央公园进行监管考核，加强日常巡查频次，定期开展中央公园养护质量考评。</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目标2：着力提升中央公园精细化管养水平。</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目标3：督促中央公园管养单位认真做好园区安全、秩序、设施（含建筑物、构筑物、园林小品、水系景观、座椅、廊桥、道路广场、公厕、垃圾箱）和照明亮化等基础设施的监督管理工作。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中央公园养护定额标准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13元/平方米/年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13元/平方米/年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市政维修、公厕管理、亮化照明电费及灯具线路维修费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中央公园养护面积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82万平方米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82万平方米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中央公园植物种类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243种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243种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市定一级A类绿地养护定额标准质量考评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≥80分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86.10分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确保园区设施安全运转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中央公园养护周期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12个月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解决园林绿化及基础设施相关问题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中央公园养护带动就业人数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对人居环境的提升程度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明显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减少灰尘、噪音的发生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有效减少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区域生态环境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增强市民群众的幸福感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养护企业满意度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市区公共自行车交通系统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895.79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895.79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895.79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895.79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目标1：按照《许昌市区公共自行车服务运营管理考评办法》，对公共自行车运营进行监管考核，加强日常巡查，定期汇总考评结果。</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目标2：保障市区公共自行车正常运营，为市民群众提供借还车服务及办、换、补、退业务。</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目标3：确保做好公共自行车站点及车辆的维护管理，保障设施完好。                                                                </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目标4：做好公共自行车站点间的运营调度，保障站点车辆合理配置，方便市民群众使用。</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单车年度运营费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≤950元/辆/年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934元/辆/年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公共自行车数量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8200辆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8200辆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站点数量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350个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站点间便捷借还率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站点车辆在桩率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加大了日常巡查，及时调配车辆，保障了市民方便骑行。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公共自行车运营服务周期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14个月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公共自行车运营服务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长期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安置本地就业人数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助力文明城市和公交都市创建活动效果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明显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倡导低碳绿色文明出行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良好</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减少二氧化碳排放量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≥4799.14吨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4799.14吨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老干部城市管理督导团经费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4.98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1、根据我市部署，结合工作，认真搞好宣传教育；2、针对城市管理、建设新情况，做好巡查督导工作；3、制定方案、选准调研课题，做好调查研究工作；4、针对发现的有关问题，及时向市委市政府写出建设性的意见建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老干部督导团经费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4.98万元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每年撰写城市管理方面调研报告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实际完成情况超过年度指标值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每月按照要求开展督导巡查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调研报告意见采纳率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创建全国文明城市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有效完成</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调研工作任务完成及时率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城市管理水平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市民群众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市政府领导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中央公园管养经费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356.5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目标1：严格按照《许昌市中央公园考评办法（试行）》，对中央公园进行监管考核，坚持市人大代表和政协委员的共同监督考评，提高考核质量，实现规范化、制度化的考评。</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目标2：严格执行一级管养标准，着力提升中央公园精细化管养水平，加强日常巡查、月考评、季综评，实现中央公园一级管养标准达标率100%。</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目标3：督促中央公园管养单位认真做好园区园林植物养护、园容秩序管理、设施设备安全，实现环境优美、秩序优良、服务优质、文化优秀的美丽公园。</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中央公园养护定额标准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13元/平方米/年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13元/平方米/年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市政维修、公厕管理、亮化照明电费及灯具线路维修费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360万元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360万元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中央公园养护面积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82万平方米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82万平方米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中央公园植物种类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238种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238种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市定一级A类绿地养护定额标准质量考评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≥80分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84.6分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确保园区设施安全运转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中央公园养护周期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解决园林绿化及基础设施相关问题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中央公园养护带动就业人数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对人居环境的提升程度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明显增加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减少灰尘、噪音的发生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有效减少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改善生态环境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改善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养护企业满意度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许昌火车站候车楼钟表改造项目工程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0.79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0.79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0.79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目标1：做好窗口建设，完善城市功能，改善城市人居环境，提高人民生活水平。</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目标2：定点报时功能，确保旅客因时间不准确而耽误乘车。</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待支付尾款金额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0.79万元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0.79万元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火车站候车楼钟表项目总金额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安装钟表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设备正常运行率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购置钟表验收合格率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质保期限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合同约定质保金支付时间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2023年6月30日之前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工程按期完工率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设备不间断正常运行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提升火车站市容市貌环境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明显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大型户外党建宣传广告设置项目工程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5.41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5.41</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5.41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为宣传习近平总书记新时代中国特色社会主义思想，根据市委、市政府领导指示要求，由我局负责在市区设置四处大型党建宣传牌，从而完成项目年度党建宣传工作目标，提升城市整体党建氛围。</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其中，京港澳高速公路以西20米、建安大道以南6米、天宝路与学院路交叉口西北角慢车道道牙以内10米处均已设置完成（后拆除），军分区大门前花坛西道牙以内1米处因地形地貌因素未设置。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项目审计结算价</w:t>
            </w:r>
          </w:p>
        </w:tc>
        <w:tc>
          <w:tcPr>
            <w:tcW w:w="0" w:type="auto"/>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51.986641万元</w:t>
            </w:r>
          </w:p>
        </w:tc>
        <w:tc>
          <w:tcPr>
            <w:tcW w:w="0" w:type="auto"/>
            <w:gridSpan w:val="2"/>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51.986641万元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项目尾款</w:t>
            </w:r>
          </w:p>
        </w:tc>
        <w:tc>
          <w:tcPr>
            <w:tcW w:w="0" w:type="auto"/>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5.206641万元</w:t>
            </w:r>
          </w:p>
        </w:tc>
        <w:tc>
          <w:tcPr>
            <w:tcW w:w="0" w:type="auto"/>
            <w:gridSpan w:val="2"/>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5.206641万元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项目结算审查费</w:t>
            </w:r>
          </w:p>
        </w:tc>
        <w:tc>
          <w:tcPr>
            <w:tcW w:w="0" w:type="auto"/>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0.2万元</w:t>
            </w:r>
          </w:p>
        </w:tc>
        <w:tc>
          <w:tcPr>
            <w:tcW w:w="0" w:type="auto"/>
            <w:gridSpan w:val="2"/>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新建大型党建宣传牌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项目设置交付时间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2019年10月1日前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2019年10月1日前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质保期限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工程按期完工率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大型党建宣传牌投入使用率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宣传习近平总书记新时代中国特色社会主义思想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完成</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主管部门满意度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生活垃圾焚烧补贴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1782.84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1782.84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1782.84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1782.84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依据《许昌市生活垃圾焚烧运营监管考核实施办法(试行)》（许城管[2020]6号），督促旺能公司维护运行好地磅称重、垃圾库房等设施，确保中心城区生活垃圾及时进厂，生活垃圾应烧尽烧。</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生活垃圾焚烧市财政补贴标准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80元/吨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80元/吨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垃圾焚烧后产生飞灰填埋量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5-6万吨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4.471万吨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1.生产工艺由分灰水+水泥+螯合剂变更为飞灰水+螯合剂，因飞灰处理工艺优化，减少了水泥，导致飞灰填埋量减少。</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2.随着垃圾处置量减少，飞灰量随之减少。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每年垃圾处理量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≥90万吨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95.194086吨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固体垃圾体积减少率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全市生活垃圾处理垃圾及时性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日产日清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生活垃圾焚烧年发电量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≥2亿度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2.665亿度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生活垃圾焚烧年供热量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≥30万吨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49.723万吨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建立我市生活垃圾焚烧处理体制机制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达标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有利于实现生活垃圾无害化处置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生活垃圾焚烧企业满意度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p>
    <w:tbl>
      <w:tblPr>
        <w:tblStyle w:val="13"/>
        <w:tblW w:w="5000" w:type="pct"/>
        <w:tblInd w:w="0" w:type="dxa"/>
        <w:shd w:val="clear" w:color="auto" w:fill="auto"/>
        <w:tblLayout w:type="autofit"/>
        <w:tblCellMar>
          <w:top w:w="0" w:type="dxa"/>
          <w:left w:w="108" w:type="dxa"/>
          <w:bottom w:w="0" w:type="dxa"/>
          <w:right w:w="108" w:type="dxa"/>
        </w:tblCellMar>
      </w:tblPr>
      <w:tblGrid>
        <w:gridCol w:w="983"/>
        <w:gridCol w:w="1704"/>
        <w:gridCol w:w="2089"/>
        <w:gridCol w:w="2111"/>
        <w:gridCol w:w="2064"/>
        <w:gridCol w:w="1025"/>
        <w:gridCol w:w="1061"/>
        <w:gridCol w:w="1545"/>
        <w:gridCol w:w="1592"/>
      </w:tblGrid>
      <w:tr>
        <w:tblPrEx>
          <w:tblCellMar>
            <w:top w:w="0" w:type="dxa"/>
            <w:left w:w="108" w:type="dxa"/>
            <w:bottom w:w="0" w:type="dxa"/>
            <w:right w:w="108" w:type="dxa"/>
          </w:tblCellMar>
        </w:tblPrEx>
        <w:trPr>
          <w:trHeight w:val="558" w:hRule="atLeast"/>
        </w:trPr>
        <w:tc>
          <w:tcPr>
            <w:tcW w:w="0" w:type="auto"/>
            <w:gridSpan w:val="9"/>
            <w:tcBorders>
              <w:top w:val="nil"/>
              <w:left w:val="nil"/>
              <w:bottom w:val="nil"/>
              <w:right w:val="nil"/>
            </w:tcBorders>
            <w:shd w:val="clear" w:color="auto" w:fill="auto"/>
            <w:noWrap/>
            <w:vAlign w:val="center"/>
          </w:tcPr>
          <w:p>
            <w:pPr>
              <w:pStyle w:val="12"/>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项目自评表</w:t>
            </w:r>
          </w:p>
        </w:tc>
      </w:tr>
      <w:tr>
        <w:tblPrEx>
          <w:tblCellMar>
            <w:top w:w="0" w:type="dxa"/>
            <w:left w:w="108" w:type="dxa"/>
            <w:bottom w:w="0" w:type="dxa"/>
            <w:right w:w="108" w:type="dxa"/>
          </w:tblCellMar>
        </w:tblPrEx>
        <w:trPr>
          <w:trHeight w:val="37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临时人员工资及社保</w:t>
            </w:r>
          </w:p>
        </w:tc>
      </w:tr>
      <w:tr>
        <w:tblPrEx>
          <w:tblCellMar>
            <w:top w:w="0" w:type="dxa"/>
            <w:left w:w="108" w:type="dxa"/>
            <w:bottom w:w="0" w:type="dxa"/>
            <w:right w:w="108" w:type="dxa"/>
          </w:tblCellMar>
        </w:tblPrEx>
        <w:trPr>
          <w:trHeight w:val="37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许昌市城管局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许昌市城市管理执法支队</w:t>
            </w:r>
          </w:p>
        </w:tc>
      </w:tr>
      <w:tr>
        <w:tblPrEx>
          <w:tblCellMar>
            <w:top w:w="0" w:type="dxa"/>
            <w:left w:w="108" w:type="dxa"/>
            <w:bottom w:w="0" w:type="dxa"/>
            <w:right w:w="108" w:type="dxa"/>
          </w:tblCellMar>
        </w:tblPrEx>
        <w:trPr>
          <w:trHeight w:val="63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项目资金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全年预算数</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全年执行数</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执行率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（B/A</w:t>
            </w:r>
            <w:r>
              <w:rPr>
                <w:rFonts w:ascii="宋体" w:hAnsi="宋体" w:cs="宋体"/>
                <w:color w:val="000000"/>
                <w:kern w:val="0"/>
                <w:sz w:val="24"/>
              </w:rPr>
              <w:t>x</w:t>
            </w:r>
            <w:r>
              <w:rPr>
                <w:rFonts w:ascii="宋体" w:hAnsi="宋体" w:cs="宋体"/>
                <w:color w:val="000000"/>
                <w:kern w:val="0"/>
                <w:sz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r>
      <w:tr>
        <w:tblPrEx>
          <w:tblCellMar>
            <w:top w:w="0" w:type="dxa"/>
            <w:left w:w="108" w:type="dxa"/>
            <w:bottom w:w="0" w:type="dxa"/>
            <w:right w:w="108" w:type="dxa"/>
          </w:tblCellMar>
        </w:tblPrEx>
        <w:trPr>
          <w:trHeight w:val="3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80.49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80.49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7.32 </w:t>
            </w:r>
          </w:p>
        </w:tc>
      </w:tr>
      <w:tr>
        <w:tblPrEx>
          <w:tblCellMar>
            <w:top w:w="0" w:type="dxa"/>
            <w:left w:w="108" w:type="dxa"/>
            <w:bottom w:w="0" w:type="dxa"/>
            <w:right w:w="108" w:type="dxa"/>
          </w:tblCellMar>
        </w:tblPrEx>
        <w:trPr>
          <w:trHeight w:val="3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其中：政府预算资金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80.49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80.49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3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3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4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资金管理情况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存在问题和改进措施</w:t>
            </w:r>
          </w:p>
        </w:tc>
      </w:tr>
      <w:tr>
        <w:tblPrEx>
          <w:tblCellMar>
            <w:top w:w="0" w:type="dxa"/>
            <w:left w:w="108" w:type="dxa"/>
            <w:bottom w:w="0" w:type="dxa"/>
            <w:right w:w="108" w:type="dxa"/>
          </w:tblCellMar>
        </w:tblPrEx>
        <w:trPr>
          <w:trHeight w:val="8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资金安排合理，临时人员流动性大，有部分结余正常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4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合规拨付，按月实际发放工资及社保。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5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使用规范，严格按照项目资金用途进行使用。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3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绩效管理良好，按照预设目标发展。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37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全年实际完成情况</w:t>
            </w:r>
          </w:p>
        </w:tc>
      </w:tr>
      <w:tr>
        <w:tblPrEx>
          <w:tblCellMar>
            <w:top w:w="0" w:type="dxa"/>
            <w:left w:w="108" w:type="dxa"/>
            <w:bottom w:w="0" w:type="dxa"/>
            <w:right w:w="108" w:type="dxa"/>
          </w:tblCellMar>
        </w:tblPrEx>
        <w:trPr>
          <w:trHeight w:val="94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目标1：确保管辖区域日常城市管理执法工作有序开展；保障各类创建、迎检活动顺利通过验收；配合提升城市管理水平，改善城市面貌。</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目标2：保障执法支队临时人员工资发放和医疗等社保缴纳。</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全部完成预期目标</w:t>
            </w:r>
          </w:p>
        </w:tc>
      </w:tr>
      <w:tr>
        <w:tblPrEx>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绩</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效</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偏差原因分析及改进措施</w:t>
            </w:r>
          </w:p>
        </w:tc>
      </w:tr>
      <w:tr>
        <w:tblPrEx>
          <w:tblCellMar>
            <w:top w:w="0" w:type="dxa"/>
            <w:left w:w="108" w:type="dxa"/>
            <w:bottom w:w="0" w:type="dxa"/>
            <w:right w:w="108" w:type="dxa"/>
          </w:tblCellMar>
        </w:tblPrEx>
        <w:trPr>
          <w:trHeight w:val="10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非编人员工资社保等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≤80.49万元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58.92万元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临时人员数量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≤16人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城市干净度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工资发放时效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每月20号之前发放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效益指标(25分)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提供就业岗位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≤16个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378"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97.32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885" w:hRule="atLeast"/>
        </w:trPr>
        <w:tc>
          <w:tcPr>
            <w:tcW w:w="0" w:type="auto"/>
            <w:gridSpan w:val="9"/>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注：1.资金管理情况的考核，对违反预算管理规定行为的，原则上每发现1例扣1分，扣完为止。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2.绩效自评采取打分评价的形式，满分为100分，</w:t>
            </w:r>
            <w:r>
              <w:rPr>
                <w:rFonts w:ascii="宋体" w:hAnsi="宋体" w:cs="宋体"/>
                <w:color w:val="000000"/>
                <w:kern w:val="0"/>
                <w:sz w:val="18"/>
              </w:rPr>
              <w:t>项目单位自评原则上统一按以下方式设置：预算执行率10分、资金管理情况20分、成本指标10分、产出指标30分、效益指标25分、满意度指标5分。二三级指标的分值权重由各单位根据项目实际情况和指标重要程度合理设置。</w:t>
            </w:r>
            <w:r>
              <w:rPr>
                <w:rFonts w:hint="eastAsia" w:ascii="宋体" w:hAnsi="宋体" w:cs="宋体"/>
                <w:color w:val="000000"/>
                <w:kern w:val="0"/>
                <w:sz w:val="18"/>
                <w:szCs w:val="18"/>
              </w:rPr>
              <w:br w:type="textWrapping"/>
            </w:r>
            <w:r>
              <w:rPr>
                <w:rFonts w:ascii="宋体" w:hAnsi="宋体" w:cs="宋体"/>
                <w:color w:val="000000"/>
                <w:kern w:val="0"/>
                <w:sz w:val="18"/>
              </w:rPr>
              <w:t xml:space="preserve">    3.偏差原因分析及改进措施：说明偏离目标、不能完成目标的原因及改进措施。</w:t>
            </w:r>
            <w:r>
              <w:rPr>
                <w:rFonts w:hint="eastAsia" w:ascii="宋体" w:hAnsi="宋体" w:cs="宋体"/>
                <w:color w:val="000000"/>
                <w:kern w:val="0"/>
                <w:sz w:val="18"/>
                <w:szCs w:val="18"/>
              </w:rPr>
              <w:br w:type="textWrapping"/>
            </w:r>
            <w:r>
              <w:rPr>
                <w:rFonts w:ascii="宋体" w:hAnsi="宋体" w:cs="宋体"/>
                <w:color w:val="000000"/>
                <w:kern w:val="0"/>
                <w:sz w:val="18"/>
              </w:rPr>
              <w:t xml:space="preserve">    4.定性指标完成情况分为好、较好、一般、较差四档，在相应档次分别按照100％-90%(含)、90%-80％(含)、80％-60％(含)、60％-0％合理确定分值。定量指标完成指标值的，记该指标所赋全部分值；未完成的，按照完成值与指标值的比例计分。</w:t>
            </w:r>
          </w:p>
        </w:tc>
      </w:tr>
      <w:tr>
        <w:tblPrEx>
          <w:tblCellMar>
            <w:top w:w="0" w:type="dxa"/>
            <w:left w:w="108" w:type="dxa"/>
            <w:bottom w:w="0" w:type="dxa"/>
            <w:right w:w="108" w:type="dxa"/>
          </w:tblCellMar>
        </w:tblPrEx>
        <w:trPr>
          <w:trHeight w:val="360" w:hRule="atLeast"/>
        </w:trPr>
        <w:tc>
          <w:tcPr>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570" w:hRule="atLeast"/>
        </w:trPr>
        <w:tc>
          <w:tcPr>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r>
    </w:tbl>
    <w:p>
      <w:pPr>
        <w:pStyle w:val="10"/>
      </w:pPr>
    </w:p>
    <w:tbl>
      <w:tblPr>
        <w:tblStyle w:val="13"/>
        <w:tblW w:w="14138" w:type="dxa"/>
        <w:tblInd w:w="93" w:type="dxa"/>
        <w:shd w:val="clear" w:color="auto" w:fill="auto"/>
        <w:tblLayout w:type="autofit"/>
        <w:tblCellMar>
          <w:top w:w="0" w:type="dxa"/>
          <w:left w:w="108" w:type="dxa"/>
          <w:bottom w:w="0" w:type="dxa"/>
          <w:right w:w="108" w:type="dxa"/>
        </w:tblCellMar>
      </w:tblPr>
      <w:tblGrid>
        <w:gridCol w:w="700"/>
        <w:gridCol w:w="1576"/>
        <w:gridCol w:w="1296"/>
        <w:gridCol w:w="1219"/>
        <w:gridCol w:w="2874"/>
        <w:gridCol w:w="1594"/>
        <w:gridCol w:w="1481"/>
        <w:gridCol w:w="803"/>
        <w:gridCol w:w="826"/>
        <w:gridCol w:w="555"/>
        <w:gridCol w:w="1214"/>
      </w:tblGrid>
      <w:tr>
        <w:tblPrEx>
          <w:tblCellMar>
            <w:top w:w="0" w:type="dxa"/>
            <w:left w:w="108" w:type="dxa"/>
            <w:bottom w:w="0" w:type="dxa"/>
            <w:right w:w="108" w:type="dxa"/>
          </w:tblCellMar>
        </w:tblPrEx>
        <w:trPr>
          <w:trHeight w:val="769" w:hRule="atLeast"/>
        </w:trPr>
        <w:tc>
          <w:tcPr>
            <w:tcW w:w="14138" w:type="dxa"/>
            <w:gridSpan w:val="11"/>
            <w:tcBorders>
              <w:top w:val="nil"/>
              <w:left w:val="nil"/>
              <w:bottom w:val="nil"/>
              <w:right w:val="nil"/>
            </w:tcBorders>
            <w:shd w:val="clear" w:color="auto" w:fill="auto"/>
            <w:noWrap/>
            <w:vAlign w:val="center"/>
          </w:tcPr>
          <w:p>
            <w:pPr>
              <w:pStyle w:val="12"/>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项目自评表</w:t>
            </w:r>
          </w:p>
        </w:tc>
      </w:tr>
      <w:tr>
        <w:tblPrEx>
          <w:tblCellMar>
            <w:top w:w="0" w:type="dxa"/>
            <w:left w:w="108" w:type="dxa"/>
            <w:bottom w:w="0" w:type="dxa"/>
            <w:right w:w="108" w:type="dxa"/>
          </w:tblCellMar>
        </w:tblPrEx>
        <w:trPr>
          <w:trHeight w:val="478" w:hRule="atLeast"/>
        </w:trPr>
        <w:tc>
          <w:tcPr>
            <w:tcW w:w="2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862"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餐饮油烟在线监控平台(尾款)</w:t>
            </w:r>
          </w:p>
        </w:tc>
      </w:tr>
      <w:tr>
        <w:tblPrEx>
          <w:tblCellMar>
            <w:top w:w="0" w:type="dxa"/>
            <w:left w:w="108" w:type="dxa"/>
            <w:bottom w:w="0" w:type="dxa"/>
            <w:right w:w="108" w:type="dxa"/>
          </w:tblCellMar>
        </w:tblPrEx>
        <w:trPr>
          <w:trHeight w:val="478" w:hRule="atLeast"/>
        </w:trPr>
        <w:tc>
          <w:tcPr>
            <w:tcW w:w="2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98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许昌市城管局</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339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许昌市城市管理执法支队</w:t>
            </w:r>
          </w:p>
        </w:tc>
      </w:tr>
      <w:tr>
        <w:tblPrEx>
          <w:tblCellMar>
            <w:top w:w="0" w:type="dxa"/>
            <w:left w:w="108" w:type="dxa"/>
            <w:bottom w:w="0" w:type="dxa"/>
            <w:right w:w="108" w:type="dxa"/>
          </w:tblCellMar>
        </w:tblPrEx>
        <w:trPr>
          <w:trHeight w:val="1166" w:hRule="atLeast"/>
        </w:trPr>
        <w:tc>
          <w:tcPr>
            <w:tcW w:w="22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项目资金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（万元）</w:t>
            </w: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年初预算数</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全年预算数</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（A）</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全年执行数</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（B）</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执行率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（B/A</w:t>
            </w:r>
            <w:r>
              <w:rPr>
                <w:rFonts w:ascii="宋体" w:hAnsi="宋体" w:cs="宋体"/>
                <w:color w:val="000000"/>
                <w:kern w:val="0"/>
                <w:sz w:val="24"/>
              </w:rPr>
              <w:t>x</w:t>
            </w:r>
            <w:r>
              <w:rPr>
                <w:rFonts w:ascii="宋体" w:hAnsi="宋体" w:cs="宋体"/>
                <w:color w:val="000000"/>
                <w:kern w:val="0"/>
                <w:sz w:val="18"/>
              </w:rPr>
              <w:t>100%）</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r>
      <w:tr>
        <w:tblPrEx>
          <w:tblCellMar>
            <w:top w:w="0" w:type="dxa"/>
            <w:left w:w="108" w:type="dxa"/>
            <w:bottom w:w="0" w:type="dxa"/>
            <w:right w:w="108" w:type="dxa"/>
          </w:tblCellMar>
        </w:tblPrEx>
        <w:trPr>
          <w:trHeight w:val="478" w:hRule="atLeast"/>
        </w:trPr>
        <w:tc>
          <w:tcPr>
            <w:tcW w:w="22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28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8.9</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8.9</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 </w:t>
            </w:r>
          </w:p>
        </w:tc>
      </w:tr>
      <w:tr>
        <w:tblPrEx>
          <w:tblCellMar>
            <w:top w:w="0" w:type="dxa"/>
            <w:left w:w="108" w:type="dxa"/>
            <w:bottom w:w="0" w:type="dxa"/>
            <w:right w:w="108" w:type="dxa"/>
          </w:tblCellMar>
        </w:tblPrEx>
        <w:trPr>
          <w:trHeight w:val="478" w:hRule="atLeast"/>
        </w:trPr>
        <w:tc>
          <w:tcPr>
            <w:tcW w:w="22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其中：政府预算资金</w:t>
            </w:r>
          </w:p>
        </w:tc>
        <w:tc>
          <w:tcPr>
            <w:tcW w:w="28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8.9</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8.9</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478" w:hRule="atLeast"/>
        </w:trPr>
        <w:tc>
          <w:tcPr>
            <w:tcW w:w="22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财政专户管理资金</w:t>
            </w:r>
          </w:p>
        </w:tc>
        <w:tc>
          <w:tcPr>
            <w:tcW w:w="28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478" w:hRule="atLeast"/>
        </w:trPr>
        <w:tc>
          <w:tcPr>
            <w:tcW w:w="22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单位资金</w:t>
            </w:r>
          </w:p>
        </w:tc>
        <w:tc>
          <w:tcPr>
            <w:tcW w:w="28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781" w:hRule="atLeast"/>
        </w:trPr>
        <w:tc>
          <w:tcPr>
            <w:tcW w:w="22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资金管理情况</w:t>
            </w: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594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情况说明</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分值（20）</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存在问题和改进措施</w:t>
            </w:r>
          </w:p>
        </w:tc>
      </w:tr>
      <w:tr>
        <w:tblPrEx>
          <w:tblCellMar>
            <w:top w:w="0" w:type="dxa"/>
            <w:left w:w="108" w:type="dxa"/>
            <w:bottom w:w="0" w:type="dxa"/>
            <w:right w:w="108" w:type="dxa"/>
          </w:tblCellMar>
        </w:tblPrEx>
        <w:trPr>
          <w:trHeight w:val="478" w:hRule="atLeast"/>
        </w:trPr>
        <w:tc>
          <w:tcPr>
            <w:tcW w:w="22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安排科学性</w:t>
            </w:r>
          </w:p>
        </w:tc>
        <w:tc>
          <w:tcPr>
            <w:tcW w:w="594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资金安排合理，严格按照合同执行。</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478" w:hRule="atLeast"/>
        </w:trPr>
        <w:tc>
          <w:tcPr>
            <w:tcW w:w="22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拨付合规性</w:t>
            </w:r>
          </w:p>
        </w:tc>
        <w:tc>
          <w:tcPr>
            <w:tcW w:w="594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拨付合规，按照合同约定拨付。</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478" w:hRule="atLeast"/>
        </w:trPr>
        <w:tc>
          <w:tcPr>
            <w:tcW w:w="22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使用规范性</w:t>
            </w:r>
          </w:p>
        </w:tc>
        <w:tc>
          <w:tcPr>
            <w:tcW w:w="594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使用规范，严格按照项目资金用途进行使用。</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478" w:hRule="atLeast"/>
        </w:trPr>
        <w:tc>
          <w:tcPr>
            <w:tcW w:w="22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预算绩效管理情况</w:t>
            </w:r>
          </w:p>
        </w:tc>
        <w:tc>
          <w:tcPr>
            <w:tcW w:w="594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绩效管理良好，按照预设目标发展。</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478"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年度总体目标</w:t>
            </w:r>
          </w:p>
        </w:tc>
        <w:tc>
          <w:tcPr>
            <w:tcW w:w="855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预期目标</w:t>
            </w:r>
          </w:p>
        </w:tc>
        <w:tc>
          <w:tcPr>
            <w:tcW w:w="487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全年实际完成情况</w:t>
            </w:r>
          </w:p>
        </w:tc>
      </w:tr>
      <w:tr>
        <w:tblPrEx>
          <w:tblCellMar>
            <w:top w:w="0" w:type="dxa"/>
            <w:left w:w="108" w:type="dxa"/>
            <w:bottom w:w="0" w:type="dxa"/>
            <w:right w:w="108" w:type="dxa"/>
          </w:tblCellMar>
        </w:tblPrEx>
        <w:trPr>
          <w:trHeight w:val="1177"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855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进一步加大餐饮油烟污染治理力度，提高我市空气质量，对重点部位餐饮服务单位油烟排放实现24小时在线监控，解决净化设施运转不正常和清洗不及时等问题。</w:t>
            </w:r>
          </w:p>
        </w:tc>
        <w:tc>
          <w:tcPr>
            <w:tcW w:w="487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空气质量有显著提升，重点部位餐饮服务单位油烟排放得到24小时在线监控，有效解决净化设施运转不正常和清洗不及时问题。</w:t>
            </w:r>
          </w:p>
        </w:tc>
      </w:tr>
      <w:tr>
        <w:tblPrEx>
          <w:tblCellMar>
            <w:top w:w="0" w:type="dxa"/>
            <w:left w:w="108" w:type="dxa"/>
            <w:bottom w:w="0" w:type="dxa"/>
            <w:right w:w="108" w:type="dxa"/>
          </w:tblCellMar>
        </w:tblPrEx>
        <w:trPr>
          <w:trHeight w:val="781"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绩</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效</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4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偏差原因分析及改进措施</w:t>
            </w:r>
          </w:p>
        </w:tc>
      </w:tr>
      <w:tr>
        <w:tblPrEx>
          <w:tblCellMar>
            <w:top w:w="0" w:type="dxa"/>
            <w:left w:w="108" w:type="dxa"/>
            <w:bottom w:w="0" w:type="dxa"/>
            <w:right w:w="108" w:type="dxa"/>
          </w:tblCellMar>
        </w:tblPrEx>
        <w:trPr>
          <w:trHeight w:val="974"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1576" w:type="dxa"/>
            <w:tcBorders>
              <w:top w:val="single" w:color="000000" w:sz="4" w:space="0"/>
              <w:left w:val="single" w:color="000000" w:sz="4" w:space="0"/>
              <w:bottom w:val="nil"/>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（10分）</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4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指标1：项目尾款费</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8.9万元</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8.9万元</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604"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157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（30分）</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4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指标1：安装油烟监测器</w:t>
            </w:r>
          </w:p>
        </w:tc>
        <w:tc>
          <w:tcPr>
            <w:tcW w:w="1594" w:type="dxa"/>
            <w:tcBorders>
              <w:top w:val="nil"/>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200台</w:t>
            </w:r>
          </w:p>
        </w:tc>
        <w:tc>
          <w:tcPr>
            <w:tcW w:w="1481" w:type="dxa"/>
            <w:tcBorders>
              <w:top w:val="nil"/>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200台</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604"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4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指标2：安装油烟在线监测系统</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1套</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604"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4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指标1：达到在线监测数据符合国家标准要求</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781"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4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指标1：在合同规定时间完工验收</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2021年11月12日</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2021年11月12日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604"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157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效益指标(25分)</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4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指标1：对餐饮服务单位油烟排放值进行实时监控</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360天</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360天</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781"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4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指标2：及时发现超标单位督促整改，改善空气质量</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781"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（5分）</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4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指标1：群众满意度</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604" w:hRule="atLeast"/>
        </w:trPr>
        <w:tc>
          <w:tcPr>
            <w:tcW w:w="10740"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100.0 </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1103" w:hRule="atLeast"/>
        </w:trPr>
        <w:tc>
          <w:tcPr>
            <w:tcW w:w="14138"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注：1.资金管理情况的考核，对违反预算管理规定行为的，原则上每发现1例扣1分，扣完为止。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2.绩效自评采取打分评价的形式，满分为100分，</w:t>
            </w:r>
            <w:r>
              <w:rPr>
                <w:rFonts w:ascii="宋体" w:hAnsi="宋体" w:cs="宋体"/>
                <w:color w:val="000000"/>
                <w:kern w:val="0"/>
                <w:sz w:val="18"/>
              </w:rPr>
              <w:t>项目单位自评原则上统一按以下方式设置：预算执行率10分、资金管理情况20分、成本指标10分、产出指标30分、效益指标25分、满意度指标5分。二三级指标的分值权重由各单位根据项目实际情况和指标重要程度合理设置。</w:t>
            </w:r>
            <w:r>
              <w:rPr>
                <w:rFonts w:hint="eastAsia" w:ascii="宋体" w:hAnsi="宋体" w:cs="宋体"/>
                <w:color w:val="000000"/>
                <w:kern w:val="0"/>
                <w:sz w:val="18"/>
                <w:szCs w:val="18"/>
              </w:rPr>
              <w:br w:type="textWrapping"/>
            </w:r>
            <w:r>
              <w:rPr>
                <w:rFonts w:ascii="宋体" w:hAnsi="宋体" w:cs="宋体"/>
                <w:color w:val="000000"/>
                <w:kern w:val="0"/>
                <w:sz w:val="18"/>
              </w:rPr>
              <w:t xml:space="preserve">    3.偏差原因分析及改进措施：说明偏离目标、不能完成目标的原因及改进措施。</w:t>
            </w:r>
            <w:r>
              <w:rPr>
                <w:rFonts w:hint="eastAsia" w:ascii="宋体" w:hAnsi="宋体" w:cs="宋体"/>
                <w:color w:val="000000"/>
                <w:kern w:val="0"/>
                <w:sz w:val="18"/>
                <w:szCs w:val="18"/>
              </w:rPr>
              <w:br w:type="textWrapping"/>
            </w:r>
            <w:r>
              <w:rPr>
                <w:rFonts w:ascii="宋体" w:hAnsi="宋体" w:cs="宋体"/>
                <w:color w:val="000000"/>
                <w:kern w:val="0"/>
                <w:sz w:val="18"/>
              </w:rPr>
              <w:t xml:space="preserve">    4.定性指标完成情况分为好、较好、一般、较差四档，在相应档次分别按照100％-90%(含)、90%-80％(含)、80％-60％(含)、60％-0％合理确定分值。定量指标完成指标值的，记该指标所赋全部分值；未完成的，按照完成值与指标值的比例计分。</w:t>
            </w:r>
          </w:p>
        </w:tc>
      </w:tr>
      <w:tr>
        <w:tblPrEx>
          <w:tblCellMar>
            <w:top w:w="0" w:type="dxa"/>
            <w:left w:w="108" w:type="dxa"/>
            <w:bottom w:w="0" w:type="dxa"/>
            <w:right w:w="108" w:type="dxa"/>
          </w:tblCellMar>
        </w:tblPrEx>
        <w:trPr>
          <w:trHeight w:val="456" w:hRule="atLeast"/>
        </w:trPr>
        <w:tc>
          <w:tcPr>
            <w:tcW w:w="14138"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794" w:hRule="atLeast"/>
        </w:trPr>
        <w:tc>
          <w:tcPr>
            <w:tcW w:w="14138"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r>
    </w:tbl>
    <w:p>
      <w:pPr>
        <w:pStyle w:val="10"/>
      </w:pPr>
    </w:p>
    <w:tbl>
      <w:tblPr>
        <w:tblStyle w:val="13"/>
        <w:tblW w:w="5000" w:type="pct"/>
        <w:tblInd w:w="0" w:type="dxa"/>
        <w:shd w:val="clear" w:color="auto" w:fill="auto"/>
        <w:tblLayout w:type="autofit"/>
        <w:tblCellMar>
          <w:top w:w="0" w:type="dxa"/>
          <w:left w:w="108" w:type="dxa"/>
          <w:bottom w:w="0" w:type="dxa"/>
          <w:right w:w="108" w:type="dxa"/>
        </w:tblCellMar>
      </w:tblPr>
      <w:tblGrid>
        <w:gridCol w:w="916"/>
        <w:gridCol w:w="1225"/>
        <w:gridCol w:w="1353"/>
        <w:gridCol w:w="2930"/>
        <w:gridCol w:w="928"/>
        <w:gridCol w:w="1437"/>
        <w:gridCol w:w="1313"/>
        <w:gridCol w:w="1042"/>
        <w:gridCol w:w="1562"/>
        <w:gridCol w:w="1468"/>
      </w:tblGrid>
      <w:tr>
        <w:tblPrEx>
          <w:tblCellMar>
            <w:top w:w="0" w:type="dxa"/>
            <w:left w:w="108" w:type="dxa"/>
            <w:bottom w:w="0" w:type="dxa"/>
            <w:right w:w="108" w:type="dxa"/>
          </w:tblCellMar>
        </w:tblPrEx>
        <w:trPr>
          <w:trHeight w:val="558" w:hRule="atLeast"/>
        </w:trPr>
        <w:tc>
          <w:tcPr>
            <w:tcW w:w="0" w:type="auto"/>
            <w:gridSpan w:val="10"/>
            <w:tcBorders>
              <w:top w:val="nil"/>
              <w:left w:val="nil"/>
              <w:bottom w:val="nil"/>
              <w:right w:val="nil"/>
            </w:tcBorders>
            <w:shd w:val="clear" w:color="auto" w:fill="auto"/>
            <w:noWrap/>
            <w:vAlign w:val="center"/>
          </w:tcPr>
          <w:p>
            <w:pPr>
              <w:pStyle w:val="12"/>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项目自评表</w:t>
            </w:r>
          </w:p>
        </w:tc>
      </w:tr>
      <w:tr>
        <w:tblPrEx>
          <w:tblCellMar>
            <w:top w:w="0" w:type="dxa"/>
            <w:left w:w="108" w:type="dxa"/>
            <w:bottom w:w="0" w:type="dxa"/>
            <w:right w:w="108" w:type="dxa"/>
          </w:tblCellMar>
        </w:tblPrEx>
        <w:trPr>
          <w:trHeight w:val="37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毓秀路街景整治提升项目(尾款)</w:t>
            </w:r>
          </w:p>
        </w:tc>
      </w:tr>
      <w:tr>
        <w:tblPrEx>
          <w:tblCellMar>
            <w:top w:w="0" w:type="dxa"/>
            <w:left w:w="108" w:type="dxa"/>
            <w:bottom w:w="0" w:type="dxa"/>
            <w:right w:w="108" w:type="dxa"/>
          </w:tblCellMar>
        </w:tblPrEx>
        <w:trPr>
          <w:trHeight w:val="37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许昌市城管局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许昌市城市管理执法支队</w:t>
            </w:r>
          </w:p>
        </w:tc>
      </w:tr>
      <w:tr>
        <w:tblPrEx>
          <w:tblCellMar>
            <w:top w:w="0" w:type="dxa"/>
            <w:left w:w="108" w:type="dxa"/>
            <w:bottom w:w="0" w:type="dxa"/>
            <w:right w:w="108" w:type="dxa"/>
          </w:tblCellMar>
        </w:tblPrEx>
        <w:trPr>
          <w:trHeight w:val="63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项目资金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全年预算数</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全年执行数</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执行率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（B/A</w:t>
            </w:r>
            <w:r>
              <w:rPr>
                <w:rFonts w:ascii="宋体" w:hAnsi="宋体" w:cs="宋体"/>
                <w:color w:val="000000"/>
                <w:kern w:val="0"/>
                <w:sz w:val="24"/>
              </w:rPr>
              <w:t>x</w:t>
            </w:r>
            <w:r>
              <w:rPr>
                <w:rFonts w:ascii="宋体" w:hAnsi="宋体" w:cs="宋体"/>
                <w:color w:val="000000"/>
                <w:kern w:val="0"/>
                <w:sz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r>
      <w:tr>
        <w:tblPrEx>
          <w:tblCellMar>
            <w:top w:w="0" w:type="dxa"/>
            <w:left w:w="108" w:type="dxa"/>
            <w:bottom w:w="0" w:type="dxa"/>
            <w:right w:w="108" w:type="dxa"/>
          </w:tblCellMar>
        </w:tblPrEx>
        <w:trPr>
          <w:trHeight w:val="3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 </w:t>
            </w:r>
          </w:p>
        </w:tc>
      </w:tr>
      <w:tr>
        <w:tblPrEx>
          <w:tblCellMar>
            <w:top w:w="0" w:type="dxa"/>
            <w:left w:w="108" w:type="dxa"/>
            <w:bottom w:w="0" w:type="dxa"/>
            <w:right w:w="108" w:type="dxa"/>
          </w:tblCellMar>
        </w:tblPrEx>
        <w:trPr>
          <w:trHeight w:val="3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其中：政府预算资金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3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3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4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存在问题和改进措施</w:t>
            </w:r>
          </w:p>
        </w:tc>
      </w:tr>
      <w:tr>
        <w:tblPrEx>
          <w:tblCellMar>
            <w:top w:w="0" w:type="dxa"/>
            <w:left w:w="108" w:type="dxa"/>
            <w:bottom w:w="0" w:type="dxa"/>
            <w:right w:w="108" w:type="dxa"/>
          </w:tblCellMar>
        </w:tblPrEx>
        <w:trPr>
          <w:trHeight w:val="3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根据签订合同金额，安排资金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3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依据合同约定，及时拨付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3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3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预算绩效管理合规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37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全年实际完成情况</w:t>
            </w:r>
          </w:p>
        </w:tc>
      </w:tr>
      <w:tr>
        <w:tblPrEx>
          <w:tblCellMar>
            <w:top w:w="0" w:type="dxa"/>
            <w:left w:w="108" w:type="dxa"/>
            <w:bottom w:w="0" w:type="dxa"/>
            <w:right w:w="108" w:type="dxa"/>
          </w:tblCellMar>
        </w:tblPrEx>
        <w:trPr>
          <w:trHeight w:val="94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进一步改善城市环境，更好的服务沿线的学校、医院、商户、居民，切实为市民群众创造一个优美的工作和生活环境。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全部完成预期目标</w:t>
            </w:r>
          </w:p>
        </w:tc>
      </w:tr>
      <w:tr>
        <w:tblPrEx>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绩</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效</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偏差原因分析及改进措施</w:t>
            </w:r>
          </w:p>
        </w:tc>
      </w:tr>
      <w:tr>
        <w:tblPrEx>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指标1：项目施工（尾款）</w:t>
            </w:r>
          </w:p>
        </w:tc>
        <w:tc>
          <w:tcPr>
            <w:tcW w:w="0" w:type="auto"/>
            <w:tcBorders>
              <w:top w:val="nil"/>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12.65万元</w:t>
            </w:r>
          </w:p>
        </w:tc>
        <w:tc>
          <w:tcPr>
            <w:tcW w:w="0" w:type="auto"/>
            <w:tcBorders>
              <w:top w:val="nil"/>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12.65万元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指标2：监理费（尾款）</w:t>
            </w:r>
          </w:p>
        </w:tc>
        <w:tc>
          <w:tcPr>
            <w:tcW w:w="0" w:type="auto"/>
            <w:tcBorders>
              <w:top w:val="nil"/>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1.4万元</w:t>
            </w:r>
          </w:p>
        </w:tc>
        <w:tc>
          <w:tcPr>
            <w:tcW w:w="0" w:type="auto"/>
            <w:tcBorders>
              <w:top w:val="nil"/>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指标3：设计费（尾款）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1.84万元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1.84万元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2"/>
              <w:widowControl/>
              <w:jc w:val="left"/>
              <w:rPr>
                <w:rFonts w:ascii="宋体" w:hAnsi="宋体" w:cs="宋体"/>
                <w:color w:val="000000"/>
                <w:kern w:val="0"/>
                <w:sz w:val="20"/>
                <w:szCs w:val="20"/>
              </w:rPr>
            </w:pPr>
            <w:r>
              <w:rPr>
                <w:rFonts w:hint="eastAsia" w:ascii="宋体" w:hAnsi="宋体" w:cs="宋体"/>
                <w:color w:val="000000"/>
                <w:kern w:val="0"/>
                <w:sz w:val="20"/>
                <w:szCs w:val="20"/>
              </w:rPr>
              <w:t>指标4：可行性研究报告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2"/>
              <w:widowControl/>
              <w:jc w:val="left"/>
              <w:rPr>
                <w:rFonts w:ascii="宋体" w:hAnsi="宋体"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0.55万元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0.55万元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2"/>
              <w:widowControl/>
              <w:jc w:val="left"/>
              <w:rPr>
                <w:rFonts w:ascii="宋体" w:hAnsi="宋体" w:cs="宋体"/>
                <w:color w:val="000000"/>
                <w:kern w:val="0"/>
                <w:sz w:val="20"/>
                <w:szCs w:val="20"/>
              </w:rPr>
            </w:pPr>
            <w:r>
              <w:rPr>
                <w:rFonts w:hint="eastAsia" w:ascii="宋体" w:hAnsi="宋体" w:cs="宋体"/>
                <w:color w:val="000000"/>
                <w:kern w:val="0"/>
                <w:sz w:val="20"/>
                <w:szCs w:val="20"/>
              </w:rPr>
              <w:t>指标5：招标代理费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2"/>
              <w:widowControl/>
              <w:jc w:val="left"/>
              <w:rPr>
                <w:rFonts w:ascii="宋体" w:hAnsi="宋体"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指标1：沿街建筑外墙真石漆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17371.06平方米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17371.06平方米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指标2：门头牌匾更新更换731米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731米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731米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指标3：沿街建筑物外墙清洗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3408.25平方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3408.25平方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指标4：新建围墙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68米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68米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指标5：空调移机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指标6：空调罩制作和安装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526个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526个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指标1：沿街建筑外墙真石漆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指标2：门头牌匾更新更换731米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指标3：沿街建筑物外墙清洗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指标4：新建围墙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指标5：空调移机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指标6：空调罩制作和安装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指标1：在合同规定时间完工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6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效益指标(25分)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指标1：毓秀路街道干净整洁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指标1：沿街单位、门店满意度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378"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885"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r>
              <w:rPr>
                <w:rFonts w:hint="eastAsia" w:ascii="宋体" w:hAnsi="宋体" w:cs="宋体"/>
                <w:color w:val="000000"/>
                <w:kern w:val="0"/>
                <w:sz w:val="18"/>
                <w:szCs w:val="18"/>
              </w:rPr>
              <w:t>注：1.资金管理情况的考核，对违反预算管理规定行为的，原则上每发现1例扣1分，扣完为止。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2.绩效自评采取打分评价的形式，满分为100分，</w:t>
            </w:r>
            <w:r>
              <w:rPr>
                <w:rFonts w:ascii="宋体" w:hAnsi="宋体" w:cs="宋体"/>
                <w:color w:val="000000"/>
                <w:kern w:val="0"/>
                <w:sz w:val="18"/>
              </w:rPr>
              <w:t>项目单位自评原则上统一按以下方式设置：预算执行率10分、资金管理情况20分、成本指标10分、产出指标30分、效益指标25分、满意度指标5分。二三级指标的分值权重由各单位根据项目实际情况和指标重要程度合理设置。</w:t>
            </w:r>
            <w:r>
              <w:rPr>
                <w:rFonts w:hint="eastAsia" w:ascii="宋体" w:hAnsi="宋体" w:cs="宋体"/>
                <w:color w:val="000000"/>
                <w:kern w:val="0"/>
                <w:sz w:val="18"/>
                <w:szCs w:val="18"/>
              </w:rPr>
              <w:br w:type="textWrapping"/>
            </w:r>
            <w:r>
              <w:rPr>
                <w:rFonts w:ascii="宋体" w:hAnsi="宋体" w:cs="宋体"/>
                <w:color w:val="000000"/>
                <w:kern w:val="0"/>
                <w:sz w:val="18"/>
              </w:rPr>
              <w:t xml:space="preserve">    3.偏差原因分析及改进措施：说明偏离目标、不能完成目标的原因及改进措施。</w:t>
            </w:r>
            <w:r>
              <w:rPr>
                <w:rFonts w:hint="eastAsia" w:ascii="宋体" w:hAnsi="宋体" w:cs="宋体"/>
                <w:color w:val="000000"/>
                <w:kern w:val="0"/>
                <w:sz w:val="18"/>
                <w:szCs w:val="18"/>
              </w:rPr>
              <w:br w:type="textWrapping"/>
            </w:r>
            <w:r>
              <w:rPr>
                <w:rFonts w:ascii="宋体" w:hAnsi="宋体" w:cs="宋体"/>
                <w:color w:val="000000"/>
                <w:kern w:val="0"/>
                <w:sz w:val="18"/>
              </w:rPr>
              <w:t xml:space="preserve">    4.定性指标完成情况分为好、较好、一般、较差四档，在相应档次分别按照100％-90%(含)、90%-80％(含)、80％-60％(含)、60％-0％合理确定分值。定量指标完成指标值的，记该指标所赋全部分值；未完成的，按照完成值与指标值的比例计分。</w:t>
            </w:r>
          </w:p>
        </w:tc>
      </w:tr>
      <w:tr>
        <w:tblPrEx>
          <w:tblCellMar>
            <w:top w:w="0" w:type="dxa"/>
            <w:left w:w="108" w:type="dxa"/>
            <w:bottom w:w="0" w:type="dxa"/>
            <w:right w:w="108" w:type="dxa"/>
          </w:tblCellMar>
        </w:tblPrEx>
        <w:trPr>
          <w:trHeight w:val="36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57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widowControl/>
              <w:jc w:val="left"/>
              <w:rPr>
                <w:rFonts w:ascii="宋体" w:hAnsi="宋体" w:cs="宋体"/>
                <w:color w:val="000000"/>
                <w:kern w:val="0"/>
                <w:sz w:val="18"/>
                <w:szCs w:val="18"/>
              </w:rPr>
            </w:pPr>
          </w:p>
        </w:tc>
      </w:tr>
    </w:tbl>
    <w:p>
      <w:pPr>
        <w:pStyle w:val="10"/>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1"/>
        <w:gridCol w:w="1396"/>
        <w:gridCol w:w="2328"/>
        <w:gridCol w:w="1013"/>
        <w:gridCol w:w="935"/>
        <w:gridCol w:w="1883"/>
        <w:gridCol w:w="278"/>
        <w:gridCol w:w="544"/>
        <w:gridCol w:w="508"/>
        <w:gridCol w:w="621"/>
        <w:gridCol w:w="440"/>
        <w:gridCol w:w="725"/>
        <w:gridCol w:w="1318"/>
        <w:gridCol w:w="1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生活垃圾填埋场运行经费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许昌市环境卫生管理处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251.58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225.9</w:t>
            </w:r>
          </w:p>
        </w:tc>
        <w:tc>
          <w:tcPr>
            <w:tcW w:w="0" w:type="auto"/>
            <w:tcBorders>
              <w:top w:val="nil"/>
              <w:left w:val="nil"/>
              <w:bottom w:val="nil"/>
              <w:right w:val="nil"/>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251.58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安排科学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拨付合规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使用规范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已完成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保障市中心区、魏都区、东城区垃圾填埋；市中心区粪便处理及所产生的污水处理；魏都区东城区开发区部分粪便处理及所产生的污水处理等;保障垃圾焚烧后产生的飞灰填埋工作。2、保障我市香山公园绿化管养、巡山安全等工作支出。</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维持全年工作运转成本支出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192.6万元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166.92万元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更换垃圾填埋场渗滤液处理设备滤膜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58.98万元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58.98万元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更换垃圾填埋场渗滤液处理设备滤膜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粪便处理量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0.5-0.73万吨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0.15万吨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各区公厕升级改造后，符合排放标准的污水排入市政管道，进场粪便量减少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渗滤液处理量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1.8-2.5万吨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0.2万吨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0.62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-88.89%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1、因设备升级改造，停产1个月，处理量减少。2、因垃圾及时进行了覆盖，堆体积存的渗滤液量逐渐减少。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垃圾填埋量及飞灰固化物处理量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5-6万吨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4.38万吨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垃圾焚烧电厂实际产生了4.38万吨，全部进场填埋处理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进场粪便处理完成率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进场垃圾及飞灰填埋工作完成率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完成全年各项工作及时率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减少粪便环境污染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减少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公厕粪便无害化处理率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pStyle w:val="14"/>
              <w:keepNext w:val="0"/>
              <w:keepLines w:val="0"/>
              <w:widowControl/>
              <w:suppressLineNumbers w:val="0"/>
              <w:jc w:val="left"/>
              <w:textAlignment w:val="center"/>
              <w:rPr>
                <w:rFonts w:hint="default" w:ascii="宋体" w:hAnsi="宋体" w:eastAsia="宋体" w:cs="宋体"/>
                <w:b/>
                <w:bCs/>
                <w:i w:val="0"/>
                <w:iCs w:val="0"/>
                <w:color w:val="000000"/>
                <w:kern w:val="0"/>
                <w:sz w:val="18"/>
                <w:szCs w:val="18"/>
                <w:u w:val="none"/>
                <w:lang w:val="en-US" w:eastAsia="zh-CN" w:bidi="en-AU"/>
              </w:rPr>
            </w:pPr>
            <w:r>
              <w:rPr>
                <w:rFonts w:hint="eastAsia" w:ascii="宋体" w:hAnsi="宋体" w:cs="宋体"/>
                <w:b/>
                <w:bCs/>
                <w:i w:val="0"/>
                <w:iCs w:val="0"/>
                <w:color w:val="000000"/>
                <w:kern w:val="0"/>
                <w:sz w:val="18"/>
                <w:szCs w:val="18"/>
                <w:u w:val="none"/>
                <w:lang w:val="en-US" w:eastAsia="zh-CN" w:bidi="en-AU"/>
              </w:rPr>
              <w:t>附件一</w:t>
            </w:r>
          </w:p>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14"/>
            <w:tcBorders>
              <w:top w:val="nil"/>
              <w:left w:val="nil"/>
              <w:bottom w:val="nil"/>
              <w:right w:val="nil"/>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2020年环卫专用车辆质保金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许昌市环境卫生管理处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52.26</w:t>
            </w:r>
          </w:p>
        </w:tc>
        <w:tc>
          <w:tcPr>
            <w:tcW w:w="0" w:type="auto"/>
            <w:tcBorders>
              <w:top w:val="nil"/>
              <w:left w:val="nil"/>
              <w:bottom w:val="nil"/>
              <w:right w:val="nil"/>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安排科学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拨付合规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使用规范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已完成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保障市中心区、魏都区、东城区垃圾填埋；市中心区粪便处理及所产生的污水处理；魏都区东城区开发区部分粪便处理及所产生的污水处理等;保障垃圾焚烧后产生的飞灰填埋工作。2、保障我市香山公园绿化管养、巡山安全等工作支出。</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按照合同约定竣工完成后满一年无质量问题后予以支付质保金款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52.26万元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52.26万元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购置环卫作业车辆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达到招标文件技术规格和主要参数要求及其他技术服务要求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达到环卫机械化作业要求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按照合同约定及时交货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保修期限（燃油车辆整车质保）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保修期限（新能源车辆整车质保）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提高了环卫生产作业效率和环卫机械化作业率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降低了人工道路作业风险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保障环境清洁和提高道路环境质量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pStyle w:val="14"/>
              <w:keepNext w:val="0"/>
              <w:keepLines w:val="0"/>
              <w:widowControl/>
              <w:suppressLineNumbers w:val="0"/>
              <w:jc w:val="left"/>
              <w:textAlignment w:val="center"/>
              <w:rPr>
                <w:rFonts w:hint="default" w:ascii="宋体" w:hAnsi="宋体" w:eastAsia="宋体" w:cs="宋体"/>
                <w:b/>
                <w:bCs/>
                <w:i w:val="0"/>
                <w:iCs w:val="0"/>
                <w:color w:val="000000"/>
                <w:kern w:val="0"/>
                <w:sz w:val="18"/>
                <w:szCs w:val="18"/>
                <w:u w:val="none"/>
                <w:lang w:val="en-US" w:eastAsia="zh-CN" w:bidi="en-AU"/>
              </w:rPr>
            </w:pPr>
            <w:r>
              <w:rPr>
                <w:rFonts w:hint="eastAsia" w:ascii="宋体" w:hAnsi="宋体" w:cs="宋体"/>
                <w:b/>
                <w:bCs/>
                <w:i w:val="0"/>
                <w:iCs w:val="0"/>
                <w:color w:val="000000"/>
                <w:kern w:val="0"/>
                <w:sz w:val="18"/>
                <w:szCs w:val="18"/>
                <w:u w:val="none"/>
                <w:lang w:val="en-US" w:eastAsia="zh-CN" w:bidi="en-AU"/>
              </w:rPr>
              <w:t>附件一</w:t>
            </w:r>
          </w:p>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14"/>
            <w:tcBorders>
              <w:top w:val="nil"/>
              <w:left w:val="nil"/>
              <w:bottom w:val="nil"/>
              <w:right w:val="nil"/>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2020年生活垃圾填埋场购置垃圾渗滤液设备质保金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许昌市环境卫生管理处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52.5</w:t>
            </w:r>
          </w:p>
        </w:tc>
        <w:tc>
          <w:tcPr>
            <w:tcW w:w="0" w:type="auto"/>
            <w:tcBorders>
              <w:top w:val="nil"/>
              <w:left w:val="nil"/>
              <w:bottom w:val="nil"/>
              <w:right w:val="nil"/>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安排科学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拨付合规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使用规范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已完成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保障市中心区、魏都区、东城区垃圾填埋；市中心区粪便处理及所产生的污水处理；魏都区东城区开发区部分粪便处理及所产生的污水处理等;保障垃圾焚烧后产生的飞灰填埋工作。2、保障我市香山公园绿化管养、巡山安全等工作支出。</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按照合同约定竣工完成后满一年无质量问题后予以支付质保金款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购置新设备数量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要求按照中标标准配置不可漏项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竣工验收是否合格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项目是否按照合同约定及时交货并完成安装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解决了垃圾渗滤液无害化处理问题和减少了因设备故障引起的环境污染事件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及时无害化处理进场生活垃圾产生的垃圾渗滤液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pStyle w:val="14"/>
              <w:keepNext w:val="0"/>
              <w:keepLines w:val="0"/>
              <w:widowControl/>
              <w:suppressLineNumbers w:val="0"/>
              <w:jc w:val="left"/>
              <w:textAlignment w:val="center"/>
              <w:rPr>
                <w:rFonts w:hint="default" w:ascii="宋体" w:hAnsi="宋体" w:eastAsia="宋体" w:cs="宋体"/>
                <w:b/>
                <w:bCs/>
                <w:i w:val="0"/>
                <w:iCs w:val="0"/>
                <w:color w:val="000000"/>
                <w:kern w:val="0"/>
                <w:sz w:val="18"/>
                <w:szCs w:val="18"/>
                <w:u w:val="none"/>
                <w:lang w:val="en-US" w:eastAsia="zh-CN" w:bidi="en-AU"/>
              </w:rPr>
            </w:pPr>
            <w:r>
              <w:rPr>
                <w:rFonts w:hint="eastAsia" w:ascii="宋体" w:hAnsi="宋体" w:cs="宋体"/>
                <w:b/>
                <w:bCs/>
                <w:i w:val="0"/>
                <w:iCs w:val="0"/>
                <w:color w:val="000000"/>
                <w:kern w:val="0"/>
                <w:sz w:val="18"/>
                <w:szCs w:val="18"/>
                <w:u w:val="none"/>
                <w:lang w:val="en-US" w:eastAsia="zh-CN" w:bidi="en-AU"/>
              </w:rPr>
              <w:t>附件一</w:t>
            </w:r>
          </w:p>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14"/>
            <w:tcBorders>
              <w:top w:val="nil"/>
              <w:left w:val="nil"/>
              <w:bottom w:val="nil"/>
              <w:right w:val="nil"/>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2021年昌盛街、健康巷两座公厕修建工程款及前期费用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许昌市环境卫生管理处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29.56</w:t>
            </w:r>
          </w:p>
        </w:tc>
        <w:tc>
          <w:tcPr>
            <w:tcW w:w="0" w:type="auto"/>
            <w:tcBorders>
              <w:top w:val="nil"/>
              <w:left w:val="nil"/>
              <w:bottom w:val="nil"/>
              <w:right w:val="nil"/>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安排科学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拨付合规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使用规范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已完成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保障市中心区、魏都区、东城区垃圾填埋；市中心区粪便处理及所产生的污水处理；魏都区东城区开发区部分粪便处理及所产生的污水处理等;保障垃圾焚烧后产生的飞灰填埋工作。2、保障我市香山公园绿化管养、巡山安全等工作支出。</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支付施工图设计费预算编制费工程监理费等前期费用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工程建设完工后无质量问题予以支付工程款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28.07万元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28.07万元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修建公厕数量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要求按照中标标准配置不可漏项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按照施工图纸要求不可变更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按照合同约定工期及时完工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满足市民如厕环境要求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提升公厕设施水平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美化周围居民如厕环境及方便周围居民生活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pStyle w:val="14"/>
              <w:keepNext w:val="0"/>
              <w:keepLines w:val="0"/>
              <w:widowControl/>
              <w:suppressLineNumbers w:val="0"/>
              <w:jc w:val="left"/>
              <w:textAlignment w:val="center"/>
              <w:rPr>
                <w:rFonts w:hint="default" w:ascii="宋体" w:hAnsi="宋体" w:eastAsia="宋体" w:cs="宋体"/>
                <w:b/>
                <w:bCs/>
                <w:i w:val="0"/>
                <w:iCs w:val="0"/>
                <w:color w:val="000000"/>
                <w:kern w:val="0"/>
                <w:sz w:val="18"/>
                <w:szCs w:val="18"/>
                <w:u w:val="none"/>
                <w:lang w:val="en-US" w:eastAsia="zh-CN" w:bidi="en-AU"/>
              </w:rPr>
            </w:pPr>
            <w:r>
              <w:rPr>
                <w:rFonts w:hint="eastAsia" w:ascii="宋体" w:hAnsi="宋体" w:cs="宋体"/>
                <w:b/>
                <w:bCs/>
                <w:i w:val="0"/>
                <w:iCs w:val="0"/>
                <w:color w:val="000000"/>
                <w:kern w:val="0"/>
                <w:sz w:val="18"/>
                <w:szCs w:val="18"/>
                <w:u w:val="none"/>
                <w:lang w:val="en-US" w:eastAsia="zh-CN" w:bidi="en-AU"/>
              </w:rPr>
              <w:t>附件一</w:t>
            </w:r>
          </w:p>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14"/>
            <w:tcBorders>
              <w:top w:val="nil"/>
              <w:left w:val="nil"/>
              <w:bottom w:val="nil"/>
              <w:right w:val="nil"/>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2021年火车站新建公厕质保金款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许昌市环境卫生管理处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5.49</w:t>
            </w:r>
          </w:p>
        </w:tc>
        <w:tc>
          <w:tcPr>
            <w:tcW w:w="0" w:type="auto"/>
            <w:tcBorders>
              <w:top w:val="nil"/>
              <w:left w:val="nil"/>
              <w:bottom w:val="nil"/>
              <w:right w:val="nil"/>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安排科学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拨付合规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使用规范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已完成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保障市中心区、魏都区、东城区垃圾填埋；市中心区粪便处理及所产生的污水处理；魏都区东城区开发区部分粪便处理及所产生的污水处理等;保障垃圾焚烧后产生的飞灰填埋工作。2、保障我市香山公园绿化管养、巡山安全等工作支出。</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nil"/>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按照合同约定竣工完成后满一年无质量问题后予以支付质保金款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nil"/>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nil"/>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新建公厕数量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要求按照中标标准配置不可漏项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按照施工图纸要求不可变更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按照合同约定工期及时完工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满足市民如厕环境要求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完善火车站公厕设施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减少因火车站无公厕带来的不文明行为及美化了火车站广场环境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4"/>
              <w:jc w:val="center"/>
              <w:rPr>
                <w:rFonts w:hint="eastAsia" w:ascii="宋体" w:hAnsi="宋体" w:eastAsia="宋体" w:cs="宋体"/>
                <w:i w:val="0"/>
                <w:iCs w:val="0"/>
                <w:color w:val="000000"/>
                <w:sz w:val="18"/>
                <w:szCs w:val="18"/>
                <w:u w:val="none"/>
              </w:rPr>
            </w:pPr>
          </w:p>
        </w:tc>
      </w:tr>
    </w:tbl>
    <w:p>
      <w:pPr>
        <w:pStyle w:val="10"/>
      </w:pPr>
    </w:p>
    <w:tbl>
      <w:tblPr>
        <w:tblStyle w:val="13"/>
        <w:tblpPr w:leftFromText="180" w:rightFromText="180" w:vertAnchor="text" w:horzAnchor="page" w:tblpX="1395" w:tblpY="343"/>
        <w:tblOverlap w:val="never"/>
        <w:tblW w:w="5000" w:type="pct"/>
        <w:tblInd w:w="0" w:type="dxa"/>
        <w:shd w:val="clear" w:color="auto" w:fill="auto"/>
        <w:tblLayout w:type="autofit"/>
        <w:tblCellMar>
          <w:top w:w="0" w:type="dxa"/>
          <w:left w:w="0" w:type="dxa"/>
          <w:bottom w:w="0" w:type="dxa"/>
          <w:right w:w="0" w:type="dxa"/>
        </w:tblCellMar>
      </w:tblPr>
      <w:tblGrid>
        <w:gridCol w:w="961"/>
        <w:gridCol w:w="813"/>
        <w:gridCol w:w="1735"/>
        <w:gridCol w:w="934"/>
        <w:gridCol w:w="1409"/>
        <w:gridCol w:w="2189"/>
        <w:gridCol w:w="171"/>
        <w:gridCol w:w="1139"/>
        <w:gridCol w:w="586"/>
        <w:gridCol w:w="670"/>
        <w:gridCol w:w="536"/>
        <w:gridCol w:w="1099"/>
        <w:gridCol w:w="866"/>
        <w:gridCol w:w="860"/>
      </w:tblGrid>
      <w:tr>
        <w:tblPrEx>
          <w:tblCellMar>
            <w:top w:w="0" w:type="dxa"/>
            <w:left w:w="0" w:type="dxa"/>
            <w:bottom w:w="0" w:type="dxa"/>
            <w:right w:w="0" w:type="dxa"/>
          </w:tblCellMar>
        </w:tblPrEx>
        <w:trPr>
          <w:trHeight w:val="566" w:hRule="exact"/>
        </w:trPr>
        <w:tc>
          <w:tcPr>
            <w:tcW w:w="0" w:type="auto"/>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5"/>
              <w:spacing w:line="465" w:lineRule="exact"/>
              <w:ind w:left="20"/>
              <w:jc w:val="center"/>
              <w:rPr>
                <w:rFonts w:hint="default" w:ascii="宋体" w:hAnsi="Times New Roman" w:cs="宋体"/>
                <w:sz w:val="40"/>
                <w:szCs w:val="40"/>
              </w:rPr>
            </w:pPr>
            <w:r>
              <w:rPr>
                <w:rFonts w:ascii="宋体" w:hAnsi="Times New Roman" w:cs="宋体"/>
                <w:b/>
                <w:sz w:val="40"/>
                <w:szCs w:val="40"/>
              </w:rPr>
              <w:t>项目单位自评表</w:t>
            </w:r>
          </w:p>
        </w:tc>
      </w:tr>
      <w:tr>
        <w:tblPrEx>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项目名称</w:t>
            </w:r>
          </w:p>
        </w:tc>
        <w:tc>
          <w:tcPr>
            <w:tcW w:w="0" w:type="auto"/>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12345政务服务热线运营维护费</w:t>
            </w:r>
          </w:p>
        </w:tc>
      </w:tr>
      <w:tr>
        <w:tblPrEx>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许昌市城市管理局</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实施单位</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许昌市数字化城市管理中心</w:t>
            </w:r>
          </w:p>
        </w:tc>
      </w:tr>
      <w:tr>
        <w:tblPrEx>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年初预算数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执行率 %</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得分</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宋体" w:hAnsi="Times New Roman" w:cs="宋体"/>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301.98</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140.31</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140.07</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99.83</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9.98</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宋体" w:hAnsi="Times New Roman" w:cs="宋体"/>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301.98</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140.31</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140.07</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99.83</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宋体" w:hAnsi="Times New Roman" w:cs="宋体"/>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宋体" w:hAnsi="Times New Roman" w:cs="宋体"/>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w:t>
            </w:r>
          </w:p>
        </w:tc>
      </w:tr>
      <w:tr>
        <w:tblPrEx>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得分</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存在问题和改进措施</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宋体" w:hAnsi="Times New Roman" w:cs="宋体"/>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宋体" w:hAnsi="Times New Roman" w:cs="宋体"/>
                <w:sz w:val="18"/>
                <w:szCs w:val="18"/>
              </w:rPr>
            </w:pPr>
            <w:r>
              <w:rPr>
                <w:rFonts w:ascii="宋体" w:hAnsi="Times New Roman" w:cs="宋体"/>
                <w:sz w:val="18"/>
                <w:szCs w:val="18"/>
              </w:rPr>
              <w:t>安排科学性</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宋体" w:hAnsi="Times New Roman" w:cs="宋体"/>
                <w:sz w:val="18"/>
                <w:szCs w:val="18"/>
              </w:rPr>
            </w:pPr>
            <w:r>
              <w:rPr>
                <w:rFonts w:ascii="宋体" w:hAnsi="Times New Roman" w:cs="宋体"/>
                <w:sz w:val="18"/>
                <w:szCs w:val="18"/>
              </w:rPr>
              <w:t>按照资金管理办法科学合理。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宋体" w:hAnsi="Times New Roman" w:cs="宋体"/>
                <w:sz w:val="18"/>
                <w:szCs w:val="18"/>
              </w:rPr>
            </w:pPr>
            <w:r>
              <w:rPr>
                <w:rFonts w:ascii="宋体" w:hAnsi="Times New Roman" w:cs="宋体"/>
                <w:sz w:val="18"/>
                <w:szCs w:val="18"/>
              </w:rPr>
              <w:t>拨付合规性</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宋体" w:hAnsi="Times New Roman" w:cs="宋体"/>
                <w:sz w:val="18"/>
                <w:szCs w:val="18"/>
              </w:rPr>
            </w:pPr>
            <w:r>
              <w:rPr>
                <w:rFonts w:ascii="宋体" w:hAnsi="Times New Roman" w:cs="宋体"/>
                <w:sz w:val="18"/>
                <w:szCs w:val="18"/>
              </w:rPr>
              <w:t>按照国库集中支付规定依规拨付。</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宋体" w:hAnsi="Times New Roman" w:cs="宋体"/>
                <w:sz w:val="18"/>
                <w:szCs w:val="18"/>
              </w:rPr>
            </w:pPr>
            <w:r>
              <w:rPr>
                <w:rFonts w:ascii="宋体" w:hAnsi="Times New Roman" w:cs="宋体"/>
                <w:sz w:val="18"/>
                <w:szCs w:val="18"/>
              </w:rPr>
              <w:t>使用规范性</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宋体" w:hAnsi="Times New Roman" w:cs="宋体"/>
                <w:sz w:val="18"/>
                <w:szCs w:val="18"/>
              </w:rPr>
            </w:pPr>
            <w:r>
              <w:rPr>
                <w:rFonts w:ascii="宋体" w:hAnsi="Times New Roman" w:cs="宋体"/>
                <w:sz w:val="18"/>
                <w:szCs w:val="18"/>
              </w:rPr>
              <w:t>严格按照规定支出，专款专用。</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宋体" w:hAnsi="Times New Roman" w:cs="宋体"/>
                <w:sz w:val="18"/>
                <w:szCs w:val="18"/>
              </w:rPr>
            </w:pPr>
            <w:r>
              <w:rPr>
                <w:rFonts w:ascii="宋体" w:hAnsi="Times New Roman" w:cs="宋体"/>
                <w:sz w:val="18"/>
                <w:szCs w:val="18"/>
              </w:rPr>
              <w:t>预算绩效管理情况</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宋体" w:hAnsi="Times New Roman" w:cs="宋体"/>
                <w:sz w:val="18"/>
                <w:szCs w:val="18"/>
              </w:rPr>
            </w:pPr>
            <w:r>
              <w:rPr>
                <w:rFonts w:ascii="宋体" w:hAnsi="Times New Roman" w:cs="宋体"/>
                <w:sz w:val="18"/>
                <w:szCs w:val="18"/>
              </w:rPr>
              <w:t>按时填报绩效目标绩效监控等</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预期目标</w:t>
            </w:r>
          </w:p>
        </w:tc>
        <w:tc>
          <w:tcPr>
            <w:tcW w:w="0" w:type="auto"/>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实际完成情况</w:t>
            </w:r>
          </w:p>
        </w:tc>
      </w:tr>
      <w:tr>
        <w:tblPrEx>
          <w:shd w:val="clear" w:color="auto" w:fill="auto"/>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宋体" w:hAnsi="Times New Roman" w:cs="宋体"/>
                <w:sz w:val="18"/>
                <w:szCs w:val="18"/>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1、保障好12345热线话务员的工资、社保等以及热线的正常运转；</w:t>
            </w:r>
          </w:p>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2、及时受理市民群众12345热线诉求。</w:t>
            </w:r>
          </w:p>
        </w:tc>
        <w:tc>
          <w:tcPr>
            <w:tcW w:w="0" w:type="auto"/>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1、保障好12345热线话务员的工资、社保等以及热线的正常运转；</w:t>
            </w:r>
          </w:p>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2、及时受理市民群众12345热线诉求。</w:t>
            </w:r>
          </w:p>
        </w:tc>
      </w:tr>
      <w:tr>
        <w:tblPrEx>
          <w:shd w:val="clear" w:color="auto" w:fill="auto"/>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年度指标值</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偏差度 %</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偏差原因分析及改进措施</w:t>
            </w:r>
          </w:p>
        </w:tc>
      </w:tr>
      <w:tr>
        <w:tblPrEx>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宋体" w:hAnsi="Times New Roman" w:cs="宋体"/>
                <w:sz w:val="18"/>
                <w:szCs w:val="18"/>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成本指标</w:t>
            </w: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宋体" w:hAnsi="Times New Roman" w:cs="宋体"/>
                <w:sz w:val="18"/>
                <w:szCs w:val="18"/>
              </w:rPr>
            </w:pPr>
            <w:r>
              <w:rPr>
                <w:rFonts w:ascii="宋体" w:hAnsi="Times New Roman" w:cs="宋体"/>
                <w:sz w:val="18"/>
                <w:szCs w:val="18"/>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热线运行维护费</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≤12.62万元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3.15万元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12345热线话务员工资社保等</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≤289.36万元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136.92万元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宋体" w:hAnsi="Times New Roman" w:cs="宋体"/>
                <w:sz w:val="18"/>
                <w:szCs w:val="18"/>
              </w:rPr>
            </w:pPr>
            <w:r>
              <w:rPr>
                <w:rFonts w:ascii="宋体" w:hAnsi="Times New Roman" w:cs="宋体"/>
                <w:sz w:val="18"/>
                <w:szCs w:val="18"/>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产出指标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12345热线话务员数量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62个</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62个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12345热线系统正常运行率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工资发放足额率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系统运行维护响应时间</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≤2小时</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1小时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受理、解答、转办群众诉求时间</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7*24</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工资发放时间</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按月发放</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提供就业岗位</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62个</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62个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25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25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群众满意度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≥95%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99.98</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r>
      <w:tr>
        <w:tblPrEx>
          <w:tblCellMar>
            <w:top w:w="0" w:type="dxa"/>
            <w:left w:w="0" w:type="dxa"/>
            <w:bottom w:w="0" w:type="dxa"/>
            <w:right w:w="0" w:type="dxa"/>
          </w:tblCellMar>
        </w:tblPrEx>
        <w:trPr>
          <w:trHeight w:val="566" w:hRule="exact"/>
        </w:trPr>
        <w:tc>
          <w:tcPr>
            <w:tcW w:w="0" w:type="auto"/>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5"/>
              <w:spacing w:line="465" w:lineRule="exact"/>
              <w:ind w:left="20"/>
              <w:jc w:val="center"/>
              <w:rPr>
                <w:rFonts w:hint="default" w:ascii="宋体" w:hAnsi="Times New Roman" w:cs="宋体"/>
                <w:sz w:val="40"/>
                <w:szCs w:val="40"/>
              </w:rPr>
            </w:pPr>
            <w:r>
              <w:rPr>
                <w:rFonts w:ascii="宋体" w:hAnsi="Times New Roman" w:cs="宋体"/>
                <w:b/>
                <w:sz w:val="40"/>
                <w:szCs w:val="40"/>
              </w:rPr>
              <w:t>项目单位自评表</w:t>
            </w:r>
          </w:p>
        </w:tc>
      </w:tr>
      <w:tr>
        <w:tblPrEx>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项目名称</w:t>
            </w:r>
          </w:p>
        </w:tc>
        <w:tc>
          <w:tcPr>
            <w:tcW w:w="0" w:type="auto"/>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聘用第三方采集市容信息专项经费</w:t>
            </w:r>
          </w:p>
        </w:tc>
      </w:tr>
      <w:tr>
        <w:tblPrEx>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许昌市城市管理局</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实施单位</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许昌市数字化城市管理中心</w:t>
            </w:r>
          </w:p>
        </w:tc>
      </w:tr>
      <w:tr>
        <w:tblPrEx>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年初预算数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执行率 %</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得分</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宋体" w:hAnsi="Times New Roman" w:cs="宋体"/>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792.12</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529</w:t>
            </w:r>
            <w:r>
              <w:rPr>
                <w:rFonts w:hint="default" w:ascii="宋体" w:hAnsi="Times New Roman" w:cs="宋体"/>
                <w:sz w:val="18"/>
                <w:szCs w:val="18"/>
              </w:rPr>
              <w:t>.00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226.45</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42.81</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4.28</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宋体" w:hAnsi="Times New Roman" w:cs="宋体"/>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792.12</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529</w:t>
            </w:r>
            <w:r>
              <w:rPr>
                <w:rFonts w:hint="default" w:ascii="宋体" w:hAnsi="Times New Roman" w:cs="宋体"/>
                <w:sz w:val="18"/>
                <w:szCs w:val="18"/>
              </w:rPr>
              <w:t>.00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226.45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42.81</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宋体" w:hAnsi="Times New Roman" w:cs="宋体"/>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宋体" w:hAnsi="Times New Roman" w:cs="宋体"/>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hint="default" w:ascii="宋体" w:hAnsi="Times New Roman" w:cs="宋体"/>
                <w:sz w:val="18"/>
                <w:szCs w:val="18"/>
              </w:rPr>
              <w:t>-</w:t>
            </w:r>
          </w:p>
        </w:tc>
      </w:tr>
      <w:tr>
        <w:tblPrEx>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得分</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存在问题和改进措施</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宋体" w:hAnsi="Times New Roman" w:cs="宋体"/>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宋体" w:hAnsi="Times New Roman" w:cs="宋体"/>
                <w:sz w:val="18"/>
                <w:szCs w:val="18"/>
              </w:rPr>
            </w:pPr>
            <w:r>
              <w:rPr>
                <w:rFonts w:ascii="宋体" w:hAnsi="Times New Roman" w:cs="宋体"/>
                <w:sz w:val="18"/>
                <w:szCs w:val="18"/>
              </w:rPr>
              <w:t>安排科学性</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宋体" w:hAnsi="Times New Roman" w:cs="宋体"/>
                <w:sz w:val="18"/>
                <w:szCs w:val="18"/>
              </w:rPr>
            </w:pPr>
            <w:r>
              <w:rPr>
                <w:rFonts w:ascii="宋体" w:hAnsi="Times New Roman" w:cs="宋体"/>
                <w:sz w:val="18"/>
                <w:szCs w:val="18"/>
              </w:rPr>
              <w:t>按照资金管理办法科学合理。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宋体" w:hAnsi="Times New Roman" w:cs="宋体"/>
                <w:sz w:val="18"/>
                <w:szCs w:val="18"/>
              </w:rPr>
            </w:pPr>
            <w:r>
              <w:rPr>
                <w:rFonts w:ascii="宋体" w:hAnsi="Times New Roman" w:cs="宋体"/>
                <w:sz w:val="18"/>
                <w:szCs w:val="18"/>
              </w:rPr>
              <w:t>拨付合规性</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宋体" w:hAnsi="Times New Roman" w:cs="宋体"/>
                <w:sz w:val="18"/>
                <w:szCs w:val="18"/>
              </w:rPr>
            </w:pPr>
            <w:r>
              <w:rPr>
                <w:rFonts w:ascii="宋体" w:hAnsi="Times New Roman" w:cs="宋体"/>
                <w:sz w:val="18"/>
                <w:szCs w:val="18"/>
              </w:rPr>
              <w:t>按照国库集中支付有关规定依规拨付。</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宋体" w:hAnsi="Times New Roman" w:cs="宋体"/>
                <w:sz w:val="18"/>
                <w:szCs w:val="18"/>
              </w:rPr>
            </w:pPr>
            <w:r>
              <w:rPr>
                <w:rFonts w:ascii="宋体" w:hAnsi="Times New Roman" w:cs="宋体"/>
                <w:sz w:val="18"/>
                <w:szCs w:val="18"/>
              </w:rPr>
              <w:t>使用规范性</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宋体" w:hAnsi="Times New Roman" w:cs="宋体"/>
                <w:sz w:val="18"/>
                <w:szCs w:val="18"/>
              </w:rPr>
            </w:pPr>
            <w:r>
              <w:rPr>
                <w:rFonts w:ascii="宋体" w:hAnsi="Times New Roman" w:cs="宋体"/>
                <w:sz w:val="18"/>
                <w:szCs w:val="18"/>
              </w:rPr>
              <w:t>严格按照规定专款专用。</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宋体" w:hAnsi="Times New Roman" w:cs="宋体"/>
                <w:sz w:val="18"/>
                <w:szCs w:val="18"/>
              </w:rPr>
            </w:pPr>
            <w:r>
              <w:rPr>
                <w:rFonts w:ascii="宋体" w:hAnsi="Times New Roman" w:cs="宋体"/>
                <w:sz w:val="18"/>
                <w:szCs w:val="18"/>
              </w:rPr>
              <w:t>预算绩效管理情况</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宋体" w:hAnsi="Times New Roman" w:cs="宋体"/>
                <w:sz w:val="18"/>
                <w:szCs w:val="18"/>
              </w:rPr>
            </w:pPr>
            <w:r>
              <w:rPr>
                <w:rFonts w:ascii="宋体" w:hAnsi="Times New Roman" w:cs="宋体"/>
                <w:sz w:val="18"/>
                <w:szCs w:val="18"/>
              </w:rPr>
              <w:t>按时填报绩效目标绩效监控等</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预期目标</w:t>
            </w:r>
          </w:p>
        </w:tc>
        <w:tc>
          <w:tcPr>
            <w:tcW w:w="0" w:type="auto"/>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实际完成情况</w:t>
            </w:r>
          </w:p>
        </w:tc>
      </w:tr>
      <w:tr>
        <w:tblPrEx>
          <w:shd w:val="clear" w:color="auto" w:fill="auto"/>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宋体" w:hAnsi="Times New Roman" w:cs="宋体"/>
                <w:sz w:val="18"/>
                <w:szCs w:val="18"/>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1、保证城市管理问题的及时发现和全面处置；</w:t>
            </w:r>
          </w:p>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2、保障数字城管案件的采集、准确传输以及核查核实等。</w:t>
            </w:r>
          </w:p>
        </w:tc>
        <w:tc>
          <w:tcPr>
            <w:tcW w:w="0" w:type="auto"/>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1、保证城市管理问题的及时发现和全面处置；</w:t>
            </w:r>
          </w:p>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2、保障数字城管案件的采集、准确传输以及核查核实等。</w:t>
            </w:r>
          </w:p>
        </w:tc>
      </w:tr>
      <w:tr>
        <w:tblPrEx>
          <w:shd w:val="clear" w:color="auto" w:fill="auto"/>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年度指标值</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偏差度 %</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偏差原因分析及改进措施</w:t>
            </w:r>
          </w:p>
        </w:tc>
      </w:tr>
      <w:tr>
        <w:tblPrEx>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宋体" w:hAnsi="Times New Roman" w:cs="宋体"/>
                <w:sz w:val="18"/>
                <w:szCs w:val="18"/>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宋体" w:hAnsi="Times New Roman" w:cs="宋体"/>
                <w:sz w:val="18"/>
                <w:szCs w:val="18"/>
              </w:rPr>
            </w:pPr>
            <w:r>
              <w:rPr>
                <w:rFonts w:ascii="宋体" w:hAnsi="Times New Roman" w:cs="宋体"/>
                <w:sz w:val="18"/>
                <w:szCs w:val="18"/>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信息采集全年经费</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≤792.12万元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226.45万元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宋体" w:hAnsi="Times New Roman" w:cs="宋体"/>
                <w:sz w:val="18"/>
                <w:szCs w:val="18"/>
              </w:rPr>
            </w:pPr>
            <w:r>
              <w:rPr>
                <w:rFonts w:ascii="宋体" w:hAnsi="Times New Roman" w:cs="宋体"/>
                <w:sz w:val="18"/>
                <w:szCs w:val="18"/>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产出指标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每月有效快速案件上报量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≥5000条</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5000条</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上报信息有效率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≥95%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采集员及时核查率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≥95%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采集各类城市管理问题</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长效</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及时发现问题并改善城市市容市貌</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改善</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单位相关人员满意度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≥95%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Times New Roman" w:cs="宋体"/>
                <w:sz w:val="18"/>
                <w:szCs w:val="18"/>
              </w:rPr>
            </w:pPr>
            <w:r>
              <w:rPr>
                <w:rFonts w:ascii="宋体" w:hAnsi="Times New Roman" w:cs="宋体"/>
                <w:sz w:val="18"/>
                <w:szCs w:val="18"/>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宋体" w:hAnsi="Times New Roman" w:cs="宋体"/>
                <w:sz w:val="18"/>
                <w:szCs w:val="18"/>
              </w:rPr>
            </w:pPr>
            <w:r>
              <w:rPr>
                <w:rFonts w:ascii="宋体" w:hAnsi="Times New Roman" w:cs="宋体"/>
                <w:sz w:val="18"/>
                <w:szCs w:val="18"/>
              </w:rPr>
              <w:t>94.28</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5"/>
              <w:rPr>
                <w:rFonts w:hint="default" w:ascii="Times New Roman" w:cs="Times New Roman"/>
                <w:color w:val="auto"/>
              </w:rPr>
            </w:pPr>
          </w:p>
        </w:tc>
      </w:tr>
    </w:tbl>
    <w:tbl>
      <w:tblPr>
        <w:tblStyle w:val="4"/>
        <w:tblpPr w:leftFromText="180" w:rightFromText="180" w:vertAnchor="text" w:horzAnchor="page" w:tblpX="1380" w:tblpY="404"/>
        <w:tblOverlap w:val="never"/>
        <w:tblW w:w="5000" w:type="pct"/>
        <w:tblInd w:w="0" w:type="dxa"/>
        <w:shd w:val="clear" w:color="auto" w:fill="auto"/>
        <w:tblLayout w:type="autofit"/>
        <w:tblCellMar>
          <w:top w:w="0" w:type="dxa"/>
          <w:left w:w="0" w:type="dxa"/>
          <w:bottom w:w="0" w:type="dxa"/>
          <w:right w:w="0" w:type="dxa"/>
        </w:tblCellMar>
      </w:tblPr>
      <w:tblGrid>
        <w:gridCol w:w="805"/>
        <w:gridCol w:w="688"/>
        <w:gridCol w:w="1515"/>
        <w:gridCol w:w="734"/>
        <w:gridCol w:w="718"/>
        <w:gridCol w:w="4495"/>
        <w:gridCol w:w="976"/>
        <w:gridCol w:w="502"/>
        <w:gridCol w:w="503"/>
        <w:gridCol w:w="413"/>
        <w:gridCol w:w="848"/>
        <w:gridCol w:w="1771"/>
      </w:tblGrid>
      <w:tr>
        <w:tblPrEx>
          <w:tblCellMar>
            <w:top w:w="0" w:type="dxa"/>
            <w:left w:w="0" w:type="dxa"/>
            <w:bottom w:w="0" w:type="dxa"/>
            <w:right w:w="0" w:type="dxa"/>
          </w:tblCellMar>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5"/>
              <w:spacing w:line="465" w:lineRule="exact"/>
              <w:ind w:left="20"/>
              <w:jc w:val="center"/>
              <w:rPr>
                <w:rFonts w:hint="default" w:ascii="宋体" w:hAnsi="Times New Roman" w:cs="宋体"/>
                <w:sz w:val="40"/>
                <w:szCs w:val="40"/>
              </w:rPr>
            </w:pPr>
            <w:r>
              <w:rPr>
                <w:rFonts w:ascii="宋体" w:hAnsi="Times New Roman" w:cs="宋体"/>
                <w:b/>
                <w:sz w:val="40"/>
                <w:szCs w:val="40"/>
              </w:rPr>
              <w:t>项目单位自评表</w:t>
            </w:r>
          </w:p>
        </w:tc>
      </w:tr>
      <w:tr>
        <w:tblPrEx>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宋体" w:hAnsi="宋体" w:cs="宋体"/>
                <w:kern w:val="2"/>
                <w:sz w:val="18"/>
                <w:szCs w:val="18"/>
                <w:lang w:bidi="en-AU"/>
              </w:rPr>
              <w:t>网络运营年费</w:t>
            </w:r>
          </w:p>
        </w:tc>
      </w:tr>
      <w:tr>
        <w:tblPrEx>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许昌市城市管理局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许昌市数字化城市管理中心</w:t>
            </w:r>
          </w:p>
        </w:tc>
      </w:tr>
      <w:tr>
        <w:tblPrEx>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得分</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Dialog" w:hAnsi="Times New Roman" w:cs="Dialog"/>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4</w:t>
            </w:r>
            <w:r>
              <w:rPr>
                <w:rFonts w:hint="default" w:ascii="Dialog" w:hAnsi="Times New Roman" w:cs="Dialog"/>
                <w:sz w:val="18"/>
                <w:szCs w:val="18"/>
              </w:rPr>
              <w:t>2.9</w:t>
            </w:r>
            <w:r>
              <w:rPr>
                <w:rFonts w:ascii="Dialog" w:hAnsi="Times New Roman" w:cs="Dialog"/>
                <w:sz w:val="18"/>
                <w:szCs w:val="18"/>
              </w:rPr>
              <w:t>6</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4</w:t>
            </w:r>
            <w:r>
              <w:rPr>
                <w:rFonts w:hint="default" w:ascii="Dialog" w:hAnsi="Times New Roman" w:cs="Dialog"/>
                <w:sz w:val="18"/>
                <w:szCs w:val="18"/>
              </w:rPr>
              <w:t>2.96</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10</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Dialog" w:hAnsi="Times New Roman" w:cs="Dialog"/>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4</w:t>
            </w:r>
            <w:r>
              <w:rPr>
                <w:rFonts w:hint="default" w:ascii="Dialog" w:hAnsi="Times New Roman" w:cs="Dialog"/>
                <w:sz w:val="18"/>
                <w:szCs w:val="18"/>
              </w:rPr>
              <w:t>2.9</w:t>
            </w:r>
            <w:r>
              <w:rPr>
                <w:rFonts w:ascii="Dialog" w:hAnsi="Times New Roman" w:cs="Dialog"/>
                <w:sz w:val="18"/>
                <w:szCs w:val="18"/>
              </w:rPr>
              <w:t>6</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4</w:t>
            </w:r>
            <w:r>
              <w:rPr>
                <w:rFonts w:hint="default" w:ascii="Dialog" w:hAnsi="Times New Roman" w:cs="Dialog"/>
                <w:sz w:val="18"/>
                <w:szCs w:val="18"/>
              </w:rPr>
              <w:t>2.9</w:t>
            </w:r>
            <w:r>
              <w:rPr>
                <w:rFonts w:ascii="Dialog" w:hAnsi="Times New Roman" w:cs="Dialog"/>
                <w:sz w:val="18"/>
                <w:szCs w:val="18"/>
              </w:rPr>
              <w:t>6</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Dialog" w:hAnsi="Times New Roman" w:cs="Dialog"/>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Dialog" w:hAnsi="Times New Roman" w:cs="Dialog"/>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w:t>
            </w:r>
          </w:p>
        </w:tc>
      </w:tr>
      <w:tr>
        <w:tblPrEx>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存在问题和改进措施</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Dialog" w:hAnsi="Times New Roman" w:cs="Dialog"/>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Dialog" w:hAnsi="Times New Roman" w:cs="Dialog"/>
                <w:sz w:val="18"/>
                <w:szCs w:val="18"/>
              </w:rPr>
            </w:pPr>
            <w:r>
              <w:rPr>
                <w:rFonts w:ascii="Dialog" w:hAnsi="Times New Roman" w:cs="Dialog"/>
                <w:sz w:val="18"/>
                <w:szCs w:val="18"/>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widowControl/>
              <w:textAlignment w:val="center"/>
              <w:rPr>
                <w:rFonts w:hint="default" w:ascii="Dialog" w:hAnsi="Times New Roman" w:cs="Dialog"/>
                <w:sz w:val="18"/>
                <w:szCs w:val="18"/>
              </w:rPr>
            </w:pPr>
            <w:r>
              <w:rPr>
                <w:rFonts w:ascii="宋体" w:hAnsi="宋体" w:cs="宋体"/>
                <w:color w:val="auto"/>
                <w:sz w:val="18"/>
                <w:szCs w:val="18"/>
                <w:lang w:bidi="en-AU"/>
              </w:rPr>
              <w:t>科学合理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Dialog" w:hAnsi="Times New Roman" w:cs="Dialog"/>
                <w:sz w:val="18"/>
                <w:szCs w:val="18"/>
              </w:rPr>
            </w:pPr>
            <w:r>
              <w:rPr>
                <w:rFonts w:ascii="Dialog" w:hAnsi="Times New Roman" w:cs="Dialog"/>
                <w:sz w:val="18"/>
                <w:szCs w:val="18"/>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widowControl/>
              <w:textAlignment w:val="center"/>
              <w:rPr>
                <w:rFonts w:hint="default" w:ascii="Dialog" w:hAnsi="Times New Roman" w:cs="Dialog"/>
                <w:sz w:val="18"/>
                <w:szCs w:val="18"/>
              </w:rPr>
            </w:pPr>
            <w:r>
              <w:rPr>
                <w:rFonts w:ascii="宋体" w:hAnsi="宋体" w:cs="宋体"/>
                <w:color w:val="auto"/>
                <w:sz w:val="18"/>
                <w:szCs w:val="18"/>
                <w:lang w:bidi="en-AU"/>
              </w:rPr>
              <w:t>严格按照国库集中支付制度有关规定支付资金</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r>
      <w:tr>
        <w:tblPrEx>
          <w:tblCellMar>
            <w:top w:w="0" w:type="dxa"/>
            <w:left w:w="0" w:type="dxa"/>
            <w:bottom w:w="0" w:type="dxa"/>
            <w:right w:w="0" w:type="dxa"/>
          </w:tblCellMar>
        </w:tblPrEx>
        <w:trPr>
          <w:trHeight w:val="47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Dialog" w:hAnsi="Times New Roman" w:cs="Dialog"/>
                <w:sz w:val="18"/>
                <w:szCs w:val="18"/>
              </w:rPr>
            </w:pPr>
            <w:r>
              <w:rPr>
                <w:rFonts w:ascii="Dialog" w:hAnsi="Times New Roman" w:cs="Dialog"/>
                <w:sz w:val="18"/>
                <w:szCs w:val="18"/>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widowControl/>
              <w:textAlignment w:val="center"/>
              <w:rPr>
                <w:rFonts w:hint="default" w:ascii="Dialog" w:hAnsi="Times New Roman" w:cs="Dialog"/>
                <w:sz w:val="18"/>
                <w:szCs w:val="18"/>
              </w:rPr>
            </w:pPr>
            <w:r>
              <w:rPr>
                <w:rFonts w:ascii="宋体" w:hAnsi="宋体" w:cs="宋体"/>
                <w:color w:val="auto"/>
                <w:sz w:val="18"/>
                <w:szCs w:val="18"/>
                <w:lang w:bidi="en-AU"/>
              </w:rPr>
              <w:t>严格按照下达预算的科目和项目执行，未出现截留、挤占、挪用和擅自调整等问题。</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r>
      <w:tr>
        <w:tblPrEx>
          <w:tblCellMar>
            <w:top w:w="0" w:type="dxa"/>
            <w:left w:w="0" w:type="dxa"/>
            <w:bottom w:w="0" w:type="dxa"/>
            <w:right w:w="0" w:type="dxa"/>
          </w:tblCellMar>
        </w:tblPrEx>
        <w:trPr>
          <w:trHeight w:val="490"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Dialog" w:hAnsi="Times New Roman" w:cs="Dialog"/>
                <w:sz w:val="18"/>
                <w:szCs w:val="18"/>
              </w:rPr>
            </w:pPr>
            <w:r>
              <w:rPr>
                <w:rFonts w:ascii="Dialog" w:hAnsi="Times New Roman" w:cs="Dialog"/>
                <w:sz w:val="18"/>
                <w:szCs w:val="18"/>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widowControl/>
              <w:textAlignment w:val="center"/>
              <w:rPr>
                <w:rFonts w:hint="default" w:ascii="Dialog" w:hAnsi="Times New Roman" w:cs="Dialog"/>
                <w:sz w:val="18"/>
                <w:szCs w:val="18"/>
              </w:rPr>
            </w:pPr>
            <w:r>
              <w:rPr>
                <w:rFonts w:ascii="宋体" w:hAnsi="宋体" w:cs="宋体"/>
                <w:color w:val="auto"/>
                <w:sz w:val="18"/>
                <w:szCs w:val="18"/>
                <w:lang w:bidi="en-AU"/>
              </w:rPr>
              <w:t>将资金纳入绩效管理，设置绩效目标，开展绩效监控。</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实际完成情况</w:t>
            </w:r>
          </w:p>
        </w:tc>
      </w:tr>
      <w:tr>
        <w:tblPrEx>
          <w:shd w:val="clear" w:color="auto" w:fill="auto"/>
          <w:tblCellMar>
            <w:top w:w="0" w:type="dxa"/>
            <w:left w:w="0" w:type="dxa"/>
            <w:bottom w:w="0" w:type="dxa"/>
            <w:right w:w="0" w:type="dxa"/>
          </w:tblCellMar>
        </w:tblPrEx>
        <w:trPr>
          <w:trHeight w:val="99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Dialog" w:hAnsi="Times New Roman" w:cs="Dialog"/>
                <w:sz w:val="18"/>
                <w:szCs w:val="18"/>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1、数字城管光纤电路满足系统正常使用，确保各责任单位及时收到案件处置指令；</w:t>
            </w:r>
          </w:p>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2、手持终端满足信息采集员案件上报，达到发现问题及时上报；</w:t>
            </w:r>
          </w:p>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3、数字城管各责任单位及时收到案件短信提醒，提升案件处置效率。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1、数字城管光纤电路满足系统正常使用，确保各责任单位及时收到案件处置指令；</w:t>
            </w:r>
          </w:p>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2、手持终端满足信息采集员案件上报，达到发现问题及时上报；</w:t>
            </w:r>
          </w:p>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3、数字城管各责任单位及时收到案件短信提醒，提升案件处置效率。</w:t>
            </w:r>
          </w:p>
        </w:tc>
      </w:tr>
      <w:tr>
        <w:tblPrEx>
          <w:shd w:val="clear" w:color="auto" w:fill="auto"/>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偏差原因分析及改进措施</w:t>
            </w:r>
          </w:p>
        </w:tc>
      </w:tr>
      <w:tr>
        <w:tblPrEx>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Dialog" w:hAnsi="Times New Roman" w:cs="Dialog"/>
                <w:sz w:val="18"/>
                <w:szCs w:val="18"/>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成本指标</w:t>
            </w:r>
          </w:p>
        </w:tc>
        <w:tc>
          <w:tcPr>
            <w:tcW w:w="0" w:type="auto"/>
            <w:vMerge w:val="restart"/>
            <w:tcBorders>
              <w:top w:val="single" w:color="000000" w:sz="8" w:space="0"/>
              <w:left w:val="single" w:color="000000" w:sz="8" w:space="0"/>
              <w:bottom w:val="nil"/>
              <w:right w:val="single" w:color="000000" w:sz="8" w:space="0"/>
              <w:tl2br w:val="nil"/>
              <w:tr2bl w:val="nil"/>
            </w:tcBorders>
            <w:shd w:val="clear" w:color="auto" w:fill="FFFFFF"/>
            <w:noWrap w:val="0"/>
            <w:vAlign w:val="center"/>
          </w:tcPr>
          <w:p>
            <w:pPr>
              <w:pStyle w:val="15"/>
              <w:spacing w:line="225" w:lineRule="exact"/>
              <w:ind w:left="20"/>
              <w:rPr>
                <w:rFonts w:hint="default" w:ascii="Dialog" w:hAnsi="Times New Roman" w:cs="Dialog"/>
                <w:sz w:val="18"/>
                <w:szCs w:val="18"/>
              </w:rPr>
            </w:pPr>
            <w:r>
              <w:rPr>
                <w:rFonts w:ascii="Dialog" w:hAnsi="Times New Roman" w:cs="Dialog"/>
                <w:sz w:val="18"/>
                <w:szCs w:val="18"/>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宋体" w:hAnsi="宋体" w:cs="宋体"/>
                <w:kern w:val="2"/>
                <w:sz w:val="18"/>
                <w:szCs w:val="18"/>
                <w:lang w:bidi="en-AU"/>
              </w:rPr>
              <w:t>联通光纤电路费</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≤18.24万元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1</w:t>
            </w:r>
            <w:r>
              <w:rPr>
                <w:rFonts w:hint="default" w:ascii="Dialog" w:hAnsi="Times New Roman" w:cs="Dialog"/>
                <w:sz w:val="18"/>
                <w:szCs w:val="18"/>
              </w:rPr>
              <w:t>6.72</w:t>
            </w:r>
            <w:r>
              <w:rPr>
                <w:rFonts w:ascii="Dialog" w:hAnsi="Times New Roman" w:cs="Dialog"/>
                <w:sz w:val="18"/>
                <w:szCs w:val="18"/>
              </w:rPr>
              <w:t>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Dialog" w:hAnsi="Times New Roman" w:cs="Dialog"/>
                <w:sz w:val="18"/>
                <w:szCs w:val="18"/>
              </w:rPr>
            </w:pPr>
          </w:p>
        </w:tc>
        <w:tc>
          <w:tcPr>
            <w:vMerge w:val="continue"/>
            <w:tcBorders>
              <w:top w:val="nil"/>
              <w:left w:val="single" w:color="000000" w:sz="8" w:space="0"/>
              <w:bottom w:val="nil"/>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p>
        </w:tc>
        <w:tc>
          <w:tcPr>
            <w:vMerge w:val="continue"/>
            <w:tcBorders>
              <w:top w:val="nil"/>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Dialog" w:hAnsi="Times New Roman" w:cs="Dialog"/>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宋体" w:hAnsi="宋体" w:cs="宋体"/>
                <w:kern w:val="2"/>
                <w:sz w:val="18"/>
                <w:szCs w:val="18"/>
                <w:lang w:bidi="en-AU"/>
              </w:rPr>
            </w:pPr>
            <w:r>
              <w:rPr>
                <w:rFonts w:ascii="宋体" w:hAnsi="宋体" w:cs="宋体"/>
                <w:kern w:val="2"/>
                <w:sz w:val="18"/>
                <w:szCs w:val="18"/>
                <w:lang w:bidi="en-AU"/>
              </w:rPr>
              <w:t>移动城管通费用</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≤28.62万元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2</w:t>
            </w:r>
            <w:r>
              <w:rPr>
                <w:rFonts w:hint="default" w:ascii="Dialog" w:hAnsi="Times New Roman" w:cs="Dialog"/>
                <w:sz w:val="18"/>
                <w:szCs w:val="18"/>
              </w:rPr>
              <w:t>6.235</w:t>
            </w:r>
            <w:r>
              <w:rPr>
                <w:rFonts w:ascii="Dialog" w:hAnsi="Times New Roman" w:cs="Dialog"/>
                <w:sz w:val="18"/>
                <w:szCs w:val="18"/>
              </w:rPr>
              <w:t>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w:t>
            </w:r>
            <w:r>
              <w:rPr>
                <w:rFonts w:hint="default" w:ascii="Dialog" w:hAnsi="Times New Roman" w:cs="Dialog"/>
                <w:sz w:val="18"/>
                <w:szCs w:val="18"/>
              </w:rPr>
              <w:t>.00</w:t>
            </w:r>
            <w:r>
              <w:rPr>
                <w:rFonts w:ascii="Dialog" w:hAnsi="Times New Roman" w:cs="Dialog"/>
                <w:sz w:val="18"/>
                <w:szCs w:val="18"/>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Dialog" w:hAnsi="Times New Roman" w:cs="Dialog"/>
                <w:sz w:val="18"/>
                <w:szCs w:val="18"/>
              </w:rPr>
            </w:pPr>
            <w:r>
              <w:rPr>
                <w:rFonts w:ascii="Dialog" w:hAnsi="Times New Roman" w:cs="Dialog"/>
                <w:sz w:val="18"/>
                <w:szCs w:val="18"/>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产出指标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手持终端（城管通）数量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215部</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215部</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nil"/>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数据传输稳定性</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≥360天</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＞360天</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光纤电路运维保障时间</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365天</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365天</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36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保障数字城管正常运行</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正常保障</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正常保障</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25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25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30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43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系统使用人满意度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bl>
    <w:p>
      <w:pPr>
        <w:pStyle w:val="10"/>
      </w:pPr>
    </w:p>
    <w:tbl>
      <w:tblPr>
        <w:tblStyle w:val="13"/>
        <w:tblW w:w="5000" w:type="pct"/>
        <w:tblInd w:w="0" w:type="dxa"/>
        <w:shd w:val="clear" w:color="auto" w:fill="auto"/>
        <w:tblLayout w:type="autofit"/>
        <w:tblCellMar>
          <w:top w:w="0" w:type="dxa"/>
          <w:left w:w="0" w:type="dxa"/>
          <w:bottom w:w="0" w:type="dxa"/>
          <w:right w:w="0" w:type="dxa"/>
        </w:tblCellMar>
      </w:tblPr>
      <w:tblGrid>
        <w:gridCol w:w="782"/>
        <w:gridCol w:w="669"/>
        <w:gridCol w:w="1479"/>
        <w:gridCol w:w="1177"/>
        <w:gridCol w:w="1177"/>
        <w:gridCol w:w="4336"/>
        <w:gridCol w:w="811"/>
        <w:gridCol w:w="421"/>
        <w:gridCol w:w="507"/>
        <w:gridCol w:w="357"/>
        <w:gridCol w:w="735"/>
        <w:gridCol w:w="1517"/>
      </w:tblGrid>
      <w:tr>
        <w:tblPrEx>
          <w:tblCellMar>
            <w:top w:w="0" w:type="dxa"/>
            <w:left w:w="0" w:type="dxa"/>
            <w:bottom w:w="0" w:type="dxa"/>
            <w:right w:w="0" w:type="dxa"/>
          </w:tblCellMar>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5"/>
              <w:spacing w:line="465" w:lineRule="exact"/>
              <w:ind w:left="20"/>
              <w:jc w:val="center"/>
              <w:rPr>
                <w:rFonts w:hint="default" w:ascii="宋体" w:hAnsi="Times New Roman" w:cs="宋体"/>
                <w:sz w:val="40"/>
                <w:szCs w:val="40"/>
              </w:rPr>
            </w:pPr>
            <w:r>
              <w:rPr>
                <w:rFonts w:ascii="宋体" w:hAnsi="Times New Roman" w:cs="宋体"/>
                <w:b/>
                <w:sz w:val="40"/>
                <w:szCs w:val="40"/>
              </w:rPr>
              <w:t>项目单位自评表</w:t>
            </w:r>
          </w:p>
        </w:tc>
      </w:tr>
      <w:tr>
        <w:tblPrEx>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宋体" w:hAnsi="宋体" w:cs="宋体"/>
                <w:sz w:val="18"/>
                <w:szCs w:val="18"/>
              </w:rPr>
            </w:pPr>
            <w:r>
              <w:rPr>
                <w:rFonts w:ascii="宋体" w:hAnsi="宋体" w:cs="宋体"/>
                <w:sz w:val="18"/>
                <w:szCs w:val="18"/>
              </w:rPr>
              <w:t>2022年窨井设施专项整治第一批奖补资金</w:t>
            </w:r>
          </w:p>
          <w:p>
            <w:pPr>
              <w:pStyle w:val="15"/>
              <w:spacing w:line="225" w:lineRule="exact"/>
              <w:ind w:left="20"/>
              <w:jc w:val="both"/>
              <w:rPr>
                <w:rFonts w:hint="default" w:ascii="Dialog" w:hAnsi="Times New Roman" w:cs="Dialog"/>
                <w:sz w:val="18"/>
                <w:szCs w:val="18"/>
              </w:rPr>
            </w:pPr>
          </w:p>
        </w:tc>
      </w:tr>
      <w:tr>
        <w:tblPrEx>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许昌市城市管理局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许昌市数字化城市管理中心</w:t>
            </w:r>
          </w:p>
        </w:tc>
      </w:tr>
      <w:tr>
        <w:tblPrEx>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得分</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Dialog" w:hAnsi="Times New Roman" w:cs="Dialog"/>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hint="default" w:ascii="Dialog" w:hAnsi="Times New Roman" w:cs="Dialog"/>
                <w:sz w:val="18"/>
                <w:szCs w:val="18"/>
              </w:rPr>
              <w:t>48.00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hint="default" w:ascii="Dialog" w:hAnsi="Times New Roman" w:cs="Dialog"/>
                <w:sz w:val="18"/>
                <w:szCs w:val="18"/>
              </w:rPr>
              <w:t>45.17</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9</w:t>
            </w:r>
            <w:r>
              <w:rPr>
                <w:rFonts w:hint="default" w:ascii="Dialog" w:hAnsi="Times New Roman" w:cs="Dialog"/>
                <w:sz w:val="18"/>
                <w:szCs w:val="18"/>
              </w:rPr>
              <w:t>4.10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hint="default" w:ascii="Dialog" w:hAnsi="Times New Roman" w:cs="Dialog"/>
                <w:sz w:val="18"/>
                <w:szCs w:val="18"/>
              </w:rPr>
              <w:t>9.41</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Dialog" w:hAnsi="Times New Roman" w:cs="Dialog"/>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hint="default" w:ascii="Dialog" w:hAnsi="Times New Roman" w:cs="Dialog"/>
                <w:sz w:val="18"/>
                <w:szCs w:val="18"/>
              </w:rPr>
              <w:t>48.00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hint="default" w:ascii="Dialog" w:hAnsi="Times New Roman" w:cs="Dialog"/>
                <w:sz w:val="18"/>
                <w:szCs w:val="18"/>
              </w:rPr>
              <w:t>45.17</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hint="default" w:ascii="Dialog" w:hAnsi="Times New Roman" w:cs="Dialog"/>
                <w:sz w:val="18"/>
                <w:szCs w:val="18"/>
              </w:rPr>
              <w:t>94.10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Dialog" w:hAnsi="Times New Roman" w:cs="Dialog"/>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Dialog" w:hAnsi="Times New Roman" w:cs="Dialog"/>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w:t>
            </w:r>
          </w:p>
        </w:tc>
      </w:tr>
      <w:tr>
        <w:tblPrEx>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存在问题和改进措施</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Dialog" w:hAnsi="Times New Roman" w:cs="Dialog"/>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Dialog" w:hAnsi="Times New Roman" w:cs="Dialog"/>
                <w:sz w:val="18"/>
                <w:szCs w:val="18"/>
              </w:rPr>
            </w:pPr>
            <w:r>
              <w:rPr>
                <w:rFonts w:ascii="Dialog" w:hAnsi="Times New Roman" w:cs="Dialog"/>
                <w:sz w:val="18"/>
                <w:szCs w:val="18"/>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widowControl/>
              <w:textAlignment w:val="center"/>
              <w:rPr>
                <w:rFonts w:hint="default" w:ascii="Dialog" w:hAnsi="Times New Roman" w:cs="Dialog"/>
                <w:sz w:val="18"/>
                <w:szCs w:val="18"/>
              </w:rPr>
            </w:pPr>
            <w:r>
              <w:rPr>
                <w:rFonts w:ascii="宋体" w:hAnsi="宋体" w:cs="宋体"/>
                <w:color w:val="auto"/>
                <w:sz w:val="18"/>
                <w:szCs w:val="18"/>
                <w:lang w:bidi="en-AU"/>
              </w:rPr>
              <w:t>科学合理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Dialog" w:hAnsi="Times New Roman" w:cs="Dialog"/>
                <w:sz w:val="18"/>
                <w:szCs w:val="18"/>
              </w:rPr>
            </w:pPr>
            <w:r>
              <w:rPr>
                <w:rFonts w:ascii="Dialog" w:hAnsi="Times New Roman" w:cs="Dialog"/>
                <w:sz w:val="18"/>
                <w:szCs w:val="18"/>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widowControl/>
              <w:textAlignment w:val="center"/>
              <w:rPr>
                <w:rFonts w:hint="default" w:ascii="Dialog" w:hAnsi="Times New Roman" w:cs="Dialog"/>
                <w:sz w:val="18"/>
                <w:szCs w:val="18"/>
              </w:rPr>
            </w:pPr>
            <w:r>
              <w:rPr>
                <w:rFonts w:ascii="宋体" w:hAnsi="宋体" w:cs="宋体"/>
                <w:color w:val="auto"/>
                <w:sz w:val="18"/>
                <w:szCs w:val="18"/>
                <w:lang w:bidi="en-AU"/>
              </w:rPr>
              <w:t>严格按照国库集中支付制度有关规定支付资金</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r>
      <w:tr>
        <w:tblPrEx>
          <w:tblCellMar>
            <w:top w:w="0" w:type="dxa"/>
            <w:left w:w="0" w:type="dxa"/>
            <w:bottom w:w="0" w:type="dxa"/>
            <w:right w:w="0" w:type="dxa"/>
          </w:tblCellMar>
        </w:tblPrEx>
        <w:trPr>
          <w:trHeight w:val="47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Dialog" w:hAnsi="Times New Roman" w:cs="Dialog"/>
                <w:sz w:val="18"/>
                <w:szCs w:val="18"/>
              </w:rPr>
            </w:pPr>
            <w:r>
              <w:rPr>
                <w:rFonts w:ascii="Dialog" w:hAnsi="Times New Roman" w:cs="Dialog"/>
                <w:sz w:val="18"/>
                <w:szCs w:val="18"/>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widowControl/>
              <w:textAlignment w:val="center"/>
              <w:rPr>
                <w:rFonts w:hint="default" w:ascii="Dialog" w:hAnsi="Times New Roman" w:cs="Dialog"/>
                <w:sz w:val="18"/>
                <w:szCs w:val="18"/>
              </w:rPr>
            </w:pPr>
            <w:r>
              <w:rPr>
                <w:rFonts w:ascii="宋体" w:hAnsi="宋体" w:cs="宋体"/>
                <w:color w:val="auto"/>
                <w:sz w:val="18"/>
                <w:szCs w:val="18"/>
                <w:lang w:bidi="en-AU"/>
              </w:rPr>
              <w:t>严格按照下达预算的科目和项目执行，未出现截留、挤占、挪用和擅自调整等问题。</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r>
      <w:tr>
        <w:tblPrEx>
          <w:tblCellMar>
            <w:top w:w="0" w:type="dxa"/>
            <w:left w:w="0" w:type="dxa"/>
            <w:bottom w:w="0" w:type="dxa"/>
            <w:right w:w="0" w:type="dxa"/>
          </w:tblCellMar>
        </w:tblPrEx>
        <w:trPr>
          <w:trHeight w:val="490"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Dialog" w:hAnsi="Times New Roman" w:cs="Dialog"/>
                <w:sz w:val="18"/>
                <w:szCs w:val="18"/>
              </w:rPr>
            </w:pPr>
            <w:r>
              <w:rPr>
                <w:rFonts w:ascii="Dialog" w:hAnsi="Times New Roman" w:cs="Dialog"/>
                <w:sz w:val="18"/>
                <w:szCs w:val="18"/>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widowControl/>
              <w:textAlignment w:val="center"/>
              <w:rPr>
                <w:rFonts w:hint="default" w:ascii="Dialog" w:hAnsi="Times New Roman" w:cs="Dialog"/>
                <w:sz w:val="18"/>
                <w:szCs w:val="18"/>
              </w:rPr>
            </w:pPr>
            <w:r>
              <w:rPr>
                <w:rFonts w:ascii="宋体" w:hAnsi="宋体" w:cs="宋体"/>
                <w:color w:val="auto"/>
                <w:sz w:val="18"/>
                <w:szCs w:val="18"/>
                <w:lang w:bidi="en-AU"/>
              </w:rPr>
              <w:t>将资金纳入绩效管理，设置绩效目标，开展绩效监控。</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实际完成情况</w:t>
            </w:r>
          </w:p>
        </w:tc>
      </w:tr>
      <w:tr>
        <w:tblPrEx>
          <w:shd w:val="clear" w:color="auto" w:fill="auto"/>
          <w:tblCellMar>
            <w:top w:w="0" w:type="dxa"/>
            <w:left w:w="0" w:type="dxa"/>
            <w:bottom w:w="0" w:type="dxa"/>
            <w:right w:w="0" w:type="dxa"/>
          </w:tblCellMar>
        </w:tblPrEx>
        <w:trPr>
          <w:trHeight w:val="99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Dialog" w:hAnsi="Times New Roman" w:cs="Dialog"/>
                <w:sz w:val="18"/>
                <w:szCs w:val="18"/>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numPr>
                <w:ilvl w:val="0"/>
                <w:numId w:val="2"/>
              </w:numPr>
              <w:spacing w:line="225" w:lineRule="exact"/>
              <w:rPr>
                <w:rFonts w:hint="default" w:ascii="Dialog" w:hAnsi="Times New Roman" w:cs="Dialog"/>
                <w:sz w:val="18"/>
                <w:szCs w:val="18"/>
              </w:rPr>
            </w:pPr>
            <w:r>
              <w:rPr>
                <w:rFonts w:ascii="Dialog" w:hAnsi="Times New Roman" w:cs="Dialog"/>
                <w:sz w:val="18"/>
                <w:szCs w:val="18"/>
              </w:rPr>
              <w:t>打造感知数据驱动的智能高效管理模式；</w:t>
            </w:r>
          </w:p>
          <w:p>
            <w:pPr>
              <w:pStyle w:val="15"/>
              <w:numPr>
                <w:ilvl w:val="0"/>
                <w:numId w:val="2"/>
              </w:numPr>
              <w:spacing w:line="225" w:lineRule="exact"/>
              <w:rPr>
                <w:rFonts w:hint="default" w:ascii="Dialog" w:hAnsi="Times New Roman" w:cs="Dialog"/>
                <w:sz w:val="18"/>
                <w:szCs w:val="18"/>
              </w:rPr>
            </w:pPr>
            <w:r>
              <w:rPr>
                <w:rFonts w:ascii="Dialog" w:hAnsi="Times New Roman" w:cs="Dialog"/>
                <w:sz w:val="18"/>
                <w:szCs w:val="18"/>
              </w:rPr>
              <w:t>实现对窨井设施安全状况的实时监测和预警。</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numPr>
                <w:ilvl w:val="0"/>
                <w:numId w:val="3"/>
              </w:numPr>
              <w:spacing w:line="225" w:lineRule="exact"/>
              <w:rPr>
                <w:rFonts w:ascii="Dialog" w:hAnsi="Times New Roman" w:cs="Dialog"/>
                <w:sz w:val="18"/>
                <w:szCs w:val="18"/>
              </w:rPr>
            </w:pPr>
            <w:r>
              <w:rPr>
                <w:rFonts w:ascii="Dialog" w:hAnsi="Times New Roman" w:cs="Dialog"/>
                <w:sz w:val="18"/>
                <w:szCs w:val="18"/>
              </w:rPr>
              <w:t>打造感知数据驱动的智能高效管理模式；</w:t>
            </w:r>
          </w:p>
          <w:p>
            <w:pPr>
              <w:pStyle w:val="15"/>
              <w:numPr>
                <w:ilvl w:val="0"/>
                <w:numId w:val="3"/>
              </w:numPr>
              <w:spacing w:line="225" w:lineRule="exact"/>
              <w:rPr>
                <w:rFonts w:hint="default" w:ascii="Dialog" w:hAnsi="Times New Roman" w:cs="Dialog"/>
                <w:sz w:val="18"/>
                <w:szCs w:val="18"/>
              </w:rPr>
            </w:pPr>
            <w:r>
              <w:rPr>
                <w:rFonts w:ascii="Dialog" w:hAnsi="Times New Roman" w:cs="Dialog"/>
                <w:sz w:val="18"/>
                <w:szCs w:val="18"/>
              </w:rPr>
              <w:t>实现对窨井设施安全状况的实时监测和预警。</w:t>
            </w:r>
          </w:p>
        </w:tc>
      </w:tr>
      <w:tr>
        <w:tblPrEx>
          <w:shd w:val="clear" w:color="auto" w:fill="auto"/>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偏差原因分析及改进措施</w:t>
            </w:r>
          </w:p>
        </w:tc>
      </w:tr>
      <w:tr>
        <w:tblPrEx>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Dialog" w:hAnsi="Times New Roman" w:cs="Dialog"/>
                <w:sz w:val="18"/>
                <w:szCs w:val="18"/>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成本指标</w:t>
            </w:r>
          </w:p>
        </w:tc>
        <w:tc>
          <w:tcPr>
            <w:tcW w:w="0" w:type="auto"/>
            <w:tcBorders>
              <w:top w:val="single" w:color="000000" w:sz="8" w:space="0"/>
              <w:left w:val="single" w:color="000000" w:sz="8" w:space="0"/>
              <w:bottom w:val="nil"/>
              <w:right w:val="single" w:color="000000" w:sz="8" w:space="0"/>
              <w:tl2br w:val="nil"/>
              <w:tr2bl w:val="nil"/>
            </w:tcBorders>
            <w:shd w:val="clear" w:color="auto" w:fill="FFFFFF"/>
            <w:noWrap w:val="0"/>
            <w:vAlign w:val="center"/>
          </w:tcPr>
          <w:p>
            <w:pPr>
              <w:pStyle w:val="15"/>
              <w:spacing w:line="225" w:lineRule="exact"/>
              <w:ind w:left="20"/>
              <w:rPr>
                <w:rFonts w:hint="default" w:ascii="Dialog" w:hAnsi="Times New Roman" w:cs="Dialog"/>
                <w:sz w:val="18"/>
                <w:szCs w:val="18"/>
              </w:rPr>
            </w:pPr>
            <w:r>
              <w:rPr>
                <w:rFonts w:ascii="Dialog" w:hAnsi="Times New Roman" w:cs="Dialog"/>
                <w:sz w:val="18"/>
                <w:szCs w:val="18"/>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终端传感器费用</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w:t>
            </w:r>
            <w:r>
              <w:rPr>
                <w:rFonts w:hint="default" w:ascii="Dialog" w:hAnsi="Times New Roman" w:cs="Dialog"/>
                <w:sz w:val="18"/>
                <w:szCs w:val="18"/>
              </w:rPr>
              <w:t>48.00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highlight w:val="yellow"/>
              </w:rPr>
            </w:pPr>
            <w:r>
              <w:rPr>
                <w:rFonts w:hint="default" w:ascii="Dialog" w:hAnsi="Times New Roman" w:cs="Dialog"/>
                <w:sz w:val="18"/>
                <w:szCs w:val="18"/>
              </w:rPr>
              <w:t>45.17</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rPr>
                <w:rFonts w:hint="default" w:ascii="Dialog" w:hAnsi="Times New Roman" w:cs="Dialog"/>
                <w:sz w:val="18"/>
                <w:szCs w:val="18"/>
              </w:rPr>
            </w:pPr>
            <w:r>
              <w:rPr>
                <w:rFonts w:ascii="Dialog" w:hAnsi="Times New Roman" w:cs="Dialog"/>
                <w:sz w:val="18"/>
                <w:szCs w:val="18"/>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产出指标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终端传感器数量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≥6</w:t>
            </w:r>
            <w:r>
              <w:rPr>
                <w:rFonts w:hint="default" w:ascii="Dialog" w:hAnsi="Times New Roman" w:cs="Dialog"/>
                <w:sz w:val="18"/>
                <w:szCs w:val="18"/>
              </w:rPr>
              <w:t>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Dialog" w:hAnsi="Times New Roman" w:cs="Dialog"/>
                <w:sz w:val="18"/>
                <w:szCs w:val="18"/>
                <w:highlight w:val="yellow"/>
              </w:rPr>
            </w:pPr>
            <w:r>
              <w:rPr>
                <w:rFonts w:ascii="Dialog" w:hAnsi="Times New Roman" w:cs="Dialog"/>
                <w:sz w:val="18"/>
                <w:szCs w:val="18"/>
              </w:rPr>
              <w:t>7</w:t>
            </w:r>
            <w:r>
              <w:rPr>
                <w:rFonts w:hint="default" w:ascii="Dialog" w:hAnsi="Times New Roman" w:cs="Dialog"/>
                <w:sz w:val="18"/>
                <w:szCs w:val="18"/>
              </w:rPr>
              <w:t>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w:t>
            </w:r>
            <w:r>
              <w:rPr>
                <w:rFonts w:hint="default" w:ascii="Dialog" w:hAnsi="Times New Roman" w:cs="Dialog"/>
                <w:sz w:val="18"/>
                <w:szCs w:val="18"/>
              </w:rPr>
              <w:t>.00%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nil"/>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终端传感器合格率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Dialog" w:hAnsi="Times New Roman" w:cs="Dialog"/>
                <w:sz w:val="18"/>
                <w:szCs w:val="18"/>
              </w:rPr>
            </w:pPr>
            <w:r>
              <w:rPr>
                <w:rFonts w:ascii="Dialog" w:hAnsi="Times New Roman" w:cs="Dialog"/>
                <w:sz w:val="18"/>
                <w:szCs w:val="18"/>
              </w:rPr>
              <w:t>≥9</w:t>
            </w:r>
            <w:r>
              <w:rPr>
                <w:rFonts w:hint="default" w:ascii="Dialog" w:hAnsi="Times New Roman" w:cs="Dialog"/>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ascii="Dialog" w:hAnsi="Times New Roman" w:cs="Dialog"/>
                <w:sz w:val="18"/>
                <w:szCs w:val="18"/>
                <w:highlight w:val="yellow"/>
              </w:rPr>
            </w:pPr>
            <w:r>
              <w:rPr>
                <w:rFonts w:ascii="Dialog" w:hAnsi="Times New Roman" w:cs="Dialog"/>
                <w:sz w:val="18"/>
                <w:szCs w:val="18"/>
              </w:rPr>
              <w:t>≥9</w:t>
            </w:r>
            <w:r>
              <w:rPr>
                <w:rFonts w:hint="default" w:ascii="Dialog" w:hAnsi="Times New Roman" w:cs="Dialog"/>
                <w:sz w:val="18"/>
                <w:szCs w:val="18"/>
              </w:rPr>
              <w:t>9%</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hint="default" w:ascii="Dialog" w:hAnsi="Times New Roman" w:cs="Dialog"/>
                <w:sz w:val="18"/>
                <w:szCs w:val="18"/>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hint="default" w:ascii="Dialog" w:hAnsi="Times New Roman" w:cs="Dialog"/>
                <w:sz w:val="18"/>
                <w:szCs w:val="18"/>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558"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终端传感器报警处置时间</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≤2小时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highlight w:val="yellow"/>
              </w:rPr>
            </w:pPr>
            <w:r>
              <w:rPr>
                <w:rFonts w:ascii="Dialog" w:hAnsi="Times New Roman" w:cs="Dialog"/>
                <w:sz w:val="18"/>
                <w:szCs w:val="18"/>
              </w:rPr>
              <w:t>≤</w:t>
            </w:r>
            <w:r>
              <w:rPr>
                <w:rFonts w:hint="default" w:ascii="Dialog" w:hAnsi="Times New Roman" w:cs="Dialog"/>
                <w:sz w:val="18"/>
                <w:szCs w:val="18"/>
              </w:rPr>
              <w:t>1</w:t>
            </w:r>
            <w:r>
              <w:rPr>
                <w:rFonts w:ascii="Dialog" w:hAnsi="Times New Roman" w:cs="Dialog"/>
                <w:sz w:val="18"/>
                <w:szCs w:val="18"/>
              </w:rPr>
              <w:t>小时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1</w:t>
            </w:r>
            <w:r>
              <w:rPr>
                <w:rFonts w:hint="default" w:ascii="Dialog" w:hAnsi="Times New Roman" w:cs="Dialog"/>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1</w:t>
            </w:r>
            <w:r>
              <w:rPr>
                <w:rFonts w:hint="default" w:ascii="Dialog" w:hAnsi="Times New Roman" w:cs="Dialog"/>
                <w:sz w:val="18"/>
                <w:szCs w:val="18"/>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55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智能井盖建设有助于建设智慧城市</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达标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达标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hint="default" w:ascii="Dialog" w:hAnsi="Times New Roman" w:cs="Dialog"/>
                <w:sz w:val="18"/>
                <w:szCs w:val="18"/>
              </w:rPr>
              <w:t>15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hint="default" w:ascii="Dialog" w:hAnsi="Times New Roman" w:cs="Dialog"/>
                <w:sz w:val="18"/>
                <w:szCs w:val="18"/>
              </w:rPr>
              <w:t>15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56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智能井盖建设有助于解决污水满溢等问题</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达标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达标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1</w:t>
            </w:r>
            <w:r>
              <w:rPr>
                <w:rFonts w:hint="default" w:ascii="Dialog" w:hAnsi="Times New Roman" w:cs="Dialog"/>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1</w:t>
            </w:r>
            <w:r>
              <w:rPr>
                <w:rFonts w:hint="default" w:ascii="Dialog" w:hAnsi="Times New Roman" w:cs="Dialog"/>
                <w:sz w:val="18"/>
                <w:szCs w:val="18"/>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w:t>
            </w:r>
            <w:r>
              <w:rPr>
                <w:rFonts w:hint="default" w:ascii="Dialog" w:hAnsi="Times New Roman" w:cs="Dialog"/>
                <w:sz w:val="18"/>
                <w:szCs w:val="18"/>
              </w:rPr>
              <w:t>.00%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55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智能井盖建设有助于提升人民群众生活满意度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rPr>
                <w:rFonts w:hint="default" w:ascii="Times New Roman" w:cs="Times New Roman"/>
                <w:color w:val="auto"/>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ascii="Dialog" w:hAnsi="Times New Roman" w:cs="Dialog"/>
                <w:sz w:val="18"/>
                <w:szCs w:val="18"/>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spacing w:line="225" w:lineRule="exact"/>
              <w:ind w:left="20"/>
              <w:jc w:val="center"/>
              <w:rPr>
                <w:rFonts w:hint="default" w:ascii="Dialog" w:hAnsi="Times New Roman" w:cs="Dialog"/>
                <w:sz w:val="18"/>
                <w:szCs w:val="18"/>
              </w:rPr>
            </w:pPr>
            <w:r>
              <w:rPr>
                <w:rFonts w:hint="default" w:ascii="Dialog" w:hAnsi="Times New Roman" w:cs="Dialog"/>
                <w:sz w:val="18"/>
                <w:szCs w:val="18"/>
              </w:rPr>
              <w:t>99.41</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5"/>
              <w:jc w:val="center"/>
              <w:rPr>
                <w:rFonts w:hint="default" w:ascii="Times New Roman" w:cs="Times New Roman"/>
                <w:color w:val="auto"/>
              </w:rPr>
            </w:pPr>
          </w:p>
        </w:tc>
      </w:tr>
    </w:tbl>
    <w:p>
      <w:pPr>
        <w:pStyle w:val="10"/>
      </w:pPr>
    </w:p>
    <w:p>
      <w:pPr>
        <w:pStyle w:val="10"/>
        <w:jc w:val="center"/>
        <w:rPr>
          <w:rFonts w:hint="eastAsia" w:ascii="宋体" w:hAnsi="Times New Roman" w:eastAsia="宋体" w:cs="宋体"/>
          <w:b/>
          <w:color w:val="000000"/>
          <w:kern w:val="0"/>
          <w:sz w:val="40"/>
          <w:szCs w:val="40"/>
          <w:lang w:val="en-AU" w:eastAsia="zh-CN"/>
        </w:rPr>
      </w:pPr>
      <w:r>
        <w:rPr>
          <w:rFonts w:hint="eastAsia" w:ascii="宋体" w:hAnsi="Times New Roman" w:eastAsia="宋体" w:cs="宋体"/>
          <w:b/>
          <w:color w:val="000000"/>
          <w:kern w:val="0"/>
          <w:sz w:val="40"/>
          <w:szCs w:val="40"/>
          <w:lang w:val="en-AU" w:eastAsia="zh-CN"/>
        </w:rPr>
        <w:t>项目单位自评表</w:t>
      </w:r>
    </w:p>
    <w:tbl>
      <w:tblPr>
        <w:tblStyle w:val="20"/>
        <w:tblW w:w="5000" w:type="pct"/>
        <w:tblInd w:w="0" w:type="dxa"/>
        <w:shd w:val="clear" w:color="auto" w:fill="auto"/>
        <w:tblLayout w:type="autofit"/>
        <w:tblCellMar>
          <w:top w:w="0" w:type="dxa"/>
          <w:left w:w="108" w:type="dxa"/>
          <w:bottom w:w="0" w:type="dxa"/>
          <w:right w:w="108" w:type="dxa"/>
        </w:tblCellMar>
      </w:tblPr>
      <w:tblGrid>
        <w:gridCol w:w="701"/>
        <w:gridCol w:w="744"/>
        <w:gridCol w:w="2136"/>
        <w:gridCol w:w="1416"/>
        <w:gridCol w:w="2057"/>
        <w:gridCol w:w="1861"/>
        <w:gridCol w:w="1416"/>
        <w:gridCol w:w="1016"/>
        <w:gridCol w:w="936"/>
        <w:gridCol w:w="1891"/>
      </w:tblGrid>
      <w:tr>
        <w:tblPrEx>
          <w:shd w:val="clear" w:color="auto" w:fill="auto"/>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6"/>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2022年安全隐患排除项目</w:t>
            </w:r>
          </w:p>
        </w:tc>
      </w:tr>
      <w:tr>
        <w:tblPrEx>
          <w:shd w:val="clear" w:color="auto" w:fill="auto"/>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许昌市园林绿化中心</w:t>
            </w:r>
          </w:p>
        </w:tc>
      </w:tr>
      <w:tr>
        <w:tblPrEx>
          <w:shd w:val="clear" w:color="auto" w:fill="auto"/>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r>
      <w:tr>
        <w:tblPrEx>
          <w:shd w:val="clear" w:color="auto" w:fill="auto"/>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Style w:val="17"/>
                <w:rFonts w:hint="default"/>
              </w:rPr>
              <w:t xml:space="preserve"> </w:t>
            </w:r>
            <w:r>
              <w:rPr>
                <w:rStyle w:val="19"/>
                <w:rFonts w:hint="default"/>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w:t>
            </w:r>
          </w:p>
        </w:tc>
      </w:tr>
      <w:tr>
        <w:tblPrEx>
          <w:shd w:val="clear" w:color="auto" w:fill="auto"/>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shd w:val="clear" w:color="auto" w:fill="auto"/>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shd w:val="clear" w:color="auto" w:fill="auto"/>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shd w:val="clear" w:color="auto" w:fill="auto"/>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6"/>
              <w:jc w:val="center"/>
              <w:rPr>
                <w:rFonts w:ascii="宋体" w:hAnsi="宋体" w:eastAsia="宋体" w:cs="宋体"/>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存在问题和改进措施</w:t>
            </w:r>
          </w:p>
        </w:tc>
      </w:tr>
      <w:tr>
        <w:tblPrEx>
          <w:shd w:val="clear" w:color="auto" w:fill="auto"/>
          <w:tblCellMar>
            <w:top w:w="0" w:type="dxa"/>
            <w:left w:w="108" w:type="dxa"/>
            <w:bottom w:w="0" w:type="dxa"/>
            <w:right w:w="108" w:type="dxa"/>
          </w:tblCellMar>
        </w:tblPrEx>
        <w:trPr>
          <w:trHeight w:val="76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shd w:val="clear" w:color="auto" w:fill="auto"/>
          <w:tblCellMar>
            <w:top w:w="0" w:type="dxa"/>
            <w:left w:w="108" w:type="dxa"/>
            <w:bottom w:w="0" w:type="dxa"/>
            <w:right w:w="108" w:type="dxa"/>
          </w:tblCellMar>
        </w:tblPrEx>
        <w:trPr>
          <w:trHeight w:val="100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shd w:val="clear" w:color="auto" w:fill="auto"/>
          <w:tblCellMar>
            <w:top w:w="0" w:type="dxa"/>
            <w:left w:w="108" w:type="dxa"/>
            <w:bottom w:w="0" w:type="dxa"/>
            <w:right w:w="108" w:type="dxa"/>
          </w:tblCellMar>
        </w:tblPrEx>
        <w:trPr>
          <w:trHeight w:val="75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shd w:val="clear" w:color="auto" w:fill="auto"/>
          <w:tblCellMar>
            <w:top w:w="0" w:type="dxa"/>
            <w:left w:w="108" w:type="dxa"/>
            <w:bottom w:w="0" w:type="dxa"/>
            <w:right w:w="108" w:type="dxa"/>
          </w:tblCellMar>
        </w:tblPrEx>
        <w:trPr>
          <w:trHeight w:val="7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shd w:val="clear" w:color="auto" w:fill="auto"/>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实际完成情况</w:t>
            </w:r>
          </w:p>
        </w:tc>
      </w:tr>
      <w:tr>
        <w:tblPrEx>
          <w:shd w:val="clear" w:color="auto" w:fill="auto"/>
          <w:tblCellMar>
            <w:top w:w="0" w:type="dxa"/>
            <w:left w:w="108" w:type="dxa"/>
            <w:bottom w:w="0" w:type="dxa"/>
            <w:right w:w="108" w:type="dxa"/>
          </w:tblCellMar>
        </w:tblPrEx>
        <w:trPr>
          <w:trHeight w:val="8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textAlignment w:val="top"/>
              <w:rPr>
                <w:rFonts w:ascii="宋体" w:hAnsi="宋体" w:eastAsia="宋体" w:cs="宋体"/>
                <w:color w:val="000000"/>
                <w:sz w:val="24"/>
              </w:rPr>
            </w:pPr>
            <w:r>
              <w:rPr>
                <w:rFonts w:hint="eastAsia" w:ascii="宋体" w:hAnsi="宋体" w:eastAsia="宋体" w:cs="宋体"/>
                <w:color w:val="000000"/>
                <w:kern w:val="0"/>
                <w:sz w:val="24"/>
              </w:rPr>
              <w:t xml:space="preserve">1.消除安全隐患，增加人民幸福感； </w:t>
            </w:r>
            <w:r>
              <w:br w:type="textWrapping"/>
            </w:r>
            <w:r>
              <w:rPr>
                <w:rFonts w:hint="eastAsia" w:ascii="宋体" w:hAnsi="宋体" w:eastAsia="宋体" w:cs="宋体"/>
                <w:color w:val="000000"/>
                <w:kern w:val="0"/>
                <w:sz w:val="24"/>
              </w:rPr>
              <w:t>2.完成工程项目验收、工程款支付。</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widowControl/>
              <w:textAlignment w:val="top"/>
              <w:rPr>
                <w:rFonts w:ascii="宋体" w:hAnsi="宋体" w:eastAsia="宋体" w:cs="宋体"/>
                <w:color w:val="000000"/>
                <w:sz w:val="24"/>
              </w:rPr>
            </w:pPr>
            <w:r>
              <w:rPr>
                <w:rFonts w:hint="eastAsia" w:ascii="宋体" w:hAnsi="宋体" w:eastAsia="宋体" w:cs="宋体"/>
                <w:color w:val="000000"/>
                <w:kern w:val="0"/>
                <w:sz w:val="24"/>
              </w:rPr>
              <w:t>消除安全隐患，增加人民幸福感；</w:t>
            </w:r>
            <w:r>
              <w:br w:type="textWrapping"/>
            </w:r>
            <w:r>
              <w:rPr>
                <w:rFonts w:hint="eastAsia" w:ascii="宋体" w:hAnsi="宋体" w:eastAsia="宋体" w:cs="宋体"/>
                <w:color w:val="000000"/>
                <w:kern w:val="0"/>
                <w:sz w:val="24"/>
              </w:rPr>
              <w:t>完成安全隐患排除项目的验收、工程款支付等工作。</w:t>
            </w:r>
          </w:p>
        </w:tc>
      </w:tr>
      <w:tr>
        <w:tblPrEx>
          <w:shd w:val="clear" w:color="auto" w:fill="auto"/>
          <w:tblCellMar>
            <w:top w:w="0" w:type="dxa"/>
            <w:left w:w="108" w:type="dxa"/>
            <w:bottom w:w="0" w:type="dxa"/>
            <w:right w:w="108" w:type="dxa"/>
          </w:tblCellMar>
        </w:tblPrEx>
        <w:trPr>
          <w:trHeight w:val="312"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r>
      <w:tr>
        <w:tblPrEx>
          <w:shd w:val="clear" w:color="auto" w:fill="auto"/>
          <w:tblCellMar>
            <w:top w:w="0" w:type="dxa"/>
            <w:left w:w="108" w:type="dxa"/>
            <w:bottom w:w="0" w:type="dxa"/>
            <w:right w:w="108" w:type="dxa"/>
          </w:tblCellMar>
        </w:tblPrEx>
        <w:trPr>
          <w:trHeight w:val="312"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r>
        <w:tblPrEx>
          <w:shd w:val="clear" w:color="auto" w:fill="auto"/>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偏差原因分析及改进措施</w:t>
            </w:r>
          </w:p>
        </w:tc>
      </w:tr>
      <w:tr>
        <w:tblPrEx>
          <w:shd w:val="clear" w:color="auto" w:fill="auto"/>
          <w:tblCellMar>
            <w:top w:w="0" w:type="dxa"/>
            <w:left w:w="108" w:type="dxa"/>
            <w:bottom w:w="0" w:type="dxa"/>
            <w:right w:w="108" w:type="dxa"/>
          </w:tblCellMar>
        </w:tblPrEx>
        <w:trPr>
          <w:trHeight w:val="31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r>
        <w:tblPrEx>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项目工程款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=144.189326万元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66.16万元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r>
        <w:tblPrEx>
          <w:shd w:val="clear" w:color="auto" w:fill="auto"/>
          <w:tblCellMar>
            <w:top w:w="0" w:type="dxa"/>
            <w:left w:w="108" w:type="dxa"/>
            <w:bottom w:w="0" w:type="dxa"/>
            <w:right w:w="108" w:type="dxa"/>
          </w:tblCellMar>
        </w:tblPrEx>
        <w:trPr>
          <w:trHeight w:val="76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清除杨树数量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=138株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138株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r>
        <w:tblPrEx>
          <w:shd w:val="clear" w:color="auto" w:fill="auto"/>
          <w:tblCellMar>
            <w:top w:w="0" w:type="dxa"/>
            <w:left w:w="108" w:type="dxa"/>
            <w:bottom w:w="0" w:type="dxa"/>
            <w:right w:w="108" w:type="dxa"/>
          </w:tblCellMar>
        </w:tblPrEx>
        <w:trPr>
          <w:trHeight w:val="76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排除安全隐患地方个数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r>
        <w:tblPrEx>
          <w:shd w:val="clear" w:color="auto" w:fill="auto"/>
          <w:tblCellMar>
            <w:top w:w="0" w:type="dxa"/>
            <w:left w:w="108" w:type="dxa"/>
            <w:bottom w:w="0" w:type="dxa"/>
            <w:right w:w="108" w:type="dxa"/>
          </w:tblCellMar>
        </w:tblPrEx>
        <w:trPr>
          <w:trHeight w:val="76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补植补栽苗木数量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≥1967平方米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1967平方米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r>
        <w:tblPrEx>
          <w:shd w:val="clear" w:color="auto" w:fill="auto"/>
          <w:tblCellMar>
            <w:top w:w="0" w:type="dxa"/>
            <w:left w:w="108" w:type="dxa"/>
            <w:bottom w:w="0" w:type="dxa"/>
            <w:right w:w="108" w:type="dxa"/>
          </w:tblCellMar>
        </w:tblPrEx>
        <w:trPr>
          <w:trHeight w:val="76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工程验收合格率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r>
        <w:tblPrEx>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工程安全事故发生次数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r>
        <w:tblPrEx>
          <w:shd w:val="clear" w:color="auto" w:fill="auto"/>
          <w:tblCellMar>
            <w:top w:w="0" w:type="dxa"/>
            <w:left w:w="108" w:type="dxa"/>
            <w:bottom w:w="0" w:type="dxa"/>
            <w:right w:w="108" w:type="dxa"/>
          </w:tblCellMar>
        </w:tblPrEx>
        <w:trPr>
          <w:trHeight w:val="76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工程款支付完成时间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=2023年底前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2023年底前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r>
        <w:tblPrEx>
          <w:shd w:val="clear" w:color="auto" w:fill="auto"/>
          <w:tblCellMar>
            <w:top w:w="0" w:type="dxa"/>
            <w:left w:w="108" w:type="dxa"/>
            <w:bottom w:w="0" w:type="dxa"/>
            <w:right w:w="108" w:type="dxa"/>
          </w:tblCellMar>
        </w:tblPrEx>
        <w:trPr>
          <w:trHeight w:val="76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工程完成及时率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r>
        <w:tblPrEx>
          <w:shd w:val="clear" w:color="auto" w:fill="auto"/>
          <w:tblCellMar>
            <w:top w:w="0" w:type="dxa"/>
            <w:left w:w="108" w:type="dxa"/>
            <w:bottom w:w="0" w:type="dxa"/>
            <w:right w:w="108" w:type="dxa"/>
          </w:tblCellMar>
        </w:tblPrEx>
        <w:trPr>
          <w:trHeight w:val="76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提升居民生活环境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养护期内清绿地垃圾时存在不及时情况。持续加强督导。</w:t>
            </w:r>
          </w:p>
        </w:tc>
      </w:tr>
      <w:tr>
        <w:tblPrEx>
          <w:shd w:val="clear" w:color="auto" w:fill="auto"/>
          <w:tblCellMar>
            <w:top w:w="0" w:type="dxa"/>
            <w:left w:w="108" w:type="dxa"/>
            <w:bottom w:w="0" w:type="dxa"/>
            <w:right w:w="108" w:type="dxa"/>
          </w:tblCellMar>
        </w:tblPrEx>
        <w:trPr>
          <w:trHeight w:val="47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消除安全隐患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r>
        <w:tblPrEx>
          <w:shd w:val="clear" w:color="auto" w:fill="auto"/>
          <w:tblCellMar>
            <w:top w:w="0" w:type="dxa"/>
            <w:left w:w="108" w:type="dxa"/>
            <w:bottom w:w="0" w:type="dxa"/>
            <w:right w:w="108" w:type="dxa"/>
          </w:tblCellMar>
        </w:tblPrEx>
        <w:trPr>
          <w:trHeight w:val="54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增加绿量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r>
        <w:tblPrEx>
          <w:shd w:val="clear" w:color="auto" w:fill="auto"/>
          <w:tblCellMar>
            <w:top w:w="0" w:type="dxa"/>
            <w:left w:w="108" w:type="dxa"/>
            <w:bottom w:w="0" w:type="dxa"/>
            <w:right w:w="108" w:type="dxa"/>
          </w:tblCellMar>
        </w:tblPrEx>
        <w:trPr>
          <w:trHeight w:val="76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美化环境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有效改善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养护期内清绿地垃圾时存在不及时情况。持续加强督导。</w:t>
            </w:r>
          </w:p>
        </w:tc>
      </w:tr>
      <w:tr>
        <w:tblPrEx>
          <w:shd w:val="clear" w:color="auto" w:fill="auto"/>
          <w:tblCellMar>
            <w:top w:w="0" w:type="dxa"/>
            <w:left w:w="108" w:type="dxa"/>
            <w:bottom w:w="0" w:type="dxa"/>
            <w:right w:w="108" w:type="dxa"/>
          </w:tblCellMar>
        </w:tblPrEx>
        <w:trPr>
          <w:trHeight w:val="76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支付企业满意度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r>
        <w:tblPrEx>
          <w:shd w:val="clear" w:color="auto" w:fill="auto"/>
          <w:tblCellMar>
            <w:top w:w="0" w:type="dxa"/>
            <w:left w:w="108" w:type="dxa"/>
            <w:bottom w:w="0" w:type="dxa"/>
            <w:right w:w="108" w:type="dxa"/>
          </w:tblCellMar>
        </w:tblPrEx>
        <w:trPr>
          <w:trHeight w:val="76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市民满意度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r>
        <w:tblPrEx>
          <w:shd w:val="clear" w:color="auto" w:fill="auto"/>
          <w:tblCellMar>
            <w:top w:w="0" w:type="dxa"/>
            <w:left w:w="108" w:type="dxa"/>
            <w:bottom w:w="0" w:type="dxa"/>
            <w:right w:w="108" w:type="dxa"/>
          </w:tblCellMar>
        </w:tblPrEx>
        <w:trPr>
          <w:trHeight w:val="481"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bl>
    <w:p>
      <w:pPr>
        <w:pStyle w:val="10"/>
      </w:pPr>
    </w:p>
    <w:p>
      <w:pPr>
        <w:pStyle w:val="10"/>
        <w:jc w:val="center"/>
        <w:rPr>
          <w:rFonts w:hint="eastAsia" w:eastAsia="宋体"/>
          <w:lang w:eastAsia="zh-CN"/>
        </w:rPr>
      </w:pPr>
      <w:r>
        <w:rPr>
          <w:rFonts w:hint="eastAsia"/>
          <w:b/>
          <w:bCs/>
          <w:sz w:val="40"/>
          <w:szCs w:val="40"/>
          <w:lang w:eastAsia="zh-CN"/>
        </w:rPr>
        <w:t>项目单位自评表</w:t>
      </w:r>
    </w:p>
    <w:tbl>
      <w:tblPr>
        <w:tblStyle w:val="20"/>
        <w:tblW w:w="5000" w:type="pct"/>
        <w:tblInd w:w="0" w:type="dxa"/>
        <w:shd w:val="clear" w:color="auto" w:fill="auto"/>
        <w:tblLayout w:type="autofit"/>
        <w:tblCellMar>
          <w:top w:w="0" w:type="dxa"/>
          <w:left w:w="108" w:type="dxa"/>
          <w:bottom w:w="0" w:type="dxa"/>
          <w:right w:w="108" w:type="dxa"/>
        </w:tblCellMar>
      </w:tblPr>
      <w:tblGrid>
        <w:gridCol w:w="665"/>
        <w:gridCol w:w="965"/>
        <w:gridCol w:w="2390"/>
        <w:gridCol w:w="1585"/>
        <w:gridCol w:w="1761"/>
        <w:gridCol w:w="1733"/>
        <w:gridCol w:w="1417"/>
        <w:gridCol w:w="1017"/>
        <w:gridCol w:w="937"/>
        <w:gridCol w:w="1704"/>
      </w:tblGrid>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noWrap w:val="0"/>
            <w:vAlign w:val="top"/>
          </w:tcPr>
          <w:p>
            <w:pPr>
              <w:pStyle w:val="16"/>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2022年第四季度市管区域公共绿地管养经费</w:t>
            </w:r>
          </w:p>
        </w:tc>
      </w:tr>
      <w:tr>
        <w:tblPrEx>
          <w:shd w:val="clear" w:color="auto" w:fill="auto"/>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主管部门</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许昌市城市管理局</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实施单位</w:t>
            </w:r>
          </w:p>
        </w:tc>
        <w:tc>
          <w:tcPr>
            <w:tcW w:w="0" w:type="auto"/>
            <w:gridSpan w:val="4"/>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许昌市园林绿化中心</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                (万元)</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年初预算数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全年执行数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执行率</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r>
      <w:tr>
        <w:trPr>
          <w:trHeight w:val="31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 </w:t>
            </w:r>
            <w:r>
              <w:rPr>
                <w:rStyle w:val="22"/>
                <w:rFonts w:hint="default"/>
              </w:rPr>
              <w:t xml:space="preserve"> 年度资金总额</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305.46</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305.46</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280.34</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91.78 %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9.18</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财政拨款</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305.46</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305.46</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280.34</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91.78 %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财政专户管理资金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情况说明</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分值（20）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存在问题和改进措施</w:t>
            </w:r>
          </w:p>
        </w:tc>
      </w:tr>
      <w:tr>
        <w:tblPrEx>
          <w:tblCellMar>
            <w:top w:w="0" w:type="dxa"/>
            <w:left w:w="108" w:type="dxa"/>
            <w:bottom w:w="0" w:type="dxa"/>
            <w:right w:w="108" w:type="dxa"/>
          </w:tblCellMar>
        </w:tblPrEx>
        <w:trPr>
          <w:trHeight w:val="67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安排科学性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按照部门预算编制和资金管理办法的要求，进行项目论证、评审、立项等必要程序</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93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拨付合规性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严格按照国库集中支付制度有关规定支付资金，未出现违规将资金从国库转入财政专户或支付到预算单位实有资金账户等问题。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72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使用规范性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严格按照下达预算的科目和项目执行，未出现截留、挤占、挪用和擅自调整等问题。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rPr>
          <w:trHeight w:val="70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预算绩效管理情况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将资金纳入绩效管理，设置绩效目标，开展绩效监控。</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435" w:hRule="atLeast"/>
        </w:trPr>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年度总体目标</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预期目标</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实际完成情况</w:t>
            </w:r>
          </w:p>
        </w:tc>
      </w:tr>
      <w:tr>
        <w:tblPrEx>
          <w:tblCellMar>
            <w:top w:w="0" w:type="dxa"/>
            <w:left w:w="108" w:type="dxa"/>
            <w:bottom w:w="0" w:type="dxa"/>
            <w:right w:w="108" w:type="dxa"/>
          </w:tblCellMar>
        </w:tblPrEx>
        <w:trPr>
          <w:trHeight w:val="2535" w:hRule="atLeast"/>
        </w:trPr>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textAlignment w:val="top"/>
              <w:rPr>
                <w:rFonts w:ascii="宋体" w:hAnsi="宋体" w:eastAsia="宋体" w:cs="宋体"/>
                <w:color w:val="000000"/>
                <w:sz w:val="24"/>
              </w:rPr>
            </w:pPr>
            <w:r>
              <w:rPr>
                <w:rFonts w:hint="eastAsia" w:ascii="宋体" w:hAnsi="宋体" w:eastAsia="宋体" w:cs="宋体"/>
                <w:color w:val="000000"/>
                <w:kern w:val="0"/>
                <w:sz w:val="24"/>
              </w:rPr>
              <w:t>1.严格按照《许昌市市管区域园林绿化养护管理考评办法（试行）》，对市管区域园林绿化养护管理进行监管考核，加强日常巡查，定期开展市管区域养护质量考评；</w:t>
            </w:r>
            <w:r>
              <w:br w:type="textWrapping"/>
            </w:r>
            <w:r>
              <w:rPr>
                <w:rFonts w:hint="eastAsia" w:ascii="宋体" w:hAnsi="宋体" w:eastAsia="宋体" w:cs="宋体"/>
                <w:color w:val="000000"/>
                <w:kern w:val="0"/>
                <w:sz w:val="24"/>
              </w:rPr>
              <w:t>2.督促管养单位认真做好日常卫生保洁、绿化植物整形修剪、浇灌、施肥、病虫害防治、缺株断档补植补栽等绿化监管管理工作；</w:t>
            </w:r>
            <w:r>
              <w:br w:type="textWrapping"/>
            </w:r>
            <w:r>
              <w:rPr>
                <w:rFonts w:hint="eastAsia" w:ascii="宋体" w:hAnsi="宋体" w:eastAsia="宋体" w:cs="宋体"/>
                <w:color w:val="000000"/>
                <w:kern w:val="0"/>
                <w:sz w:val="24"/>
              </w:rPr>
              <w:t>3.督促管养单位认真做好所管区域安全、秩序的监督管理及数字城管案件的处理工作；</w:t>
            </w:r>
            <w:r>
              <w:br w:type="textWrapping"/>
            </w:r>
            <w:r>
              <w:rPr>
                <w:rFonts w:hint="eastAsia" w:ascii="宋体" w:hAnsi="宋体" w:eastAsia="宋体" w:cs="宋体"/>
                <w:color w:val="000000"/>
                <w:kern w:val="0"/>
                <w:sz w:val="24"/>
              </w:rPr>
              <w:t>4.完成第四季度养护费支付。</w:t>
            </w:r>
          </w:p>
        </w:tc>
        <w:tc>
          <w:tcPr>
            <w:tcW w:w="0" w:type="auto"/>
            <w:gridSpan w:val="6"/>
            <w:tcBorders>
              <w:top w:val="single" w:color="auto" w:sz="4" w:space="0"/>
              <w:left w:val="nil"/>
              <w:bottom w:val="single" w:color="auto" w:sz="4" w:space="0"/>
              <w:right w:val="single" w:color="000000" w:sz="4" w:space="0"/>
            </w:tcBorders>
            <w:shd w:val="clear" w:color="auto" w:fill="auto"/>
            <w:noWrap w:val="0"/>
            <w:vAlign w:val="center"/>
          </w:tcPr>
          <w:p>
            <w:pPr>
              <w:pStyle w:val="16"/>
              <w:widowControl/>
              <w:textAlignment w:val="top"/>
              <w:rPr>
                <w:rFonts w:ascii="宋体" w:hAnsi="宋体" w:eastAsia="宋体" w:cs="宋体"/>
                <w:color w:val="000000"/>
                <w:sz w:val="24"/>
              </w:rPr>
            </w:pPr>
            <w:r>
              <w:rPr>
                <w:rFonts w:hint="eastAsia" w:ascii="宋体" w:hAnsi="宋体" w:eastAsia="宋体" w:cs="宋体"/>
                <w:color w:val="000000"/>
                <w:kern w:val="0"/>
                <w:sz w:val="24"/>
              </w:rPr>
              <w:t>坚持对中心区122条道路、14个游园广场精细化养护管理进行月考核、季综评，根据季综评考评得分情况及时申请资金拨付。同时，强化管养经费预算、财务、绩效管理工作，专款专用，圆满完成年度目标工作任务。</w:t>
            </w:r>
          </w:p>
        </w:tc>
      </w:tr>
      <w:tr>
        <w:tblPrEx>
          <w:tblCellMar>
            <w:top w:w="0" w:type="dxa"/>
            <w:left w:w="108" w:type="dxa"/>
            <w:bottom w:w="0" w:type="dxa"/>
            <w:right w:w="108" w:type="dxa"/>
          </w:tblCellMar>
        </w:tblPrEx>
        <w:trPr>
          <w:trHeight w:val="312" w:hRule="atLeast"/>
        </w:trPr>
        <w:tc>
          <w:tcPr>
            <w:tcW w:w="0" w:type="auto"/>
            <w:gridSpan w:val="10"/>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r>
      <w:tr>
        <w:trPr>
          <w:trHeight w:val="312" w:hRule="atLeast"/>
        </w:trPr>
        <w:tc>
          <w:tcPr>
            <w:gridSpan w:val="10"/>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年度指标值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实际值完成值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偏差度</w:t>
            </w:r>
          </w:p>
        </w:tc>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偏差原因分析及改进措施</w:t>
            </w:r>
          </w:p>
        </w:tc>
      </w:tr>
      <w:tr>
        <w:tblPrEx>
          <w:tblCellMar>
            <w:top w:w="0" w:type="dxa"/>
            <w:left w:w="108" w:type="dxa"/>
            <w:bottom w:w="0" w:type="dxa"/>
            <w:right w:w="108" w:type="dxa"/>
          </w:tblCellMar>
        </w:tblPrEx>
        <w:trPr>
          <w:trHeight w:val="312"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二级养护绿地管养经费标准</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=11元/平方米.年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11元/平方米.年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一级养护绿地管养经费标准</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=13元/平方米.年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13元/平方米.年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产出指标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精细化管养游园广场数量</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=14个</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14个</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精细化管养道路数量</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=122条</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122条</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精细化管养月考核良好率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≥96%</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96%</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养护费支付完成时间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2023年3月底前</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管养时间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=3个月</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3个月</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精细化管养水平</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14.25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个别绿地精细化管养水平仍需提高。持续加强督导。</w:t>
            </w:r>
          </w:p>
        </w:tc>
      </w:tr>
      <w:tr>
        <w:tblPrEx>
          <w:shd w:val="clear" w:color="auto" w:fill="auto"/>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公共绿地整洁美化率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满意度指标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支付企业满意度</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市民对养护管理满意度</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总分</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98.43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bl>
    <w:p>
      <w:pPr>
        <w:pStyle w:val="10"/>
      </w:pPr>
    </w:p>
    <w:p>
      <w:pPr>
        <w:pStyle w:val="10"/>
      </w:pPr>
    </w:p>
    <w:p>
      <w:pPr>
        <w:pStyle w:val="10"/>
        <w:jc w:val="center"/>
      </w:pPr>
      <w:r>
        <w:rPr>
          <w:rFonts w:hint="eastAsia" w:ascii="宋体" w:hAnsi="Times New Roman" w:eastAsia="宋体" w:cs="宋体"/>
          <w:b/>
          <w:color w:val="000000"/>
          <w:kern w:val="0"/>
          <w:sz w:val="40"/>
          <w:szCs w:val="40"/>
          <w:lang w:val="en-AU" w:eastAsia="zh-CN"/>
        </w:rPr>
        <w:t>项目单位自评表</w:t>
      </w:r>
    </w:p>
    <w:tbl>
      <w:tblPr>
        <w:tblStyle w:val="20"/>
        <w:tblW w:w="5000" w:type="pct"/>
        <w:tblInd w:w="0" w:type="dxa"/>
        <w:shd w:val="clear" w:color="auto" w:fill="auto"/>
        <w:tblLayout w:type="autofit"/>
        <w:tblCellMar>
          <w:top w:w="0" w:type="dxa"/>
          <w:left w:w="108" w:type="dxa"/>
          <w:bottom w:w="0" w:type="dxa"/>
          <w:right w:w="108" w:type="dxa"/>
        </w:tblCellMar>
      </w:tblPr>
      <w:tblGrid>
        <w:gridCol w:w="665"/>
        <w:gridCol w:w="965"/>
        <w:gridCol w:w="2390"/>
        <w:gridCol w:w="1585"/>
        <w:gridCol w:w="1761"/>
        <w:gridCol w:w="1733"/>
        <w:gridCol w:w="1417"/>
        <w:gridCol w:w="1017"/>
        <w:gridCol w:w="937"/>
        <w:gridCol w:w="1704"/>
      </w:tblGrid>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noWrap w:val="0"/>
            <w:vAlign w:val="top"/>
          </w:tcPr>
          <w:p>
            <w:pPr>
              <w:pStyle w:val="16"/>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2022年第三季度市管区域公共绿地管养经费</w:t>
            </w:r>
          </w:p>
        </w:tc>
      </w:tr>
      <w:tr>
        <w:tblPrEx>
          <w:shd w:val="clear" w:color="auto" w:fill="auto"/>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主管部门</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许昌市城市管理局</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实施单位</w:t>
            </w:r>
          </w:p>
        </w:tc>
        <w:tc>
          <w:tcPr>
            <w:tcW w:w="0" w:type="auto"/>
            <w:gridSpan w:val="4"/>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许昌市园林绿化中心</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                (万元)</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年初预算数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全年执行数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执行率</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r>
      <w:tr>
        <w:tblPrEx>
          <w:tblCellMar>
            <w:top w:w="0" w:type="dxa"/>
            <w:left w:w="108" w:type="dxa"/>
            <w:bottom w:w="0" w:type="dxa"/>
            <w:right w:w="108" w:type="dxa"/>
          </w:tblCellMar>
        </w:tblPrEx>
        <w:trPr>
          <w:trHeight w:val="31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 </w:t>
            </w:r>
            <w:r>
              <w:rPr>
                <w:rStyle w:val="22"/>
                <w:rFonts w:hint="default"/>
              </w:rPr>
              <w:t xml:space="preserve"> 年度资金总额</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280.73</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280.73</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91.78 %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9.18</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财政拨款</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280.73</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280.73</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91.78 %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财政专户管理资金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情况说明</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分值（20）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存在问题和改进措施</w:t>
            </w:r>
          </w:p>
        </w:tc>
      </w:tr>
      <w:tr>
        <w:tblPrEx>
          <w:tblCellMar>
            <w:top w:w="0" w:type="dxa"/>
            <w:left w:w="108" w:type="dxa"/>
            <w:bottom w:w="0" w:type="dxa"/>
            <w:right w:w="108" w:type="dxa"/>
          </w:tblCellMar>
        </w:tblPrEx>
        <w:trPr>
          <w:trHeight w:val="67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安排科学性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按照部门预算编制和资金管理办法的要求，进行项目论证、评审、立项等必要程序</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93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拨付合规性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严格按照国库集中支付制度有关规定支付资金，未出现违规将资金从国库转入财政专户或支付到预算单位实有资金账户等问题。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72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使用规范性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严格按照下达预算的科目和项目执行，未出现截留、挤占、挪用和擅自调整等问题。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70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预算绩效管理情况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将资金纳入绩效管理，设置绩效目标，开展绩效监控。</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435" w:hRule="atLeast"/>
        </w:trPr>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年度总体目标</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预期目标</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实际完成情况</w:t>
            </w:r>
          </w:p>
        </w:tc>
      </w:tr>
      <w:tr>
        <w:tblPrEx>
          <w:tblCellMar>
            <w:top w:w="0" w:type="dxa"/>
            <w:left w:w="108" w:type="dxa"/>
            <w:bottom w:w="0" w:type="dxa"/>
            <w:right w:w="108" w:type="dxa"/>
          </w:tblCellMar>
        </w:tblPrEx>
        <w:trPr>
          <w:trHeight w:val="2535" w:hRule="atLeast"/>
        </w:trPr>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textAlignment w:val="top"/>
              <w:rPr>
                <w:rFonts w:ascii="宋体" w:hAnsi="宋体" w:eastAsia="宋体" w:cs="宋体"/>
                <w:color w:val="000000"/>
                <w:sz w:val="24"/>
              </w:rPr>
            </w:pPr>
            <w:r>
              <w:rPr>
                <w:rFonts w:hint="eastAsia" w:ascii="宋体" w:hAnsi="宋体" w:eastAsia="宋体" w:cs="宋体"/>
                <w:color w:val="000000"/>
                <w:kern w:val="0"/>
                <w:sz w:val="24"/>
              </w:rPr>
              <w:t>1.严格按照《许昌市市管区域园林绿化养护管理考评办法（试行）》，对市管区域园林绿化养护管理进行监管考核，加强日常巡查，定期开展市管区域养护质量考评；</w:t>
            </w:r>
            <w:r>
              <w:br w:type="textWrapping"/>
            </w:r>
            <w:r>
              <w:rPr>
                <w:rFonts w:hint="eastAsia" w:ascii="宋体" w:hAnsi="宋体" w:eastAsia="宋体" w:cs="宋体"/>
                <w:color w:val="000000"/>
                <w:kern w:val="0"/>
                <w:sz w:val="24"/>
              </w:rPr>
              <w:t>2.督促管养单位认真做好日常卫生保洁、绿化植物整形修剪、浇灌、施肥、病虫害防治、缺株断档补植补栽等绿化监管管理工作；</w:t>
            </w:r>
            <w:r>
              <w:br w:type="textWrapping"/>
            </w:r>
            <w:r>
              <w:rPr>
                <w:rFonts w:hint="eastAsia" w:ascii="宋体" w:hAnsi="宋体" w:eastAsia="宋体" w:cs="宋体"/>
                <w:color w:val="000000"/>
                <w:kern w:val="0"/>
                <w:sz w:val="24"/>
              </w:rPr>
              <w:t>3.督促管养单位认真做好所管区域安全、秩序的监督管理及数字城管案件的处理工作；</w:t>
            </w:r>
            <w:r>
              <w:br w:type="textWrapping"/>
            </w:r>
            <w:r>
              <w:rPr>
                <w:rFonts w:hint="eastAsia" w:ascii="宋体" w:hAnsi="宋体" w:eastAsia="宋体" w:cs="宋体"/>
                <w:color w:val="000000"/>
                <w:kern w:val="0"/>
                <w:sz w:val="24"/>
              </w:rPr>
              <w:t>4.完成第四季度养护费支付。</w:t>
            </w:r>
          </w:p>
        </w:tc>
        <w:tc>
          <w:tcPr>
            <w:tcW w:w="0" w:type="auto"/>
            <w:gridSpan w:val="6"/>
            <w:tcBorders>
              <w:top w:val="single" w:color="auto" w:sz="4" w:space="0"/>
              <w:left w:val="nil"/>
              <w:bottom w:val="single" w:color="auto" w:sz="4" w:space="0"/>
              <w:right w:val="single" w:color="000000" w:sz="4" w:space="0"/>
            </w:tcBorders>
            <w:shd w:val="clear" w:color="auto" w:fill="auto"/>
            <w:noWrap w:val="0"/>
            <w:vAlign w:val="center"/>
          </w:tcPr>
          <w:p>
            <w:pPr>
              <w:pStyle w:val="16"/>
              <w:widowControl/>
              <w:textAlignment w:val="top"/>
              <w:rPr>
                <w:rFonts w:ascii="宋体" w:hAnsi="宋体" w:eastAsia="宋体" w:cs="宋体"/>
                <w:color w:val="000000"/>
                <w:sz w:val="24"/>
              </w:rPr>
            </w:pPr>
            <w:r>
              <w:rPr>
                <w:rFonts w:hint="eastAsia" w:ascii="宋体" w:hAnsi="宋体" w:eastAsia="宋体" w:cs="宋体"/>
                <w:color w:val="000000"/>
                <w:kern w:val="0"/>
                <w:sz w:val="24"/>
              </w:rPr>
              <w:t>坚持对中心区122条道路、14个游园广场精细化养护管理进行月考核、季综评，根据季综评考评得分情况及时申请资金拨付。同时，强化管养经费预算、财务、绩效管理工作，专款专用，圆满完成年度目标工作任务。</w:t>
            </w:r>
          </w:p>
        </w:tc>
      </w:tr>
      <w:tr>
        <w:tblPrEx>
          <w:tblCellMar>
            <w:top w:w="0" w:type="dxa"/>
            <w:left w:w="108" w:type="dxa"/>
            <w:bottom w:w="0" w:type="dxa"/>
            <w:right w:w="108" w:type="dxa"/>
          </w:tblCellMar>
        </w:tblPrEx>
        <w:trPr>
          <w:trHeight w:val="312" w:hRule="atLeast"/>
        </w:trPr>
        <w:tc>
          <w:tcPr>
            <w:tcW w:w="0" w:type="auto"/>
            <w:gridSpan w:val="10"/>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r>
      <w:tr>
        <w:tblPrEx>
          <w:tblCellMar>
            <w:top w:w="0" w:type="dxa"/>
            <w:left w:w="108" w:type="dxa"/>
            <w:bottom w:w="0" w:type="dxa"/>
            <w:right w:w="108" w:type="dxa"/>
          </w:tblCellMar>
        </w:tblPrEx>
        <w:trPr>
          <w:trHeight w:val="312" w:hRule="atLeast"/>
        </w:trPr>
        <w:tc>
          <w:tcPr>
            <w:gridSpan w:val="10"/>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年度指标值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实际值完成值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偏差度</w:t>
            </w:r>
          </w:p>
        </w:tc>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偏差原因分析及改进措施</w:t>
            </w:r>
          </w:p>
        </w:tc>
      </w:tr>
      <w:tr>
        <w:tblPrEx>
          <w:tblCellMar>
            <w:top w:w="0" w:type="dxa"/>
            <w:left w:w="108" w:type="dxa"/>
            <w:bottom w:w="0" w:type="dxa"/>
            <w:right w:w="108" w:type="dxa"/>
          </w:tblCellMar>
        </w:tblPrEx>
        <w:trPr>
          <w:trHeight w:val="312"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二级养护绿地管养经费标准</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=11元/平方米.年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11元/平方米.年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一级养护绿地管养经费标准</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=13元/平方米.年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13元/平方米.年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产出指标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精细化管养游园广场数量</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=14个</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14个</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精细化管养道路数量</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=122条</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122条</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精细化管养月考核良好率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≥96%</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96%</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养护费支付完成时间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2023年3月底前</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管养时间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=3个月</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3个月</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精细化管养水平</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14.25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个别绿地精细化管养水平仍需提高。持续加强督导。</w:t>
            </w:r>
          </w:p>
        </w:tc>
      </w:tr>
      <w:tr>
        <w:tblPrEx>
          <w:shd w:val="clear" w:color="auto" w:fill="auto"/>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公共绿地整洁美化率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满意度指标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支付企业满意度</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市民对养护管理满意度</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总分</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98.43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bl>
    <w:p>
      <w:pPr>
        <w:pStyle w:val="10"/>
      </w:pPr>
    </w:p>
    <w:p>
      <w:pPr>
        <w:pStyle w:val="10"/>
        <w:jc w:val="center"/>
      </w:pPr>
      <w:r>
        <w:rPr>
          <w:rFonts w:hint="eastAsia" w:ascii="宋体" w:hAnsi="Times New Roman" w:eastAsia="宋体" w:cs="宋体"/>
          <w:b/>
          <w:color w:val="000000"/>
          <w:kern w:val="0"/>
          <w:sz w:val="40"/>
          <w:szCs w:val="40"/>
          <w:lang w:val="en-AU" w:eastAsia="zh-CN"/>
        </w:rPr>
        <w:t>项目单位自评表</w:t>
      </w:r>
    </w:p>
    <w:tbl>
      <w:tblPr>
        <w:tblStyle w:val="20"/>
        <w:tblW w:w="5000" w:type="pct"/>
        <w:tblInd w:w="0" w:type="dxa"/>
        <w:shd w:val="clear" w:color="auto" w:fill="auto"/>
        <w:tblLayout w:type="autofit"/>
        <w:tblCellMar>
          <w:top w:w="0" w:type="dxa"/>
          <w:left w:w="108" w:type="dxa"/>
          <w:bottom w:w="0" w:type="dxa"/>
          <w:right w:w="108" w:type="dxa"/>
        </w:tblCellMar>
      </w:tblPr>
      <w:tblGrid>
        <w:gridCol w:w="721"/>
        <w:gridCol w:w="818"/>
        <w:gridCol w:w="2172"/>
        <w:gridCol w:w="1440"/>
        <w:gridCol w:w="2030"/>
        <w:gridCol w:w="2025"/>
        <w:gridCol w:w="1416"/>
        <w:gridCol w:w="1016"/>
        <w:gridCol w:w="936"/>
        <w:gridCol w:w="1600"/>
      </w:tblGrid>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noWrap w:val="0"/>
            <w:vAlign w:val="top"/>
          </w:tcPr>
          <w:p>
            <w:pPr>
              <w:pStyle w:val="16"/>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2022年市管区域道路游园提升5个项目前期费用</w:t>
            </w:r>
          </w:p>
        </w:tc>
      </w:tr>
      <w:tr>
        <w:tblPrEx>
          <w:shd w:val="clear" w:color="auto" w:fill="auto"/>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主管部门</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许昌市城市管理局</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实施单位</w:t>
            </w:r>
          </w:p>
        </w:tc>
        <w:tc>
          <w:tcPr>
            <w:tcW w:w="0" w:type="auto"/>
            <w:gridSpan w:val="4"/>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许昌市园林绿化中心</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                (万元)</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年初预算数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全年执行数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执行率</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r>
      <w:tr>
        <w:tblPrEx>
          <w:tblCellMar>
            <w:top w:w="0" w:type="dxa"/>
            <w:left w:w="108" w:type="dxa"/>
            <w:bottom w:w="0" w:type="dxa"/>
            <w:right w:w="108" w:type="dxa"/>
          </w:tblCellMar>
        </w:tblPrEx>
        <w:trPr>
          <w:trHeight w:val="31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年度资金总额</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16.72</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16.72</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财政拨款</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16.72</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16.72</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财政专户管理资金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情况说明</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分值（20）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存在问题和改进措施</w:t>
            </w:r>
          </w:p>
        </w:tc>
      </w:tr>
      <w:tr>
        <w:tblPrEx>
          <w:tblCellMar>
            <w:top w:w="0" w:type="dxa"/>
            <w:left w:w="108" w:type="dxa"/>
            <w:bottom w:w="0" w:type="dxa"/>
            <w:right w:w="108" w:type="dxa"/>
          </w:tblCellMar>
        </w:tblPrEx>
        <w:trPr>
          <w:trHeight w:val="1454"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安排科学性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按照部门预算编制和资金管理办法的要求，进行项目论证、评审、立项等必要程序。</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105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拨付合规性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严格按照国库集中支付制度有关规定支付资金，未出现违规将资金从国库转入财政专户或支付到预算单位实有资金账户等问题。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73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使用规范性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严格按照下达预算的科目和项目执行，未出现截留、挤占、挪用和擅自调整等问题。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67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预算绩效管理情况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将资金纳入绩效管理，设置绩效目标，开展绩效监控。</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540" w:hRule="atLeast"/>
        </w:trPr>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年度总体目标</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预期目标</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实际完成情况</w:t>
            </w:r>
          </w:p>
        </w:tc>
      </w:tr>
      <w:tr>
        <w:tblPrEx>
          <w:tblCellMar>
            <w:top w:w="0" w:type="dxa"/>
            <w:left w:w="108" w:type="dxa"/>
            <w:bottom w:w="0" w:type="dxa"/>
            <w:right w:w="108" w:type="dxa"/>
          </w:tblCellMar>
        </w:tblPrEx>
        <w:trPr>
          <w:trHeight w:val="735" w:hRule="atLeast"/>
        </w:trPr>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textAlignment w:val="top"/>
              <w:rPr>
                <w:rFonts w:ascii="宋体" w:hAnsi="宋体" w:eastAsia="宋体" w:cs="宋体"/>
                <w:color w:val="000000"/>
                <w:sz w:val="24"/>
              </w:rPr>
            </w:pPr>
            <w:r>
              <w:rPr>
                <w:rFonts w:hint="eastAsia" w:ascii="宋体" w:hAnsi="宋体" w:eastAsia="宋体" w:cs="宋体"/>
                <w:color w:val="000000"/>
                <w:kern w:val="0"/>
                <w:sz w:val="24"/>
              </w:rPr>
              <w:t>完成2022年市管区域道路游园提升5个项目前期费用的支付。</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pPr>
              <w:pStyle w:val="16"/>
              <w:widowControl/>
              <w:textAlignment w:val="top"/>
              <w:rPr>
                <w:rFonts w:ascii="宋体" w:hAnsi="宋体" w:eastAsia="宋体" w:cs="宋体"/>
                <w:color w:val="000000"/>
                <w:sz w:val="24"/>
              </w:rPr>
            </w:pPr>
            <w:r>
              <w:rPr>
                <w:rFonts w:hint="eastAsia" w:ascii="宋体" w:hAnsi="宋体" w:eastAsia="宋体" w:cs="宋体"/>
                <w:color w:val="000000"/>
                <w:kern w:val="0"/>
                <w:sz w:val="24"/>
              </w:rPr>
              <w:t>已完成2022年市管区域道路游园提升5个项目前期费用的支付。</w:t>
            </w:r>
          </w:p>
        </w:tc>
      </w:tr>
      <w:tr>
        <w:tblPrEx>
          <w:tblCellMar>
            <w:top w:w="0" w:type="dxa"/>
            <w:left w:w="108" w:type="dxa"/>
            <w:bottom w:w="0" w:type="dxa"/>
            <w:right w:w="108" w:type="dxa"/>
          </w:tblCellMar>
        </w:tblPrEx>
        <w:trPr>
          <w:trHeight w:val="312" w:hRule="atLeast"/>
        </w:trPr>
        <w:tc>
          <w:tcPr>
            <w:tcW w:w="0" w:type="auto"/>
            <w:gridSpan w:val="10"/>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r>
      <w:tr>
        <w:tblPrEx>
          <w:tblCellMar>
            <w:top w:w="0" w:type="dxa"/>
            <w:left w:w="108" w:type="dxa"/>
            <w:bottom w:w="0" w:type="dxa"/>
            <w:right w:w="108" w:type="dxa"/>
          </w:tblCellMar>
        </w:tblPrEx>
        <w:trPr>
          <w:trHeight w:val="312" w:hRule="atLeast"/>
        </w:trPr>
        <w:tc>
          <w:tcPr>
            <w:gridSpan w:val="10"/>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年度指标值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实际值完成值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偏差度</w:t>
            </w:r>
          </w:p>
        </w:tc>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偏差原因分析及改进措施</w:t>
            </w:r>
          </w:p>
        </w:tc>
      </w:tr>
      <w:tr>
        <w:tblPrEx>
          <w:tblCellMar>
            <w:top w:w="0" w:type="dxa"/>
            <w:left w:w="108" w:type="dxa"/>
            <w:bottom w:w="0" w:type="dxa"/>
            <w:right w:w="108" w:type="dxa"/>
          </w:tblCellMar>
        </w:tblPrEx>
        <w:trPr>
          <w:trHeight w:val="312"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r>
      <w:tr>
        <w:tblPrEx>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前期费用</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=16.7155万元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16.72万元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0.03</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6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产出指标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前期费用项目个数</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=5个</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5个</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45"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前期工作完成及时率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45"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前期费用支付完成时间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=2023年底前</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2023年底前</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7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提高城市品位</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55"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提升居民生活环境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4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满意度指标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支付企业满意度</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≥98%</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98%</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总分</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bl>
    <w:p>
      <w:pPr>
        <w:pStyle w:val="10"/>
      </w:pPr>
    </w:p>
    <w:p>
      <w:pPr>
        <w:pStyle w:val="10"/>
        <w:jc w:val="center"/>
        <w:rPr>
          <w:rFonts w:hint="eastAsia" w:ascii="宋体" w:hAnsi="Times New Roman" w:eastAsia="宋体" w:cs="宋体"/>
          <w:b/>
          <w:color w:val="000000"/>
          <w:kern w:val="0"/>
          <w:sz w:val="40"/>
          <w:szCs w:val="40"/>
          <w:lang w:val="en-AU" w:eastAsia="zh-CN"/>
        </w:rPr>
      </w:pPr>
    </w:p>
    <w:p>
      <w:pPr>
        <w:pStyle w:val="10"/>
        <w:jc w:val="center"/>
      </w:pPr>
      <w:r>
        <w:rPr>
          <w:rFonts w:hint="eastAsia" w:ascii="宋体" w:hAnsi="Times New Roman" w:eastAsia="宋体" w:cs="宋体"/>
          <w:b/>
          <w:color w:val="000000"/>
          <w:kern w:val="0"/>
          <w:sz w:val="40"/>
          <w:szCs w:val="40"/>
          <w:lang w:val="en-AU" w:eastAsia="zh-CN"/>
        </w:rPr>
        <w:t>项目单位自评表</w:t>
      </w:r>
    </w:p>
    <w:tbl>
      <w:tblPr>
        <w:tblStyle w:val="20"/>
        <w:tblW w:w="5000" w:type="pct"/>
        <w:tblInd w:w="0" w:type="dxa"/>
        <w:shd w:val="clear" w:color="auto" w:fill="auto"/>
        <w:tblLayout w:type="autofit"/>
        <w:tblCellMar>
          <w:top w:w="0" w:type="dxa"/>
          <w:left w:w="108" w:type="dxa"/>
          <w:bottom w:w="0" w:type="dxa"/>
          <w:right w:w="108" w:type="dxa"/>
        </w:tblCellMar>
      </w:tblPr>
      <w:tblGrid>
        <w:gridCol w:w="710"/>
        <w:gridCol w:w="758"/>
        <w:gridCol w:w="2136"/>
        <w:gridCol w:w="1416"/>
        <w:gridCol w:w="2018"/>
        <w:gridCol w:w="1920"/>
        <w:gridCol w:w="1416"/>
        <w:gridCol w:w="936"/>
        <w:gridCol w:w="936"/>
        <w:gridCol w:w="1928"/>
      </w:tblGrid>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noWrap w:val="0"/>
            <w:vAlign w:val="top"/>
          </w:tcPr>
          <w:p>
            <w:pPr>
              <w:pStyle w:val="16"/>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2022年市管区域口袋公园建设项目</w:t>
            </w:r>
          </w:p>
        </w:tc>
      </w:tr>
      <w:tr>
        <w:tblPrEx>
          <w:shd w:val="clear" w:color="auto" w:fill="auto"/>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主管部门</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许昌市城市管理局</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实施单位</w:t>
            </w:r>
          </w:p>
        </w:tc>
        <w:tc>
          <w:tcPr>
            <w:tcW w:w="0" w:type="auto"/>
            <w:gridSpan w:val="4"/>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许昌市园林绿化中心</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                (万元)</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年初预算数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全年执行数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执行率</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r>
      <w:tr>
        <w:tblPrEx>
          <w:tblCellMar>
            <w:top w:w="0" w:type="dxa"/>
            <w:left w:w="108" w:type="dxa"/>
            <w:bottom w:w="0" w:type="dxa"/>
            <w:right w:w="108" w:type="dxa"/>
          </w:tblCellMar>
        </w:tblPrEx>
        <w:trPr>
          <w:trHeight w:val="31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年度资金总额</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17.51</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财政拨款</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17.51</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财政专户管理资金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情况说明</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分值（20）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存在问题和改进措施</w:t>
            </w:r>
          </w:p>
        </w:tc>
      </w:tr>
      <w:tr>
        <w:tblPrEx>
          <w:tblCellMar>
            <w:top w:w="0" w:type="dxa"/>
            <w:left w:w="108" w:type="dxa"/>
            <w:bottom w:w="0" w:type="dxa"/>
            <w:right w:w="108" w:type="dxa"/>
          </w:tblCellMar>
        </w:tblPrEx>
        <w:trPr>
          <w:trHeight w:val="70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安排科学性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按照部门预算编制和资金管理办法的要求，进</w:t>
            </w:r>
            <w:r>
              <w:br w:type="textWrapping"/>
            </w:r>
            <w:r>
              <w:rPr>
                <w:rFonts w:hint="eastAsia" w:ascii="宋体" w:hAnsi="宋体" w:eastAsia="宋体" w:cs="宋体"/>
                <w:color w:val="000000"/>
                <w:kern w:val="0"/>
                <w:sz w:val="24"/>
              </w:rPr>
              <w:t>行项目论证、评审、立项等必要程序。</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112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拨付合规性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严格按照国库集中支付制度有关规定支付资金，未出现违规将资金从国库转入财政专户或支付到预算单位实有资金账户等问题。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82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使用规范性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严格按照下达预算的科目和项目执行，未出现截留、挤占、挪用和擅自调整等问题。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79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预算绩效管理情况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将资金纳入绩效管理，设置绩效目标，开展绩效监控。</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435" w:hRule="atLeast"/>
        </w:trPr>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年度总体目标</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预期目标</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实际完成情况</w:t>
            </w:r>
          </w:p>
        </w:tc>
      </w:tr>
      <w:tr>
        <w:tblPrEx>
          <w:tblCellMar>
            <w:top w:w="0" w:type="dxa"/>
            <w:left w:w="108" w:type="dxa"/>
            <w:bottom w:w="0" w:type="dxa"/>
            <w:right w:w="108" w:type="dxa"/>
          </w:tblCellMar>
        </w:tblPrEx>
        <w:trPr>
          <w:trHeight w:val="1493" w:hRule="atLeast"/>
        </w:trPr>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textAlignment w:val="top"/>
              <w:rPr>
                <w:rFonts w:ascii="宋体" w:hAnsi="宋体" w:eastAsia="宋体" w:cs="宋体"/>
                <w:color w:val="000000"/>
                <w:sz w:val="24"/>
              </w:rPr>
            </w:pPr>
            <w:r>
              <w:rPr>
                <w:rFonts w:hint="eastAsia" w:ascii="宋体" w:hAnsi="宋体" w:eastAsia="宋体" w:cs="宋体"/>
                <w:color w:val="000000"/>
                <w:kern w:val="0"/>
                <w:sz w:val="24"/>
              </w:rPr>
              <w:t>1.为广大市民和游人提供更多的休闲场所；</w:t>
            </w:r>
            <w:r>
              <w:br w:type="textWrapping"/>
            </w:r>
            <w:r>
              <w:rPr>
                <w:rFonts w:hint="eastAsia" w:ascii="宋体" w:hAnsi="宋体" w:eastAsia="宋体" w:cs="宋体"/>
                <w:color w:val="000000"/>
                <w:kern w:val="0"/>
                <w:sz w:val="24"/>
              </w:rPr>
              <w:t>2.完成工程项目验收、工程款支付。</w:t>
            </w:r>
          </w:p>
        </w:tc>
        <w:tc>
          <w:tcPr>
            <w:tcW w:w="0" w:type="auto"/>
            <w:gridSpan w:val="6"/>
            <w:tcBorders>
              <w:top w:val="single" w:color="auto" w:sz="4" w:space="0"/>
              <w:left w:val="nil"/>
              <w:bottom w:val="single" w:color="auto" w:sz="4" w:space="0"/>
              <w:right w:val="single" w:color="000000" w:sz="4" w:space="0"/>
            </w:tcBorders>
            <w:shd w:val="clear" w:color="auto" w:fill="auto"/>
            <w:noWrap w:val="0"/>
            <w:vAlign w:val="center"/>
          </w:tcPr>
          <w:p>
            <w:pPr>
              <w:pStyle w:val="16"/>
              <w:widowControl/>
              <w:textAlignment w:val="top"/>
              <w:rPr>
                <w:rFonts w:ascii="宋体" w:hAnsi="宋体" w:eastAsia="宋体" w:cs="宋体"/>
                <w:color w:val="000000"/>
                <w:sz w:val="24"/>
              </w:rPr>
            </w:pPr>
            <w:r>
              <w:rPr>
                <w:rFonts w:hint="eastAsia" w:ascii="宋体" w:hAnsi="宋体" w:eastAsia="宋体" w:cs="宋体"/>
                <w:color w:val="000000"/>
                <w:kern w:val="0"/>
                <w:sz w:val="24"/>
              </w:rPr>
              <w:t>项目已实施完成，为广大市民和游人提供了更多的休闲场所；完成工程项目验收。由于中标单位财务原因，无法提供支付手续，工程款未支付。</w:t>
            </w:r>
          </w:p>
        </w:tc>
      </w:tr>
      <w:tr>
        <w:tblPrEx>
          <w:tblCellMar>
            <w:top w:w="0" w:type="dxa"/>
            <w:left w:w="108" w:type="dxa"/>
            <w:bottom w:w="0" w:type="dxa"/>
            <w:right w:w="108" w:type="dxa"/>
          </w:tblCellMar>
        </w:tblPrEx>
        <w:trPr>
          <w:trHeight w:val="312" w:hRule="atLeast"/>
        </w:trPr>
        <w:tc>
          <w:tcPr>
            <w:tcW w:w="0" w:type="auto"/>
            <w:gridSpan w:val="10"/>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r>
      <w:tr>
        <w:tblPrEx>
          <w:tblCellMar>
            <w:top w:w="0" w:type="dxa"/>
            <w:left w:w="108" w:type="dxa"/>
            <w:bottom w:w="0" w:type="dxa"/>
            <w:right w:w="108" w:type="dxa"/>
          </w:tblCellMar>
        </w:tblPrEx>
        <w:trPr>
          <w:trHeight w:val="312" w:hRule="atLeast"/>
        </w:trPr>
        <w:tc>
          <w:tcPr>
            <w:gridSpan w:val="10"/>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年度指标值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实际值完成值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偏差度</w:t>
            </w:r>
          </w:p>
        </w:tc>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偏差原因分析及改进措施</w:t>
            </w:r>
          </w:p>
        </w:tc>
      </w:tr>
      <w:tr>
        <w:tblPrEx>
          <w:tblCellMar>
            <w:top w:w="0" w:type="dxa"/>
            <w:left w:w="108" w:type="dxa"/>
            <w:bottom w:w="0" w:type="dxa"/>
            <w:right w:w="108" w:type="dxa"/>
          </w:tblCellMar>
        </w:tblPrEx>
        <w:trPr>
          <w:trHeight w:val="312"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项目工程款</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=38.357987万元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0万元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未完成支付，下一步积极与中标单位对接支付工作　</w:t>
            </w:r>
          </w:p>
        </w:tc>
      </w:tr>
      <w:tr>
        <w:tblPrEx>
          <w:shd w:val="clear" w:color="auto" w:fill="auto"/>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产出指标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整理绿化用地</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=656.82平方米</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656.82平方米</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铺种草皮</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=144.7平方米</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144.7平方米</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工程验收合格率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工程安全事故发生次数</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=0次</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0次</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工程完成及时率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工程款支付完成时间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=2023年底前</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2023年底前</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提升居民生活环境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养护期内清绿地垃圾时存在不及时情况。持续加强督导。</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提高城市品位</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增加绿量</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美化环境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有效改善</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4.5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养护期内绿地垃圾时存在不及时情况。持续加强督导。</w:t>
            </w:r>
          </w:p>
        </w:tc>
      </w:tr>
      <w:tr>
        <w:tblPrEx>
          <w:shd w:val="clear" w:color="auto" w:fill="auto"/>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满意度指标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支付企业满意度</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市民满意度</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总分</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78.50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bl>
    <w:p>
      <w:pPr>
        <w:pStyle w:val="10"/>
        <w:jc w:val="center"/>
        <w:rPr>
          <w:rFonts w:hint="eastAsia" w:ascii="宋体" w:hAnsi="Times New Roman" w:eastAsia="宋体" w:cs="宋体"/>
          <w:b/>
          <w:color w:val="000000"/>
          <w:kern w:val="0"/>
          <w:sz w:val="40"/>
          <w:szCs w:val="40"/>
          <w:lang w:val="en-AU" w:eastAsia="zh-CN"/>
        </w:rPr>
      </w:pPr>
    </w:p>
    <w:p>
      <w:pPr>
        <w:pStyle w:val="10"/>
        <w:jc w:val="center"/>
      </w:pPr>
      <w:r>
        <w:rPr>
          <w:rFonts w:hint="eastAsia" w:ascii="宋体" w:hAnsi="Times New Roman" w:eastAsia="宋体" w:cs="宋体"/>
          <w:b/>
          <w:color w:val="000000"/>
          <w:kern w:val="0"/>
          <w:sz w:val="40"/>
          <w:szCs w:val="40"/>
          <w:lang w:val="en-AU" w:eastAsia="zh-CN"/>
        </w:rPr>
        <w:t>项目单位自评表</w:t>
      </w:r>
    </w:p>
    <w:tbl>
      <w:tblPr>
        <w:tblStyle w:val="20"/>
        <w:tblW w:w="5000" w:type="pct"/>
        <w:tblInd w:w="0" w:type="dxa"/>
        <w:shd w:val="clear" w:color="auto" w:fill="auto"/>
        <w:tblLayout w:type="autofit"/>
        <w:tblCellMar>
          <w:top w:w="0" w:type="dxa"/>
          <w:left w:w="108" w:type="dxa"/>
          <w:bottom w:w="0" w:type="dxa"/>
          <w:right w:w="108" w:type="dxa"/>
        </w:tblCellMar>
      </w:tblPr>
      <w:tblGrid>
        <w:gridCol w:w="705"/>
        <w:gridCol w:w="750"/>
        <w:gridCol w:w="2136"/>
        <w:gridCol w:w="1416"/>
        <w:gridCol w:w="1993"/>
        <w:gridCol w:w="1898"/>
        <w:gridCol w:w="1416"/>
        <w:gridCol w:w="1016"/>
        <w:gridCol w:w="936"/>
        <w:gridCol w:w="1908"/>
      </w:tblGrid>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noWrap w:val="0"/>
            <w:vAlign w:val="top"/>
          </w:tcPr>
          <w:p>
            <w:pPr>
              <w:pStyle w:val="16"/>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2022年望田路（毓秀路—文博路）提升项目</w:t>
            </w:r>
          </w:p>
        </w:tc>
      </w:tr>
      <w:tr>
        <w:tblPrEx>
          <w:shd w:val="clear" w:color="auto" w:fill="auto"/>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主管部门</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许昌市城市管理局</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实施单位</w:t>
            </w:r>
          </w:p>
        </w:tc>
        <w:tc>
          <w:tcPr>
            <w:tcW w:w="0" w:type="auto"/>
            <w:gridSpan w:val="4"/>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许昌市园林绿化中心</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                (万元)</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年初预算数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全年执行数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执行率</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r>
      <w:tr>
        <w:tblPrEx>
          <w:tblCellMar>
            <w:top w:w="0" w:type="dxa"/>
            <w:left w:w="108" w:type="dxa"/>
            <w:bottom w:w="0" w:type="dxa"/>
            <w:right w:w="108" w:type="dxa"/>
          </w:tblCellMar>
        </w:tblPrEx>
        <w:trPr>
          <w:trHeight w:val="31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年度资金总额</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29.9</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29.9</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财政拨款</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29.9</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29.9</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财政专户管理资金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情况说明</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分值（20）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存在问题和改进措施</w:t>
            </w:r>
          </w:p>
        </w:tc>
      </w:tr>
      <w:tr>
        <w:tblPrEx>
          <w:tblCellMar>
            <w:top w:w="0" w:type="dxa"/>
            <w:left w:w="108" w:type="dxa"/>
            <w:bottom w:w="0" w:type="dxa"/>
            <w:right w:w="108" w:type="dxa"/>
          </w:tblCellMar>
        </w:tblPrEx>
        <w:trPr>
          <w:trHeight w:val="82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安排科学性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按照部门预算编制和资金管理办法的要求，进行项目论证、评审、立项等必要程序。</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102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拨付合规性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严格按照国库集中支付制度有关规定支付资金，未出现违规将资金从国库转入财政专户或支付到预算单位实有资金账户等问题。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82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使用规范性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严格按照下达预算的科目和项目执行，未出现截留、挤占、挪用和擅自调整等问题。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85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预算绩效管理情况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将资金纳入绩效管理，设置绩效目标，开展绩效监控。</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435" w:hRule="atLeast"/>
        </w:trPr>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年度总体目标</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预期目标</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实际完成情况</w:t>
            </w:r>
          </w:p>
        </w:tc>
      </w:tr>
      <w:tr>
        <w:tblPrEx>
          <w:tblCellMar>
            <w:top w:w="0" w:type="dxa"/>
            <w:left w:w="108" w:type="dxa"/>
            <w:bottom w:w="0" w:type="dxa"/>
            <w:right w:w="108" w:type="dxa"/>
          </w:tblCellMar>
        </w:tblPrEx>
        <w:trPr>
          <w:trHeight w:val="1493" w:hRule="atLeast"/>
        </w:trPr>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textAlignment w:val="top"/>
              <w:rPr>
                <w:rFonts w:ascii="宋体" w:hAnsi="宋体" w:eastAsia="宋体" w:cs="宋体"/>
                <w:color w:val="000000"/>
                <w:sz w:val="24"/>
              </w:rPr>
            </w:pPr>
            <w:r>
              <w:rPr>
                <w:rFonts w:hint="eastAsia" w:ascii="宋体" w:hAnsi="宋体" w:eastAsia="宋体" w:cs="宋体"/>
                <w:color w:val="000000"/>
                <w:kern w:val="0"/>
                <w:sz w:val="24"/>
              </w:rPr>
              <w:t>1.提高市民生活质量和满足感，提升城市环境水平；</w:t>
            </w:r>
            <w:r>
              <w:br w:type="textWrapping"/>
            </w:r>
            <w:r>
              <w:rPr>
                <w:rFonts w:hint="eastAsia" w:ascii="宋体" w:hAnsi="宋体" w:eastAsia="宋体" w:cs="宋体"/>
                <w:color w:val="000000"/>
                <w:kern w:val="0"/>
                <w:sz w:val="24"/>
              </w:rPr>
              <w:t>2.完成项目验收、工程款支付。</w:t>
            </w:r>
          </w:p>
        </w:tc>
        <w:tc>
          <w:tcPr>
            <w:tcW w:w="0" w:type="auto"/>
            <w:gridSpan w:val="6"/>
            <w:tcBorders>
              <w:top w:val="single" w:color="auto" w:sz="4" w:space="0"/>
              <w:left w:val="nil"/>
              <w:bottom w:val="single" w:color="auto" w:sz="4" w:space="0"/>
              <w:right w:val="single" w:color="auto" w:sz="4" w:space="0"/>
            </w:tcBorders>
            <w:shd w:val="clear" w:color="auto" w:fill="auto"/>
            <w:noWrap/>
            <w:vAlign w:val="center"/>
          </w:tcPr>
          <w:p>
            <w:pPr>
              <w:pStyle w:val="16"/>
              <w:widowControl/>
              <w:textAlignment w:val="top"/>
              <w:rPr>
                <w:rFonts w:ascii="宋体" w:hAnsi="宋体" w:eastAsia="宋体" w:cs="宋体"/>
                <w:color w:val="000000"/>
                <w:sz w:val="24"/>
              </w:rPr>
            </w:pPr>
            <w:r>
              <w:rPr>
                <w:rFonts w:hint="eastAsia" w:ascii="宋体" w:hAnsi="宋体" w:eastAsia="宋体" w:cs="宋体"/>
                <w:color w:val="000000"/>
                <w:kern w:val="0"/>
                <w:sz w:val="24"/>
              </w:rPr>
              <w:t>提高市民的生活质量和满足感，提升城市环境水平；</w:t>
            </w:r>
            <w:r>
              <w:br w:type="textWrapping"/>
            </w:r>
            <w:r>
              <w:rPr>
                <w:rFonts w:hint="eastAsia" w:ascii="宋体" w:hAnsi="宋体" w:eastAsia="宋体" w:cs="宋体"/>
                <w:color w:val="000000"/>
                <w:kern w:val="0"/>
                <w:sz w:val="24"/>
              </w:rPr>
              <w:t>完成望田路（毓秀路—文博路）提升项目的验收、工程款支付。</w:t>
            </w:r>
          </w:p>
        </w:tc>
      </w:tr>
      <w:tr>
        <w:tblPrEx>
          <w:tblCellMar>
            <w:top w:w="0" w:type="dxa"/>
            <w:left w:w="108" w:type="dxa"/>
            <w:bottom w:w="0" w:type="dxa"/>
            <w:right w:w="108" w:type="dxa"/>
          </w:tblCellMar>
        </w:tblPrEx>
        <w:trPr>
          <w:trHeight w:val="312" w:hRule="atLeast"/>
        </w:trPr>
        <w:tc>
          <w:tcPr>
            <w:tcW w:w="0" w:type="auto"/>
            <w:gridSpan w:val="10"/>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r>
      <w:tr>
        <w:tblPrEx>
          <w:tblCellMar>
            <w:top w:w="0" w:type="dxa"/>
            <w:left w:w="108" w:type="dxa"/>
            <w:bottom w:w="0" w:type="dxa"/>
            <w:right w:w="108" w:type="dxa"/>
          </w:tblCellMar>
        </w:tblPrEx>
        <w:trPr>
          <w:trHeight w:val="312" w:hRule="atLeast"/>
        </w:trPr>
        <w:tc>
          <w:tcPr>
            <w:gridSpan w:val="10"/>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年度指标值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实际值完成值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偏差度</w:t>
            </w:r>
          </w:p>
        </w:tc>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偏差原因分析及改进措施</w:t>
            </w:r>
          </w:p>
        </w:tc>
      </w:tr>
      <w:tr>
        <w:tblPrEx>
          <w:tblCellMar>
            <w:top w:w="0" w:type="dxa"/>
            <w:left w:w="108" w:type="dxa"/>
            <w:bottom w:w="0" w:type="dxa"/>
            <w:right w:w="108" w:type="dxa"/>
          </w:tblCellMar>
        </w:tblPrEx>
        <w:trPr>
          <w:trHeight w:val="312"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项目工程款</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=65.136844万元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29.90万元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产出指标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整理绿化用地</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=1005.4平方米</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1005.4平方米</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起挖柳树</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=92株</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92株</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工程安全事故发生次数</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=0次</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0次</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工程验收合格率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工程款支付完成时间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=2023年底前</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2023年底前</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工程完成及时率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05"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提高城市品位</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1035"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提升居民生活环境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4.5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养护期内清绿地垃圾时存在不及时情况。持续加强督导。</w:t>
            </w:r>
          </w:p>
        </w:tc>
      </w:tr>
      <w:tr>
        <w:tblPrEx>
          <w:tblCellMar>
            <w:top w:w="0" w:type="dxa"/>
            <w:left w:w="108" w:type="dxa"/>
            <w:bottom w:w="0" w:type="dxa"/>
            <w:right w:w="108" w:type="dxa"/>
          </w:tblCellMar>
        </w:tblPrEx>
        <w:trPr>
          <w:trHeight w:val="1005"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美化环境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有效改善</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养护期内绿地垃圾时存在不及时情况。持续加强督导。</w:t>
            </w:r>
          </w:p>
        </w:tc>
      </w:tr>
      <w:tr>
        <w:tblPrEx>
          <w:shd w:val="clear" w:color="auto" w:fill="auto"/>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增加绿量</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满意度指标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市民满意度</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支付企业满意度</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总分</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98.50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bl>
    <w:p>
      <w:pPr>
        <w:pStyle w:val="10"/>
      </w:pPr>
    </w:p>
    <w:p>
      <w:pPr>
        <w:pStyle w:val="10"/>
        <w:jc w:val="center"/>
      </w:pPr>
      <w:r>
        <w:rPr>
          <w:rFonts w:hint="eastAsia" w:ascii="宋体" w:hAnsi="Times New Roman" w:eastAsia="宋体" w:cs="宋体"/>
          <w:b/>
          <w:color w:val="000000"/>
          <w:kern w:val="0"/>
          <w:sz w:val="40"/>
          <w:szCs w:val="40"/>
          <w:lang w:val="en-AU" w:eastAsia="zh-CN"/>
        </w:rPr>
        <w:t>项目单位自评表</w:t>
      </w:r>
    </w:p>
    <w:tbl>
      <w:tblPr>
        <w:tblStyle w:val="20"/>
        <w:tblW w:w="5000" w:type="pct"/>
        <w:tblInd w:w="0" w:type="dxa"/>
        <w:shd w:val="clear" w:color="auto" w:fill="auto"/>
        <w:tblLayout w:type="autofit"/>
        <w:tblCellMar>
          <w:top w:w="0" w:type="dxa"/>
          <w:left w:w="108" w:type="dxa"/>
          <w:bottom w:w="0" w:type="dxa"/>
          <w:right w:w="108" w:type="dxa"/>
        </w:tblCellMar>
      </w:tblPr>
      <w:tblGrid>
        <w:gridCol w:w="524"/>
        <w:gridCol w:w="502"/>
        <w:gridCol w:w="1751"/>
        <w:gridCol w:w="1176"/>
        <w:gridCol w:w="2658"/>
        <w:gridCol w:w="2371"/>
        <w:gridCol w:w="1176"/>
        <w:gridCol w:w="856"/>
        <w:gridCol w:w="792"/>
        <w:gridCol w:w="2368"/>
      </w:tblGrid>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noWrap w:val="0"/>
            <w:vAlign w:val="top"/>
          </w:tcPr>
          <w:p>
            <w:pPr>
              <w:pStyle w:val="16"/>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2022年新兴路（京广铁路—清潩河）绿化带提升项目</w:t>
            </w:r>
          </w:p>
        </w:tc>
      </w:tr>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主管部门</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许昌市城市管理局</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实施单位</w:t>
            </w:r>
          </w:p>
        </w:tc>
        <w:tc>
          <w:tcPr>
            <w:tcW w:w="0" w:type="auto"/>
            <w:gridSpan w:val="4"/>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许昌市园林绿化中心</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                (万元)</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年初预算数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全年执行数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执行率</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r>
      <w:tr>
        <w:tblPrEx>
          <w:tblCellMar>
            <w:top w:w="0" w:type="dxa"/>
            <w:left w:w="108" w:type="dxa"/>
            <w:bottom w:w="0" w:type="dxa"/>
            <w:right w:w="108" w:type="dxa"/>
          </w:tblCellMar>
        </w:tblPrEx>
        <w:trPr>
          <w:trHeight w:val="45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年度资金总额</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52.04</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52.04</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w:t>
            </w:r>
          </w:p>
        </w:tc>
      </w:tr>
      <w:tr>
        <w:tblPrEx>
          <w:tblCellMar>
            <w:top w:w="0" w:type="dxa"/>
            <w:left w:w="108" w:type="dxa"/>
            <w:bottom w:w="0" w:type="dxa"/>
            <w:right w:w="108" w:type="dxa"/>
          </w:tblCellMar>
        </w:tblPrEx>
        <w:trPr>
          <w:trHeight w:val="40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财政拨款</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52.04</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52.04</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财政专户管理资金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情况说明</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分值（20）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存在问题和改进措施</w:t>
            </w:r>
          </w:p>
        </w:tc>
      </w:tr>
      <w:tr>
        <w:tblPrEx>
          <w:tblCellMar>
            <w:top w:w="0" w:type="dxa"/>
            <w:left w:w="108" w:type="dxa"/>
            <w:bottom w:w="0" w:type="dxa"/>
            <w:right w:w="108" w:type="dxa"/>
          </w:tblCellMar>
        </w:tblPrEx>
        <w:trPr>
          <w:trHeight w:val="76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安排科学性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按照部门预算编制和资金管理办法的要求，</w:t>
            </w:r>
            <w:r>
              <w:br w:type="textWrapping"/>
            </w:r>
            <w:r>
              <w:rPr>
                <w:rFonts w:hint="eastAsia" w:ascii="宋体" w:hAnsi="宋体" w:eastAsia="宋体" w:cs="宋体"/>
                <w:color w:val="000000"/>
                <w:kern w:val="0"/>
                <w:sz w:val="24"/>
              </w:rPr>
              <w:t>进行项目论证、评审、立项等必要程序。</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97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拨付合规性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严格按照国库集中支付制度有关规定支付资金，未出现违规将资金从国库转入财政专户或支付到预算单位实有资金账户等问题。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78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使用规范性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严格按照下达预算的科目和项目执行，未出现截留、挤占、挪用和擅自调整等问题。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75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预算绩效管理情况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将资金纳入绩效管理，设置绩效目标，开展绩效监控。</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435" w:hRule="atLeast"/>
        </w:trPr>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年度总体目标</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预期目标</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实际完成情况</w:t>
            </w:r>
          </w:p>
        </w:tc>
      </w:tr>
      <w:tr>
        <w:tblPrEx>
          <w:tblCellMar>
            <w:top w:w="0" w:type="dxa"/>
            <w:left w:w="108" w:type="dxa"/>
            <w:bottom w:w="0" w:type="dxa"/>
            <w:right w:w="108" w:type="dxa"/>
          </w:tblCellMar>
        </w:tblPrEx>
        <w:trPr>
          <w:trHeight w:val="1493" w:hRule="atLeast"/>
        </w:trPr>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textAlignment w:val="top"/>
              <w:rPr>
                <w:rFonts w:ascii="宋体" w:hAnsi="宋体" w:eastAsia="宋体" w:cs="宋体"/>
                <w:color w:val="000000"/>
                <w:sz w:val="24"/>
              </w:rPr>
            </w:pPr>
            <w:r>
              <w:rPr>
                <w:rFonts w:hint="eastAsia" w:ascii="宋体" w:hAnsi="宋体" w:eastAsia="宋体" w:cs="宋体"/>
                <w:color w:val="000000"/>
                <w:kern w:val="0"/>
                <w:sz w:val="24"/>
              </w:rPr>
              <w:t>1.增加绿量，美化环境；</w:t>
            </w:r>
            <w:r>
              <w:br w:type="textWrapping"/>
            </w:r>
            <w:r>
              <w:rPr>
                <w:rFonts w:hint="eastAsia" w:ascii="宋体" w:hAnsi="宋体" w:eastAsia="宋体" w:cs="宋体"/>
                <w:color w:val="000000"/>
                <w:kern w:val="0"/>
                <w:sz w:val="24"/>
              </w:rPr>
              <w:t>2.完成工程项目验收、工程款支付。</w:t>
            </w:r>
          </w:p>
        </w:tc>
        <w:tc>
          <w:tcPr>
            <w:tcW w:w="0" w:type="auto"/>
            <w:gridSpan w:val="6"/>
            <w:tcBorders>
              <w:top w:val="single" w:color="auto" w:sz="4" w:space="0"/>
              <w:left w:val="nil"/>
              <w:bottom w:val="single" w:color="auto" w:sz="4" w:space="0"/>
              <w:right w:val="single" w:color="auto" w:sz="4" w:space="0"/>
            </w:tcBorders>
            <w:shd w:val="clear" w:color="auto" w:fill="auto"/>
            <w:noWrap/>
            <w:vAlign w:val="center"/>
          </w:tcPr>
          <w:p>
            <w:pPr>
              <w:pStyle w:val="16"/>
              <w:widowControl/>
              <w:textAlignment w:val="top"/>
              <w:rPr>
                <w:rFonts w:ascii="宋体" w:hAnsi="宋体" w:eastAsia="宋体" w:cs="宋体"/>
                <w:color w:val="000000"/>
                <w:sz w:val="24"/>
              </w:rPr>
            </w:pPr>
            <w:r>
              <w:rPr>
                <w:rFonts w:hint="eastAsia" w:ascii="宋体" w:hAnsi="宋体" w:eastAsia="宋体" w:cs="宋体"/>
                <w:color w:val="000000"/>
                <w:kern w:val="0"/>
                <w:sz w:val="24"/>
              </w:rPr>
              <w:t>提高市民的生活质量和满足感，提升城市环境水平；完成望田路（毓秀路—文博路）提升项目的验收、工程款支付。</w:t>
            </w:r>
          </w:p>
        </w:tc>
      </w:tr>
      <w:tr>
        <w:tblPrEx>
          <w:tblCellMar>
            <w:top w:w="0" w:type="dxa"/>
            <w:left w:w="108" w:type="dxa"/>
            <w:bottom w:w="0" w:type="dxa"/>
            <w:right w:w="108" w:type="dxa"/>
          </w:tblCellMar>
        </w:tblPrEx>
        <w:trPr>
          <w:trHeight w:val="312" w:hRule="atLeast"/>
        </w:trPr>
        <w:tc>
          <w:tcPr>
            <w:tcW w:w="0" w:type="auto"/>
            <w:gridSpan w:val="10"/>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r>
      <w:tr>
        <w:tblPrEx>
          <w:tblCellMar>
            <w:top w:w="0" w:type="dxa"/>
            <w:left w:w="108" w:type="dxa"/>
            <w:bottom w:w="0" w:type="dxa"/>
            <w:right w:w="108" w:type="dxa"/>
          </w:tblCellMar>
        </w:tblPrEx>
        <w:trPr>
          <w:trHeight w:val="312" w:hRule="atLeast"/>
        </w:trPr>
        <w:tc>
          <w:tcPr>
            <w:gridSpan w:val="10"/>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年度指标值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实际值完成值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偏差度</w:t>
            </w:r>
          </w:p>
        </w:tc>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偏差原因分析及改进措施</w:t>
            </w:r>
          </w:p>
        </w:tc>
      </w:tr>
      <w:tr>
        <w:tblPrEx>
          <w:tblCellMar>
            <w:top w:w="0" w:type="dxa"/>
            <w:left w:w="108" w:type="dxa"/>
            <w:bottom w:w="0" w:type="dxa"/>
            <w:right w:w="108" w:type="dxa"/>
          </w:tblCellMar>
        </w:tblPrEx>
        <w:trPr>
          <w:trHeight w:val="312"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项目工程款</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=113.513092万元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52.04万元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产出指标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栽植龙柏数量</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=284平方米</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284平方米</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栽植红叶石楠数量</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=2401平方米</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2401平方米</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栽植法桐数量</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=7棵</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7棵</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栽植无刺构骨数量</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=838平方米</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838平方米</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工程验收合格率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工程安全事故发生次数</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=0次</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0次</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工程款支付完成时间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=2023年底前</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2023年底前</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工程完成及时率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提升居民生态环境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养护期内绿地垃圾时存在不及时情况。持续加强督导。</w:t>
            </w:r>
          </w:p>
        </w:tc>
      </w:tr>
      <w:tr>
        <w:tblPrEx>
          <w:shd w:val="clear" w:color="auto" w:fill="auto"/>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提高城市品位</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美化环境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有效改善</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4.5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养护期内绿地垃圾时存在不及时情况。持续加强督导。</w:t>
            </w:r>
          </w:p>
        </w:tc>
      </w:tr>
      <w:tr>
        <w:tblPrEx>
          <w:shd w:val="clear" w:color="auto" w:fill="auto"/>
          <w:tblCellMar>
            <w:top w:w="0" w:type="dxa"/>
            <w:left w:w="108" w:type="dxa"/>
            <w:bottom w:w="0" w:type="dxa"/>
            <w:right w:w="108" w:type="dxa"/>
          </w:tblCellMar>
        </w:tblPrEx>
        <w:trPr>
          <w:trHeight w:val="575"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增加绿量</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0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满意度指标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支付企业满意度</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90"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市民满意度</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28"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总分</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98.50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bl>
    <w:p>
      <w:pPr>
        <w:pStyle w:val="10"/>
      </w:pPr>
    </w:p>
    <w:p>
      <w:pPr>
        <w:pStyle w:val="10"/>
        <w:jc w:val="center"/>
      </w:pPr>
      <w:r>
        <w:rPr>
          <w:rFonts w:hint="eastAsia" w:ascii="宋体" w:hAnsi="Times New Roman" w:eastAsia="宋体" w:cs="宋体"/>
          <w:b/>
          <w:color w:val="000000"/>
          <w:kern w:val="0"/>
          <w:sz w:val="40"/>
          <w:szCs w:val="40"/>
          <w:lang w:val="en-AU" w:eastAsia="zh-CN"/>
        </w:rPr>
        <w:t>项目单位自评表</w:t>
      </w:r>
    </w:p>
    <w:tbl>
      <w:tblPr>
        <w:tblStyle w:val="20"/>
        <w:tblW w:w="5000" w:type="pct"/>
        <w:tblInd w:w="0" w:type="dxa"/>
        <w:shd w:val="clear" w:color="auto" w:fill="auto"/>
        <w:tblLayout w:type="autofit"/>
        <w:tblCellMar>
          <w:top w:w="0" w:type="dxa"/>
          <w:left w:w="108" w:type="dxa"/>
          <w:bottom w:w="0" w:type="dxa"/>
          <w:right w:w="108" w:type="dxa"/>
        </w:tblCellMar>
      </w:tblPr>
      <w:tblGrid>
        <w:gridCol w:w="524"/>
        <w:gridCol w:w="502"/>
        <w:gridCol w:w="1751"/>
        <w:gridCol w:w="1176"/>
        <w:gridCol w:w="2644"/>
        <w:gridCol w:w="2359"/>
        <w:gridCol w:w="1176"/>
        <w:gridCol w:w="856"/>
        <w:gridCol w:w="792"/>
        <w:gridCol w:w="2394"/>
      </w:tblGrid>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noWrap w:val="0"/>
            <w:vAlign w:val="top"/>
          </w:tcPr>
          <w:p>
            <w:pPr>
              <w:pStyle w:val="16"/>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2022年中立交南北游园提升改造项目</w:t>
            </w:r>
          </w:p>
        </w:tc>
      </w:tr>
      <w:tr>
        <w:tblPrEx>
          <w:shd w:val="clear" w:color="auto" w:fill="auto"/>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主管部门</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许昌市城市管理局</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实施单位</w:t>
            </w:r>
          </w:p>
        </w:tc>
        <w:tc>
          <w:tcPr>
            <w:tcW w:w="0" w:type="auto"/>
            <w:gridSpan w:val="4"/>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许昌市园林绿化中心</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                (万元)</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年初预算数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全年执行数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执行率</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r>
      <w:tr>
        <w:tblPrEx>
          <w:tblCellMar>
            <w:top w:w="0" w:type="dxa"/>
            <w:left w:w="108" w:type="dxa"/>
            <w:bottom w:w="0" w:type="dxa"/>
            <w:right w:w="108" w:type="dxa"/>
          </w:tblCellMar>
        </w:tblPrEx>
        <w:trPr>
          <w:trHeight w:val="31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年度资金总额</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60.33</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60.33</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财政拨款</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60.33</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60.33</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财政专户管理资金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情况说明</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分值（20）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存在问题和改进措施</w:t>
            </w:r>
          </w:p>
        </w:tc>
      </w:tr>
      <w:tr>
        <w:tblPrEx>
          <w:tblCellMar>
            <w:top w:w="0" w:type="dxa"/>
            <w:left w:w="108" w:type="dxa"/>
            <w:bottom w:w="0" w:type="dxa"/>
            <w:right w:w="108" w:type="dxa"/>
          </w:tblCellMar>
        </w:tblPrEx>
        <w:trPr>
          <w:trHeight w:val="69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安排科学性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按照部门预算编制和资金管理办法的要求，</w:t>
            </w:r>
            <w:r>
              <w:br w:type="textWrapping"/>
            </w:r>
            <w:r>
              <w:rPr>
                <w:rFonts w:hint="eastAsia" w:ascii="宋体" w:hAnsi="宋体" w:eastAsia="宋体" w:cs="宋体"/>
                <w:color w:val="000000"/>
                <w:kern w:val="0"/>
                <w:sz w:val="24"/>
              </w:rPr>
              <w:t>进行项目论证、评审、立项等必要程序。</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100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拨付合规性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严格按照国库集中支付制度有关规定支付资金，未出现违规将资金从国库转入财政专户或支付到预算单位实有资金账户等问题。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76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使用规范性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严格按照下达预算的科目和项目执行，未出现截留、挤占、挪用和擅自调整等问题。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76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预算绩效管理情况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将资金纳入绩效管理，设置绩效目标，开展绩效监控。</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435" w:hRule="atLeast"/>
        </w:trPr>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年度总体目标</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预期目标</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实际完成情况</w:t>
            </w:r>
          </w:p>
        </w:tc>
      </w:tr>
      <w:tr>
        <w:tblPrEx>
          <w:tblCellMar>
            <w:top w:w="0" w:type="dxa"/>
            <w:left w:w="108" w:type="dxa"/>
            <w:bottom w:w="0" w:type="dxa"/>
            <w:right w:w="108" w:type="dxa"/>
          </w:tblCellMar>
        </w:tblPrEx>
        <w:trPr>
          <w:trHeight w:val="1215" w:hRule="atLeast"/>
        </w:trPr>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textAlignment w:val="top"/>
              <w:rPr>
                <w:rFonts w:ascii="宋体" w:hAnsi="宋体" w:eastAsia="宋体" w:cs="宋体"/>
                <w:color w:val="000000"/>
                <w:sz w:val="24"/>
              </w:rPr>
            </w:pPr>
            <w:r>
              <w:rPr>
                <w:rFonts w:hint="eastAsia" w:ascii="宋体" w:hAnsi="宋体" w:eastAsia="宋体" w:cs="宋体"/>
                <w:color w:val="000000"/>
                <w:kern w:val="0"/>
                <w:sz w:val="24"/>
              </w:rPr>
              <w:t>1.为广大市民提供安全、整洁、舒适的休闲娱乐场所；</w:t>
            </w:r>
            <w:r>
              <w:br w:type="textWrapping"/>
            </w:r>
            <w:r>
              <w:rPr>
                <w:rFonts w:hint="eastAsia" w:ascii="宋体" w:hAnsi="宋体" w:eastAsia="宋体" w:cs="宋体"/>
                <w:color w:val="000000"/>
                <w:kern w:val="0"/>
                <w:sz w:val="24"/>
              </w:rPr>
              <w:t>2.完成面工程项目验收、工程款支付。</w:t>
            </w:r>
          </w:p>
        </w:tc>
        <w:tc>
          <w:tcPr>
            <w:tcW w:w="0" w:type="auto"/>
            <w:gridSpan w:val="6"/>
            <w:tcBorders>
              <w:top w:val="single" w:color="auto" w:sz="4" w:space="0"/>
              <w:left w:val="nil"/>
              <w:bottom w:val="single" w:color="auto" w:sz="4" w:space="0"/>
              <w:right w:val="single" w:color="000000" w:sz="4" w:space="0"/>
            </w:tcBorders>
            <w:shd w:val="clear" w:color="auto" w:fill="auto"/>
            <w:noWrap/>
            <w:vAlign w:val="top"/>
          </w:tcPr>
          <w:p>
            <w:pPr>
              <w:pStyle w:val="16"/>
              <w:widowControl/>
              <w:jc w:val="left"/>
              <w:textAlignment w:val="top"/>
              <w:rPr>
                <w:rFonts w:ascii="宋体" w:hAnsi="宋体" w:eastAsia="宋体" w:cs="宋体"/>
                <w:color w:val="000000"/>
                <w:sz w:val="24"/>
              </w:rPr>
            </w:pPr>
            <w:r>
              <w:br w:type="textWrapping"/>
            </w:r>
            <w:r>
              <w:rPr>
                <w:rFonts w:hint="eastAsia" w:ascii="宋体" w:hAnsi="宋体" w:eastAsia="宋体" w:cs="宋体"/>
                <w:color w:val="000000"/>
                <w:kern w:val="0"/>
                <w:sz w:val="24"/>
              </w:rPr>
              <w:t>为广大市民提供安全、整洁、舒适的休闲娱乐场所；完成中立交南北游园提升改造项目的验收、工程款支付等工作。</w:t>
            </w:r>
          </w:p>
        </w:tc>
      </w:tr>
      <w:tr>
        <w:tblPrEx>
          <w:tblCellMar>
            <w:top w:w="0" w:type="dxa"/>
            <w:left w:w="108" w:type="dxa"/>
            <w:bottom w:w="0" w:type="dxa"/>
            <w:right w:w="108" w:type="dxa"/>
          </w:tblCellMar>
        </w:tblPrEx>
        <w:trPr>
          <w:trHeight w:val="312" w:hRule="atLeast"/>
        </w:trPr>
        <w:tc>
          <w:tcPr>
            <w:tcW w:w="0" w:type="auto"/>
            <w:gridSpan w:val="10"/>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r>
      <w:tr>
        <w:tblPrEx>
          <w:tblCellMar>
            <w:top w:w="0" w:type="dxa"/>
            <w:left w:w="108" w:type="dxa"/>
            <w:bottom w:w="0" w:type="dxa"/>
            <w:right w:w="108" w:type="dxa"/>
          </w:tblCellMar>
        </w:tblPrEx>
        <w:trPr>
          <w:trHeight w:val="312" w:hRule="atLeast"/>
        </w:trPr>
        <w:tc>
          <w:tcPr>
            <w:gridSpan w:val="10"/>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年度指标值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实际值完成值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偏差度</w:t>
            </w:r>
          </w:p>
        </w:tc>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偏差原因分析及改进措施</w:t>
            </w:r>
          </w:p>
        </w:tc>
      </w:tr>
      <w:tr>
        <w:tblPrEx>
          <w:tblCellMar>
            <w:top w:w="0" w:type="dxa"/>
            <w:left w:w="108" w:type="dxa"/>
            <w:bottom w:w="0" w:type="dxa"/>
            <w:right w:w="108" w:type="dxa"/>
          </w:tblCellMar>
        </w:tblPrEx>
        <w:trPr>
          <w:trHeight w:val="312"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项目工程款</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=131.382412万元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60.33万元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99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产出指标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铺沙盖转</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=306.26平方米</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306.26平方米</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990"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整理绿化用地</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=2955平方米</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2955平方米</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工程安全事故发生次数</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=0次</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0次</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工程验收合格率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工程完成及时率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工程款支付完成时间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=2023年底前</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2023年底前</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提升居民生活环境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养护期内清理绿地垃圾存在不及时情况。持续加强督导。</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提高城市品位</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美化环境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有效改善</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4.5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养护期内清理绿地垃圾存在不及时情况。持续加强督导。</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增加绿量</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满意度指标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市民满意度</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支付企业满意度</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总分</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98.50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bl>
    <w:p>
      <w:pPr>
        <w:pStyle w:val="10"/>
      </w:pPr>
    </w:p>
    <w:p>
      <w:pPr>
        <w:pStyle w:val="10"/>
        <w:jc w:val="center"/>
      </w:pPr>
      <w:r>
        <w:rPr>
          <w:rFonts w:hint="eastAsia" w:ascii="宋体" w:hAnsi="Times New Roman" w:eastAsia="宋体" w:cs="宋体"/>
          <w:b/>
          <w:color w:val="000000"/>
          <w:kern w:val="0"/>
          <w:sz w:val="40"/>
          <w:szCs w:val="40"/>
          <w:lang w:val="en-AU" w:eastAsia="zh-CN"/>
        </w:rPr>
        <w:t>项目单位自评表</w:t>
      </w:r>
    </w:p>
    <w:tbl>
      <w:tblPr>
        <w:tblStyle w:val="20"/>
        <w:tblW w:w="5000" w:type="pct"/>
        <w:tblInd w:w="0" w:type="dxa"/>
        <w:shd w:val="clear" w:color="auto" w:fill="auto"/>
        <w:tblLayout w:type="autofit"/>
        <w:tblCellMar>
          <w:top w:w="0" w:type="dxa"/>
          <w:left w:w="108" w:type="dxa"/>
          <w:bottom w:w="0" w:type="dxa"/>
          <w:right w:w="108" w:type="dxa"/>
        </w:tblCellMar>
      </w:tblPr>
      <w:tblGrid>
        <w:gridCol w:w="696"/>
        <w:gridCol w:w="898"/>
        <w:gridCol w:w="2312"/>
        <w:gridCol w:w="1533"/>
        <w:gridCol w:w="1852"/>
        <w:gridCol w:w="1948"/>
        <w:gridCol w:w="1416"/>
        <w:gridCol w:w="1016"/>
        <w:gridCol w:w="936"/>
        <w:gridCol w:w="1567"/>
      </w:tblGrid>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noWrap w:val="0"/>
            <w:vAlign w:val="top"/>
          </w:tcPr>
          <w:p>
            <w:pPr>
              <w:pStyle w:val="16"/>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2023年文峰路（八一路—许由路）分车绿化带提升改造工程方案规划编制费用</w:t>
            </w:r>
          </w:p>
        </w:tc>
      </w:tr>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主管部门</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许昌市城市管理局</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实施单位</w:t>
            </w:r>
          </w:p>
        </w:tc>
        <w:tc>
          <w:tcPr>
            <w:tcW w:w="0" w:type="auto"/>
            <w:gridSpan w:val="4"/>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许昌市园林绿化中心</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                (万元)</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年初预算数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全年执行数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执行率</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r>
      <w:tr>
        <w:tblPrEx>
          <w:tblCellMar>
            <w:top w:w="0" w:type="dxa"/>
            <w:left w:w="108" w:type="dxa"/>
            <w:bottom w:w="0" w:type="dxa"/>
            <w:right w:w="108" w:type="dxa"/>
          </w:tblCellMar>
        </w:tblPrEx>
        <w:trPr>
          <w:trHeight w:val="31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年度资金总额</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财政拨款</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财政专户管理资金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300"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情况说明</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分值（20）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存在问题和改进措施</w:t>
            </w:r>
          </w:p>
        </w:tc>
      </w:tr>
      <w:tr>
        <w:tblPrEx>
          <w:tblCellMar>
            <w:top w:w="0" w:type="dxa"/>
            <w:left w:w="108" w:type="dxa"/>
            <w:bottom w:w="0" w:type="dxa"/>
            <w:right w:w="108" w:type="dxa"/>
          </w:tblCellMar>
        </w:tblPrEx>
        <w:trPr>
          <w:trHeight w:val="70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安排科学性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按照部门预算编制和资金管理办法的要求，进</w:t>
            </w:r>
            <w:r>
              <w:br w:type="textWrapping"/>
            </w:r>
            <w:r>
              <w:rPr>
                <w:rFonts w:hint="eastAsia" w:ascii="宋体" w:hAnsi="宋体" w:eastAsia="宋体" w:cs="宋体"/>
                <w:color w:val="000000"/>
                <w:kern w:val="0"/>
                <w:sz w:val="24"/>
              </w:rPr>
              <w:t>行项目论证、评审、立项等必要程序。</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96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拨付合规性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严格按照国库集中支付制度有关规定支付资金，未出现违规将资金从国库转入财政专户或支付到预算单位实有资金账户等问题。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66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使用规范性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严格按照下达预算的科目和项目执行，未出现截留、挤占、挪用和擅自调整等问题。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72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预算绩效管理情况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将资金纳入绩效管理，设置绩效目标，开展绩效监控。</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435" w:hRule="atLeast"/>
        </w:trPr>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年度总体目标</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预期目标</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实际完成情况</w:t>
            </w:r>
          </w:p>
        </w:tc>
      </w:tr>
      <w:tr>
        <w:tblPrEx>
          <w:tblCellMar>
            <w:top w:w="0" w:type="dxa"/>
            <w:left w:w="108" w:type="dxa"/>
            <w:bottom w:w="0" w:type="dxa"/>
            <w:right w:w="108" w:type="dxa"/>
          </w:tblCellMar>
        </w:tblPrEx>
        <w:trPr>
          <w:trHeight w:val="1493" w:hRule="atLeast"/>
        </w:trPr>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textAlignment w:val="top"/>
              <w:rPr>
                <w:rFonts w:ascii="宋体" w:hAnsi="宋体" w:eastAsia="宋体" w:cs="宋体"/>
                <w:color w:val="000000"/>
                <w:sz w:val="24"/>
              </w:rPr>
            </w:pPr>
            <w:r>
              <w:rPr>
                <w:rFonts w:hint="eastAsia" w:ascii="宋体" w:hAnsi="宋体" w:eastAsia="宋体" w:cs="宋体"/>
                <w:color w:val="000000"/>
                <w:kern w:val="0"/>
                <w:sz w:val="24"/>
              </w:rPr>
              <w:t>1.完成文峰路（八一路—许由路）分车绿带提升改造工程规划方案费用支付；</w:t>
            </w:r>
            <w:r>
              <w:br w:type="textWrapping"/>
            </w:r>
            <w:r>
              <w:rPr>
                <w:rFonts w:hint="eastAsia" w:ascii="宋体" w:hAnsi="宋体" w:eastAsia="宋体" w:cs="宋体"/>
                <w:color w:val="000000"/>
                <w:kern w:val="0"/>
                <w:sz w:val="24"/>
              </w:rPr>
              <w:t>2.解决交通拥堵现象，确保车辆和行人的安全通行，在文峰路通车更加顺畅的同时提升周边环境。</w:t>
            </w:r>
          </w:p>
        </w:tc>
        <w:tc>
          <w:tcPr>
            <w:tcW w:w="0" w:type="auto"/>
            <w:gridSpan w:val="6"/>
            <w:tcBorders>
              <w:top w:val="single" w:color="auto" w:sz="4" w:space="0"/>
              <w:left w:val="nil"/>
              <w:bottom w:val="single" w:color="auto" w:sz="4" w:space="0"/>
              <w:right w:val="single" w:color="000000" w:sz="4" w:space="0"/>
            </w:tcBorders>
            <w:shd w:val="clear" w:color="auto" w:fill="auto"/>
            <w:noWrap w:val="0"/>
            <w:vAlign w:val="center"/>
          </w:tcPr>
          <w:p>
            <w:pPr>
              <w:pStyle w:val="16"/>
              <w:widowControl/>
              <w:textAlignment w:val="top"/>
              <w:rPr>
                <w:rFonts w:ascii="宋体" w:hAnsi="宋体" w:eastAsia="宋体" w:cs="宋体"/>
                <w:color w:val="000000"/>
                <w:sz w:val="24"/>
              </w:rPr>
            </w:pPr>
            <w:r>
              <w:rPr>
                <w:rFonts w:hint="eastAsia" w:ascii="宋体" w:hAnsi="宋体" w:eastAsia="宋体" w:cs="宋体"/>
                <w:color w:val="000000"/>
                <w:kern w:val="0"/>
                <w:sz w:val="24"/>
              </w:rPr>
              <w:t>完成对文峰路（八一路—许由路）分车绿化带提升改造工程方案规划方案预算费用支付；解决交通拥堵现象、确保车辆和行人的安全通行，在文峰路通车更加顺畅的同时提升周边环境。</w:t>
            </w:r>
          </w:p>
        </w:tc>
      </w:tr>
      <w:tr>
        <w:tblPrEx>
          <w:tblCellMar>
            <w:top w:w="0" w:type="dxa"/>
            <w:left w:w="108" w:type="dxa"/>
            <w:bottom w:w="0" w:type="dxa"/>
            <w:right w:w="108" w:type="dxa"/>
          </w:tblCellMar>
        </w:tblPrEx>
        <w:trPr>
          <w:trHeight w:val="312" w:hRule="atLeast"/>
        </w:trPr>
        <w:tc>
          <w:tcPr>
            <w:tcW w:w="0" w:type="auto"/>
            <w:gridSpan w:val="10"/>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r>
      <w:tr>
        <w:tblPrEx>
          <w:tblCellMar>
            <w:top w:w="0" w:type="dxa"/>
            <w:left w:w="108" w:type="dxa"/>
            <w:bottom w:w="0" w:type="dxa"/>
            <w:right w:w="108" w:type="dxa"/>
          </w:tblCellMar>
        </w:tblPrEx>
        <w:trPr>
          <w:trHeight w:val="312" w:hRule="atLeast"/>
        </w:trPr>
        <w:tc>
          <w:tcPr>
            <w:gridSpan w:val="10"/>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年度指标值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实际值完成值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偏差度</w:t>
            </w:r>
          </w:p>
        </w:tc>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偏差原因分析及改进措施</w:t>
            </w:r>
          </w:p>
        </w:tc>
      </w:tr>
      <w:tr>
        <w:tblPrEx>
          <w:tblCellMar>
            <w:top w:w="0" w:type="dxa"/>
            <w:left w:w="108" w:type="dxa"/>
            <w:bottom w:w="0" w:type="dxa"/>
            <w:right w:w="108" w:type="dxa"/>
          </w:tblCellMar>
        </w:tblPrEx>
        <w:trPr>
          <w:trHeight w:val="312"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文峰路（八一路-许由路）分车绿带提升改造工程规划方案费用</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=16万元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16万元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31"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产出指标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分车绿带提升改造道路数量</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=1条</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1条</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31"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完成规划成果数量</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=1项</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1项</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37"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规划成果合格率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68"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规划费用支付完成时间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=7月底前</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7月底前</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规划方案完成及时率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消除原行道树安全隐患</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排除</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提升城市品位</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提升绿化景观</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有效提升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满意度指标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支付企业满意度</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市民满意度</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总分</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bl>
    <w:p>
      <w:pPr>
        <w:pStyle w:val="10"/>
      </w:pPr>
    </w:p>
    <w:p>
      <w:pPr>
        <w:pStyle w:val="10"/>
        <w:jc w:val="center"/>
      </w:pPr>
      <w:r>
        <w:rPr>
          <w:rFonts w:hint="eastAsia" w:ascii="宋体" w:hAnsi="Times New Roman" w:eastAsia="宋体" w:cs="宋体"/>
          <w:b/>
          <w:color w:val="000000"/>
          <w:kern w:val="0"/>
          <w:sz w:val="40"/>
          <w:szCs w:val="40"/>
          <w:lang w:val="en-AU" w:eastAsia="zh-CN"/>
        </w:rPr>
        <w:t>项目单位自评表</w:t>
      </w:r>
    </w:p>
    <w:tbl>
      <w:tblPr>
        <w:tblStyle w:val="20"/>
        <w:tblW w:w="5000" w:type="pct"/>
        <w:tblInd w:w="0" w:type="dxa"/>
        <w:shd w:val="clear" w:color="auto" w:fill="auto"/>
        <w:tblLayout w:type="autofit"/>
        <w:tblCellMar>
          <w:top w:w="0" w:type="dxa"/>
          <w:left w:w="108" w:type="dxa"/>
          <w:bottom w:w="0" w:type="dxa"/>
          <w:right w:w="108" w:type="dxa"/>
        </w:tblCellMar>
      </w:tblPr>
      <w:tblGrid>
        <w:gridCol w:w="1036"/>
        <w:gridCol w:w="1137"/>
        <w:gridCol w:w="3726"/>
        <w:gridCol w:w="1284"/>
        <w:gridCol w:w="1284"/>
        <w:gridCol w:w="1106"/>
        <w:gridCol w:w="956"/>
        <w:gridCol w:w="905"/>
        <w:gridCol w:w="2740"/>
      </w:tblGrid>
      <w:tr>
        <w:tblPrEx>
          <w:tblCellMar>
            <w:top w:w="0" w:type="dxa"/>
            <w:left w:w="108" w:type="dxa"/>
            <w:bottom w:w="0" w:type="dxa"/>
            <w:right w:w="108" w:type="dxa"/>
          </w:tblCellMar>
        </w:tblPrEx>
        <w:trPr>
          <w:trHeight w:val="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2017年许昌市中心区道路游园广场绿化提升工程（二标）</w:t>
            </w:r>
          </w:p>
        </w:tc>
      </w:tr>
      <w:tr>
        <w:tblPrEx>
          <w:tblCellMar>
            <w:top w:w="0" w:type="dxa"/>
            <w:left w:w="108" w:type="dxa"/>
            <w:bottom w:w="0" w:type="dxa"/>
            <w:right w:w="108" w:type="dxa"/>
          </w:tblCellMar>
        </w:tblPrEx>
        <w:trPr>
          <w:trHeight w:val="379"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主管部门</w:t>
            </w:r>
          </w:p>
        </w:tc>
        <w:tc>
          <w:tcPr>
            <w:tcW w:w="0" w:type="auto"/>
            <w:gridSpan w:val="3"/>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许昌市城市管理局</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实施单位</w:t>
            </w:r>
          </w:p>
        </w:tc>
        <w:tc>
          <w:tcPr>
            <w:tcW w:w="0" w:type="auto"/>
            <w:gridSpan w:val="4"/>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许昌市园林绿化中心</w:t>
            </w:r>
          </w:p>
        </w:tc>
      </w:tr>
      <w:tr>
        <w:tblPrEx>
          <w:tblCellMar>
            <w:top w:w="0" w:type="dxa"/>
            <w:left w:w="108" w:type="dxa"/>
            <w:bottom w:w="0" w:type="dxa"/>
            <w:right w:w="108" w:type="dxa"/>
          </w:tblCellMar>
        </w:tblPrEx>
        <w:trPr>
          <w:trHeight w:val="63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项目资金</w:t>
            </w:r>
            <w:r>
              <w:br w:type="textWrapping"/>
            </w:r>
            <w:r>
              <w:rPr>
                <w:rFonts w:hint="eastAsia" w:ascii="宋体" w:hAnsi="宋体" w:eastAsia="宋体" w:cs="宋体"/>
                <w:kern w:val="0"/>
                <w:sz w:val="24"/>
              </w:rPr>
              <w:t>（万元）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年初预算数</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全年预算数</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全年执行数</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分值</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执行率</w:t>
            </w:r>
          </w:p>
        </w:tc>
        <w:tc>
          <w:tcPr>
            <w:tcW w:w="0" w:type="auto"/>
            <w:gridSpan w:val="2"/>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得分</w:t>
            </w:r>
          </w:p>
        </w:tc>
      </w:tr>
      <w:tr>
        <w:tblPrEx>
          <w:tblCellMar>
            <w:top w:w="0" w:type="dxa"/>
            <w:left w:w="108" w:type="dxa"/>
            <w:bottom w:w="0" w:type="dxa"/>
            <w:right w:w="108" w:type="dxa"/>
          </w:tblCellMar>
        </w:tblPrEx>
        <w:trPr>
          <w:trHeight w:val="379"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年度资金总额</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15.44</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15.44</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gridSpan w:val="2"/>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r>
      <w:tr>
        <w:tblPrEx>
          <w:tblCellMar>
            <w:top w:w="0" w:type="dxa"/>
            <w:left w:w="108" w:type="dxa"/>
            <w:bottom w:w="0" w:type="dxa"/>
            <w:right w:w="108" w:type="dxa"/>
          </w:tblCellMar>
        </w:tblPrEx>
        <w:trPr>
          <w:trHeight w:val="379"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财政拨款</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15.44</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15.44</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gridSpan w:val="2"/>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trHeight w:val="379"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财政专户管理资金</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color w:val="000000"/>
                <w:kern w:val="0"/>
                <w:sz w:val="24"/>
              </w:rPr>
              <w:t>0.00%</w:t>
            </w:r>
            <w:r>
              <w:rPr>
                <w:rFonts w:hint="eastAsia" w:ascii="宋体" w:hAnsi="宋体" w:eastAsia="宋体" w:cs="宋体"/>
                <w:kern w:val="0"/>
                <w:sz w:val="24"/>
              </w:rPr>
              <w:t>　</w:t>
            </w:r>
          </w:p>
        </w:tc>
        <w:tc>
          <w:tcPr>
            <w:tcW w:w="0" w:type="auto"/>
            <w:gridSpan w:val="2"/>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trHeight w:val="379"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xml:space="preserve"> 单位资金</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color w:val="000000"/>
                <w:kern w:val="0"/>
                <w:sz w:val="24"/>
              </w:rPr>
              <w:t>0.00%</w:t>
            </w:r>
            <w:r>
              <w:rPr>
                <w:rFonts w:hint="eastAsia" w:ascii="宋体" w:hAnsi="宋体" w:eastAsia="宋体" w:cs="宋体"/>
                <w:kern w:val="0"/>
                <w:sz w:val="24"/>
              </w:rPr>
              <w:t>　</w:t>
            </w:r>
          </w:p>
        </w:tc>
        <w:tc>
          <w:tcPr>
            <w:tcW w:w="0" w:type="auto"/>
            <w:gridSpan w:val="2"/>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trHeight w:val="480"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资金管理情况</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情况说明</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分值（20）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存在问题和改进措施</w:t>
            </w:r>
          </w:p>
        </w:tc>
      </w:tr>
      <w:tr>
        <w:tblPrEx>
          <w:tblCellMar>
            <w:top w:w="0" w:type="dxa"/>
            <w:left w:w="108" w:type="dxa"/>
            <w:bottom w:w="0" w:type="dxa"/>
            <w:right w:w="108" w:type="dxa"/>
          </w:tblCellMar>
        </w:tblPrEx>
        <w:trPr>
          <w:trHeight w:val="64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安排科学性</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按照部门预算编制和资金管理办法的要求，进行项目论证、评审、立项等必要程序。</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91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拨付合规性</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严格按照国库集中支付制度有关规定支付资金，未出现违规将资金从国库转入财政专户或支付到预算单位实有资金账户等问题。</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61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使用规范性</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严格按照下达预算的科目和项目执行，未出现截留、挤占、挪用和擅自调整等问题</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58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预算绩效管理情况</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将资金纳入绩效管理，设置绩效目标，开展绩效监控。</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379" w:hRule="atLeast"/>
        </w:trPr>
        <w:tc>
          <w:tcPr>
            <w:tcW w:w="0" w:type="auto"/>
            <w:vMerge w:val="restart"/>
            <w:tcBorders>
              <w:top w:val="nil"/>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年度总体目标</w:t>
            </w:r>
          </w:p>
        </w:tc>
        <w:tc>
          <w:tcPr>
            <w:tcW w:w="0" w:type="auto"/>
            <w:gridSpan w:val="3"/>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预期目标</w:t>
            </w:r>
          </w:p>
        </w:tc>
        <w:tc>
          <w:tcPr>
            <w:tcW w:w="0" w:type="auto"/>
            <w:gridSpan w:val="5"/>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实际完成情况</w:t>
            </w:r>
          </w:p>
        </w:tc>
      </w:tr>
      <w:tr>
        <w:tblPrEx>
          <w:tblCellMar>
            <w:top w:w="0" w:type="dxa"/>
            <w:left w:w="108" w:type="dxa"/>
            <w:bottom w:w="0" w:type="dxa"/>
            <w:right w:w="108" w:type="dxa"/>
          </w:tblCellMar>
        </w:tblPrEx>
        <w:trPr>
          <w:trHeight w:val="1122" w:hRule="atLeast"/>
        </w:trPr>
        <w:tc>
          <w:tcPr>
            <w:vMerge w:val="continue"/>
            <w:tcBorders>
              <w:top w:val="nil"/>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3"/>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1：为广大市民和游人提供安全整洁、舒适宜人的休闲娱乐场所；</w:t>
            </w:r>
            <w:r>
              <w:br w:type="textWrapping"/>
            </w:r>
            <w:r>
              <w:rPr>
                <w:rFonts w:hint="eastAsia" w:ascii="宋体" w:hAnsi="宋体" w:eastAsia="宋体" w:cs="宋体"/>
                <w:kern w:val="0"/>
                <w:sz w:val="24"/>
              </w:rPr>
              <w:t>2：提高市民的生活质量和满足感，提升城市环境水平；</w:t>
            </w:r>
            <w:r>
              <w:br w:type="textWrapping"/>
            </w:r>
            <w:r>
              <w:rPr>
                <w:rFonts w:hint="eastAsia" w:ascii="宋体" w:hAnsi="宋体" w:eastAsia="宋体" w:cs="宋体"/>
                <w:kern w:val="0"/>
                <w:sz w:val="24"/>
              </w:rPr>
              <w:t>3：完成对绿化项目尾款的支付。</w:t>
            </w:r>
          </w:p>
        </w:tc>
        <w:tc>
          <w:tcPr>
            <w:tcW w:w="0" w:type="auto"/>
            <w:gridSpan w:val="5"/>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为广大市民和游人提供安全整洁、舒适宜人的休闲娱乐场所；</w:t>
            </w:r>
            <w:r>
              <w:br w:type="textWrapping"/>
            </w:r>
            <w:r>
              <w:rPr>
                <w:rFonts w:hint="eastAsia" w:ascii="宋体" w:hAnsi="宋体" w:eastAsia="宋体" w:cs="宋体"/>
                <w:kern w:val="0"/>
                <w:sz w:val="24"/>
              </w:rPr>
              <w:t>提高市民的生活质量和满足感，提升城市环境水平；完成对绿化项目尾款的支付。</w:t>
            </w:r>
          </w:p>
        </w:tc>
      </w:tr>
      <w:tr>
        <w:tblPrEx>
          <w:tblCellMar>
            <w:top w:w="0" w:type="dxa"/>
            <w:left w:w="108" w:type="dxa"/>
            <w:bottom w:w="0" w:type="dxa"/>
            <w:right w:w="108" w:type="dxa"/>
          </w:tblCellMar>
        </w:tblPrEx>
        <w:trPr>
          <w:trHeight w:val="660" w:hRule="atLeast"/>
        </w:trPr>
        <w:tc>
          <w:tcPr>
            <w:tcW w:w="0" w:type="auto"/>
            <w:gridSpan w:val="9"/>
            <w:tcBorders>
              <w:top w:val="nil"/>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绩效指标</w:t>
            </w:r>
          </w:p>
        </w:tc>
      </w:tr>
      <w:tr>
        <w:tblPrEx>
          <w:tblCellMar>
            <w:top w:w="0" w:type="dxa"/>
            <w:left w:w="108" w:type="dxa"/>
            <w:bottom w:w="0" w:type="dxa"/>
            <w:right w:w="108" w:type="dxa"/>
          </w:tblCellMar>
        </w:tblPrEx>
        <w:trPr>
          <w:trHeight w:val="660" w:hRule="atLeast"/>
        </w:trPr>
        <w:tc>
          <w:tcPr>
            <w:tcW w:w="0" w:type="auto"/>
            <w:tcBorders>
              <w:top w:val="nil"/>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一级指标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二级指标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三级指标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年度指标值</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实际完成值</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分值</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得分</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偏差度</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偏差原因分析及改进措施</w:t>
            </w:r>
          </w:p>
        </w:tc>
      </w:tr>
      <w:tr>
        <w:tblPrEx>
          <w:tblCellMar>
            <w:top w:w="0" w:type="dxa"/>
            <w:left w:w="108" w:type="dxa"/>
            <w:bottom w:w="0" w:type="dxa"/>
            <w:right w:w="108" w:type="dxa"/>
          </w:tblCellMar>
        </w:tblPrEx>
        <w:trPr>
          <w:trHeight w:val="660" w:hRule="atLeast"/>
        </w:trPr>
        <w:tc>
          <w:tcPr>
            <w:tcW w:w="0" w:type="auto"/>
            <w:tcBorders>
              <w:top w:val="nil"/>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指标1：2017年许昌市中心区道路游园广场绿化提升工程二标尾款</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15.44万元</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15.44万元</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10" w:hRule="atLeast"/>
        </w:trPr>
        <w:tc>
          <w:tcPr>
            <w:tcW w:w="0" w:type="auto"/>
            <w:vMerge w:val="restart"/>
            <w:tcBorders>
              <w:top w:val="nil"/>
              <w:left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产出指标</w:t>
            </w:r>
            <w:r>
              <w:br w:type="textWrapping"/>
            </w:r>
          </w:p>
        </w:tc>
        <w:tc>
          <w:tcPr>
            <w:tcW w:w="0" w:type="auto"/>
            <w:vMerge w:val="restart"/>
            <w:tcBorders>
              <w:top w:val="nil"/>
              <w:left w:val="single" w:color="auto" w:sz="4" w:space="0"/>
              <w:bottom w:val="nil"/>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指标1：绿化道路</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31条</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31条</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405" w:hRule="atLeast"/>
        </w:trPr>
        <w:tc>
          <w:tcPr>
            <w:vMerge w:val="continue"/>
            <w:tcBorders>
              <w:left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nil"/>
              <w:left w:val="single" w:color="auto" w:sz="4" w:space="0"/>
              <w:bottom w:val="nil"/>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指标1：绿化游园广场</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6个</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6个</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60" w:hRule="atLeast"/>
        </w:trPr>
        <w:tc>
          <w:tcPr>
            <w:vMerge w:val="continue"/>
            <w:tcBorders>
              <w:left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指标1：工程质量验收合格率</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vMerge w:val="continue"/>
            <w:tcBorders>
              <w:left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nil"/>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指标1：工程完成及时率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　</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773" w:hRule="atLeast"/>
        </w:trPr>
        <w:tc>
          <w:tcPr>
            <w:vMerge w:val="continue"/>
            <w:tcBorders>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nil"/>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指标2：尾款支付完成时间</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2023年年底前</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2023年年底前</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tcW w:w="0" w:type="auto"/>
            <w:vMerge w:val="restart"/>
            <w:tcBorders>
              <w:top w:val="nil"/>
              <w:left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指标1：公园广场成为市民休闲健身的乐园</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705" w:hRule="atLeast"/>
        </w:trPr>
        <w:tc>
          <w:tcPr>
            <w:vMerge w:val="continue"/>
            <w:tcBorders>
              <w:left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nil"/>
              <w:left w:val="single" w:color="auto" w:sz="4" w:space="0"/>
              <w:bottom w:val="nil"/>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指标1：保护环境</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sz w:val="24"/>
              </w:rPr>
              <w:t>-10.00</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kern w:val="0"/>
                <w:sz w:val="24"/>
              </w:rPr>
            </w:pPr>
            <w:r>
              <w:rPr>
                <w:rFonts w:hint="eastAsia" w:ascii="宋体" w:hAnsi="宋体" w:eastAsia="宋体" w:cs="宋体"/>
                <w:kern w:val="0"/>
                <w:sz w:val="24"/>
              </w:rPr>
              <w:t>养护期内清理绿地垃圾时存在不及时情况。持续加强督导。</w:t>
            </w:r>
          </w:p>
        </w:tc>
      </w:tr>
      <w:tr>
        <w:tblPrEx>
          <w:tblCellMar>
            <w:top w:w="0" w:type="dxa"/>
            <w:left w:w="108" w:type="dxa"/>
            <w:bottom w:w="0" w:type="dxa"/>
            <w:right w:w="108" w:type="dxa"/>
          </w:tblCellMar>
        </w:tblPrEx>
        <w:trPr>
          <w:trHeight w:val="660" w:hRule="atLeast"/>
        </w:trPr>
        <w:tc>
          <w:tcPr>
            <w:vMerge w:val="continue"/>
            <w:tcBorders>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nil"/>
              <w:left w:val="single" w:color="auto" w:sz="4" w:space="0"/>
              <w:bottom w:val="nil"/>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指标2：美化市容</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820" w:hRule="atLeast"/>
        </w:trPr>
        <w:tc>
          <w:tcPr>
            <w:tcW w:w="0" w:type="auto"/>
            <w:vMerge w:val="restart"/>
            <w:tcBorders>
              <w:top w:val="nil"/>
              <w:left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满意度指标</w:t>
            </w:r>
            <w:r>
              <w:br w:type="textWrapping"/>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指标1：市民满意度</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867" w:hRule="atLeast"/>
        </w:trPr>
        <w:tc>
          <w:tcPr>
            <w:vMerge w:val="continue"/>
            <w:tcBorders>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指标2：支付企业满意度</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26" w:hRule="atLeast"/>
        </w:trPr>
        <w:tc>
          <w:tcPr>
            <w:tcW w:w="0" w:type="auto"/>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总分</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99.00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bl>
    <w:p>
      <w:pPr>
        <w:pStyle w:val="10"/>
      </w:pPr>
    </w:p>
    <w:p>
      <w:pPr>
        <w:pStyle w:val="10"/>
        <w:jc w:val="center"/>
      </w:pPr>
      <w:r>
        <w:rPr>
          <w:rFonts w:hint="eastAsia" w:ascii="宋体" w:hAnsi="Times New Roman" w:eastAsia="宋体" w:cs="宋体"/>
          <w:b/>
          <w:color w:val="000000"/>
          <w:kern w:val="0"/>
          <w:sz w:val="40"/>
          <w:szCs w:val="40"/>
          <w:lang w:val="en-AU" w:eastAsia="zh-CN"/>
        </w:rPr>
        <w:t>项目单位自评表</w:t>
      </w:r>
    </w:p>
    <w:tbl>
      <w:tblPr>
        <w:tblStyle w:val="20"/>
        <w:tblW w:w="5000" w:type="pct"/>
        <w:tblInd w:w="0" w:type="dxa"/>
        <w:shd w:val="clear" w:color="auto" w:fill="auto"/>
        <w:tblLayout w:type="autofit"/>
        <w:tblCellMar>
          <w:top w:w="0" w:type="dxa"/>
          <w:left w:w="108" w:type="dxa"/>
          <w:bottom w:w="0" w:type="dxa"/>
          <w:right w:w="108" w:type="dxa"/>
        </w:tblCellMar>
      </w:tblPr>
      <w:tblGrid>
        <w:gridCol w:w="1061"/>
        <w:gridCol w:w="1187"/>
        <w:gridCol w:w="3936"/>
        <w:gridCol w:w="1289"/>
        <w:gridCol w:w="1289"/>
        <w:gridCol w:w="1119"/>
        <w:gridCol w:w="956"/>
        <w:gridCol w:w="906"/>
        <w:gridCol w:w="2431"/>
      </w:tblGrid>
      <w:tr>
        <w:tblPrEx>
          <w:tblCellMar>
            <w:top w:w="0" w:type="dxa"/>
            <w:left w:w="108" w:type="dxa"/>
            <w:bottom w:w="0" w:type="dxa"/>
            <w:right w:w="108" w:type="dxa"/>
          </w:tblCellMar>
        </w:tblPrEx>
        <w:trPr>
          <w:trHeight w:val="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2017年中心区文峰广场滨河广场应急避险场所设施完善工程（一期）</w:t>
            </w:r>
          </w:p>
        </w:tc>
      </w:tr>
      <w:tr>
        <w:tblPrEx>
          <w:tblCellMar>
            <w:top w:w="0" w:type="dxa"/>
            <w:left w:w="108" w:type="dxa"/>
            <w:bottom w:w="0" w:type="dxa"/>
            <w:right w:w="108" w:type="dxa"/>
          </w:tblCellMar>
        </w:tblPrEx>
        <w:trPr>
          <w:trHeight w:val="379"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主管部门</w:t>
            </w:r>
          </w:p>
        </w:tc>
        <w:tc>
          <w:tcPr>
            <w:tcW w:w="0" w:type="auto"/>
            <w:gridSpan w:val="3"/>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许昌市城市管理局</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实施单位</w:t>
            </w:r>
          </w:p>
        </w:tc>
        <w:tc>
          <w:tcPr>
            <w:tcW w:w="0" w:type="auto"/>
            <w:gridSpan w:val="4"/>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许昌市园林绿化中心</w:t>
            </w:r>
          </w:p>
        </w:tc>
      </w:tr>
      <w:tr>
        <w:tblPrEx>
          <w:tblCellMar>
            <w:top w:w="0" w:type="dxa"/>
            <w:left w:w="108" w:type="dxa"/>
            <w:bottom w:w="0" w:type="dxa"/>
            <w:right w:w="108" w:type="dxa"/>
          </w:tblCellMar>
        </w:tblPrEx>
        <w:trPr>
          <w:trHeight w:val="63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项目资金</w:t>
            </w:r>
            <w:r>
              <w:br w:type="textWrapping"/>
            </w:r>
            <w:r>
              <w:rPr>
                <w:rFonts w:hint="eastAsia" w:ascii="宋体" w:hAnsi="宋体" w:eastAsia="宋体" w:cs="宋体"/>
                <w:kern w:val="0"/>
                <w:sz w:val="24"/>
              </w:rPr>
              <w:t>（万元）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年初预算数</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全年预算数</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全年执行数</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分值</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执行率</w:t>
            </w:r>
          </w:p>
        </w:tc>
        <w:tc>
          <w:tcPr>
            <w:tcW w:w="0" w:type="auto"/>
            <w:gridSpan w:val="2"/>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得分</w:t>
            </w:r>
          </w:p>
        </w:tc>
      </w:tr>
      <w:tr>
        <w:tblPrEx>
          <w:tblCellMar>
            <w:top w:w="0" w:type="dxa"/>
            <w:left w:w="108" w:type="dxa"/>
            <w:bottom w:w="0" w:type="dxa"/>
            <w:right w:w="108" w:type="dxa"/>
          </w:tblCellMar>
        </w:tblPrEx>
        <w:trPr>
          <w:trHeight w:val="379"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年度资金总额</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sz w:val="24"/>
              </w:rPr>
              <w:t>9.</w:t>
            </w:r>
            <w:r>
              <w:rPr>
                <w:rFonts w:hint="eastAsia" w:ascii="宋体" w:hAnsi="宋体" w:eastAsia="宋体" w:cs="宋体"/>
                <w:kern w:val="0"/>
                <w:sz w:val="24"/>
              </w:rPr>
              <w:t>14</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sz w:val="24"/>
              </w:rPr>
              <w:t>9.</w:t>
            </w:r>
            <w:r>
              <w:rPr>
                <w:rFonts w:hint="eastAsia" w:ascii="宋体" w:hAnsi="宋体" w:eastAsia="宋体" w:cs="宋体"/>
                <w:kern w:val="0"/>
                <w:sz w:val="24"/>
              </w:rPr>
              <w:t>14</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gridSpan w:val="2"/>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r>
      <w:tr>
        <w:tblPrEx>
          <w:tblCellMar>
            <w:top w:w="0" w:type="dxa"/>
            <w:left w:w="108" w:type="dxa"/>
            <w:bottom w:w="0" w:type="dxa"/>
            <w:right w:w="108" w:type="dxa"/>
          </w:tblCellMar>
        </w:tblPrEx>
        <w:trPr>
          <w:trHeight w:val="379"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财政拨款</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sz w:val="24"/>
              </w:rPr>
              <w:t>9.</w:t>
            </w:r>
            <w:r>
              <w:rPr>
                <w:rFonts w:hint="eastAsia" w:ascii="宋体" w:hAnsi="宋体" w:eastAsia="宋体" w:cs="宋体"/>
                <w:kern w:val="0"/>
                <w:sz w:val="24"/>
              </w:rPr>
              <w:t>14</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sz w:val="24"/>
              </w:rPr>
              <w:t>9.</w:t>
            </w:r>
            <w:r>
              <w:rPr>
                <w:rFonts w:hint="eastAsia" w:ascii="宋体" w:hAnsi="宋体" w:eastAsia="宋体" w:cs="宋体"/>
                <w:kern w:val="0"/>
                <w:sz w:val="24"/>
              </w:rPr>
              <w:t>14</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gridSpan w:val="2"/>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trHeight w:val="397"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财政专户管理资金</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color w:val="000000"/>
                <w:kern w:val="0"/>
                <w:sz w:val="24"/>
              </w:rPr>
              <w:t>0.00%</w:t>
            </w:r>
            <w:r>
              <w:rPr>
                <w:rFonts w:hint="eastAsia" w:ascii="宋体" w:hAnsi="宋体" w:eastAsia="宋体" w:cs="宋体"/>
                <w:kern w:val="0"/>
                <w:sz w:val="24"/>
              </w:rPr>
              <w:t>　</w:t>
            </w:r>
          </w:p>
        </w:tc>
        <w:tc>
          <w:tcPr>
            <w:tcW w:w="0" w:type="auto"/>
            <w:gridSpan w:val="2"/>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trHeight w:val="379"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xml:space="preserve"> 单位资金</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color w:val="000000"/>
                <w:kern w:val="0"/>
                <w:sz w:val="24"/>
              </w:rPr>
              <w:t>0.00%</w:t>
            </w:r>
            <w:r>
              <w:rPr>
                <w:rFonts w:hint="eastAsia" w:ascii="宋体" w:hAnsi="宋体" w:eastAsia="宋体" w:cs="宋体"/>
                <w:kern w:val="0"/>
                <w:sz w:val="24"/>
              </w:rPr>
              <w:t>　</w:t>
            </w:r>
          </w:p>
        </w:tc>
        <w:tc>
          <w:tcPr>
            <w:tcW w:w="0" w:type="auto"/>
            <w:gridSpan w:val="2"/>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trHeight w:val="480"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资金管理情况</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情况说明</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分值（20）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存在问题和改进措施</w:t>
            </w:r>
          </w:p>
        </w:tc>
      </w:tr>
      <w:tr>
        <w:tblPrEx>
          <w:tblCellMar>
            <w:top w:w="0" w:type="dxa"/>
            <w:left w:w="108" w:type="dxa"/>
            <w:bottom w:w="0" w:type="dxa"/>
            <w:right w:w="108" w:type="dxa"/>
          </w:tblCellMar>
        </w:tblPrEx>
        <w:trPr>
          <w:trHeight w:val="64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安排科学性</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按照部门预算编制和资金管理办法的要求，进行项目论证、评审、立项等必要程序。</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91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拨付合规性</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严格按照国库集中支付制度有关规定支付资金，未出现违规将资金从国库转入财政专户或支付到预算单位实有资金账户等问题。</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61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使用规范性</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严格按照下达预算的科目和项目执行，未出现截留、挤占、挪用和擅自调整等问题</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58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预算绩效管理情况</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将资金纳入绩效管理，设置绩效目标，开展绩效监控。</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379" w:hRule="atLeast"/>
        </w:trPr>
        <w:tc>
          <w:tcPr>
            <w:tcW w:w="0" w:type="auto"/>
            <w:vMerge w:val="restart"/>
            <w:tcBorders>
              <w:top w:val="nil"/>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年度总体目标</w:t>
            </w:r>
          </w:p>
        </w:tc>
        <w:tc>
          <w:tcPr>
            <w:tcW w:w="0" w:type="auto"/>
            <w:gridSpan w:val="3"/>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预期目标</w:t>
            </w:r>
          </w:p>
        </w:tc>
        <w:tc>
          <w:tcPr>
            <w:tcW w:w="0" w:type="auto"/>
            <w:gridSpan w:val="5"/>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实际完成情况</w:t>
            </w:r>
          </w:p>
        </w:tc>
      </w:tr>
      <w:tr>
        <w:tblPrEx>
          <w:tblCellMar>
            <w:top w:w="0" w:type="dxa"/>
            <w:left w:w="108" w:type="dxa"/>
            <w:bottom w:w="0" w:type="dxa"/>
            <w:right w:w="108" w:type="dxa"/>
          </w:tblCellMar>
        </w:tblPrEx>
        <w:trPr>
          <w:trHeight w:val="1122" w:hRule="atLeast"/>
        </w:trPr>
        <w:tc>
          <w:tcPr>
            <w:vMerge w:val="continue"/>
            <w:tcBorders>
              <w:top w:val="nil"/>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3"/>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完成绿化工程项目尾款支付。</w:t>
            </w:r>
          </w:p>
        </w:tc>
        <w:tc>
          <w:tcPr>
            <w:tcW w:w="0" w:type="auto"/>
            <w:gridSpan w:val="5"/>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完成绿化工程项目尾款支付。</w:t>
            </w:r>
          </w:p>
        </w:tc>
      </w:tr>
      <w:tr>
        <w:tblPrEx>
          <w:tblCellMar>
            <w:top w:w="0" w:type="dxa"/>
            <w:left w:w="108" w:type="dxa"/>
            <w:bottom w:w="0" w:type="dxa"/>
            <w:right w:w="108" w:type="dxa"/>
          </w:tblCellMar>
        </w:tblPrEx>
        <w:trPr>
          <w:trHeight w:val="660" w:hRule="atLeast"/>
        </w:trPr>
        <w:tc>
          <w:tcPr>
            <w:tcW w:w="0" w:type="auto"/>
            <w:gridSpan w:val="9"/>
            <w:tcBorders>
              <w:top w:val="nil"/>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绩效指标</w:t>
            </w:r>
          </w:p>
        </w:tc>
      </w:tr>
      <w:tr>
        <w:tblPrEx>
          <w:tblCellMar>
            <w:top w:w="0" w:type="dxa"/>
            <w:left w:w="108" w:type="dxa"/>
            <w:bottom w:w="0" w:type="dxa"/>
            <w:right w:w="108" w:type="dxa"/>
          </w:tblCellMar>
        </w:tblPrEx>
        <w:trPr>
          <w:trHeight w:val="660" w:hRule="atLeast"/>
        </w:trPr>
        <w:tc>
          <w:tcPr>
            <w:tcW w:w="0" w:type="auto"/>
            <w:tcBorders>
              <w:top w:val="nil"/>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一级指标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二级指标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三级指标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年度指标值</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实际完成值</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分值</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得分</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偏差度</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偏差原因分析及改进措施</w:t>
            </w:r>
          </w:p>
        </w:tc>
      </w:tr>
      <w:tr>
        <w:tblPrEx>
          <w:tblCellMar>
            <w:top w:w="0" w:type="dxa"/>
            <w:left w:w="108" w:type="dxa"/>
            <w:bottom w:w="0" w:type="dxa"/>
            <w:right w:w="108" w:type="dxa"/>
          </w:tblCellMar>
        </w:tblPrEx>
        <w:trPr>
          <w:trHeight w:val="660" w:hRule="atLeast"/>
        </w:trPr>
        <w:tc>
          <w:tcPr>
            <w:tcW w:w="0" w:type="auto"/>
            <w:tcBorders>
              <w:top w:val="nil"/>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指标1：中心区文峰广场滨河广场应急避险场所设施完善工程一期尾款</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9.14万元</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9.14万元</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10" w:hRule="atLeast"/>
        </w:trPr>
        <w:tc>
          <w:tcPr>
            <w:tcW w:w="0" w:type="auto"/>
            <w:vMerge w:val="restart"/>
            <w:tcBorders>
              <w:top w:val="nil"/>
              <w:left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产出指标</w:t>
            </w:r>
            <w:r>
              <w:br w:type="textWrapping"/>
            </w:r>
          </w:p>
        </w:tc>
        <w:tc>
          <w:tcPr>
            <w:tcW w:w="0" w:type="auto"/>
            <w:vMerge w:val="restart"/>
            <w:tcBorders>
              <w:top w:val="nil"/>
              <w:left w:val="single" w:color="auto" w:sz="4" w:space="0"/>
              <w:bottom w:val="nil"/>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指标1：应急避险场所设施完善</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2个</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2个</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10" w:hRule="atLeast"/>
        </w:trPr>
        <w:tc>
          <w:tcPr>
            <w:vMerge w:val="continue"/>
            <w:tcBorders>
              <w:left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c>
          <w:tcPr>
            <w:vMerge w:val="continue"/>
            <w:tcBorders>
              <w:left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指标2：水龙头</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24个</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24个</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510" w:hRule="atLeast"/>
        </w:trPr>
        <w:tc>
          <w:tcPr>
            <w:vMerge w:val="continue"/>
            <w:tcBorders>
              <w:left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c>
          <w:tcPr>
            <w:vMerge w:val="continue"/>
            <w:tcBorders>
              <w:left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指标3：应急供水车停车场</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72平方米</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72平方米</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405" w:hRule="atLeast"/>
        </w:trPr>
        <w:tc>
          <w:tcPr>
            <w:vMerge w:val="continue"/>
            <w:tcBorders>
              <w:left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nil"/>
              <w:left w:val="single" w:color="auto" w:sz="4" w:space="0"/>
              <w:bottom w:val="nil"/>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指标4：设置各类标识牌</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51个</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51个</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60" w:hRule="atLeast"/>
        </w:trPr>
        <w:tc>
          <w:tcPr>
            <w:vMerge w:val="continue"/>
            <w:tcBorders>
              <w:left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single" w:color="auto" w:sz="4" w:space="0"/>
              <w:left w:val="nil"/>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指标1：工程质保期绿化有效管护率</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kern w:val="0"/>
                <w:sz w:val="24"/>
              </w:rPr>
              <w:t>90%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4.5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sz w:val="24"/>
              </w:rPr>
              <w:t>清理绿地垃圾存在不及时情况。持续加强督导。</w:t>
            </w:r>
          </w:p>
        </w:tc>
      </w:tr>
      <w:tr>
        <w:tblPrEx>
          <w:shd w:val="clear" w:color="auto" w:fill="auto"/>
          <w:tblCellMar>
            <w:top w:w="0" w:type="dxa"/>
            <w:left w:w="108" w:type="dxa"/>
            <w:bottom w:w="0" w:type="dxa"/>
            <w:right w:w="108" w:type="dxa"/>
          </w:tblCellMar>
        </w:tblPrEx>
        <w:trPr>
          <w:trHeight w:val="660" w:hRule="atLeast"/>
        </w:trPr>
        <w:tc>
          <w:tcPr>
            <w:vMerge w:val="continue"/>
            <w:tcBorders>
              <w:left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left w:val="nil"/>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指标2：工程质保期安全事故发生次数</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0次</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0次</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vMerge w:val="continue"/>
            <w:tcBorders>
              <w:left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指标3：工程设施完善合格率</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2</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801" w:hRule="atLeast"/>
        </w:trPr>
        <w:tc>
          <w:tcPr>
            <w:vMerge w:val="continue"/>
            <w:tcBorders>
              <w:left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nil"/>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指标1：工程质保期任务完成率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　</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773" w:hRule="atLeast"/>
        </w:trPr>
        <w:tc>
          <w:tcPr>
            <w:vMerge w:val="continue"/>
            <w:tcBorders>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nil"/>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指标2：尾款支付完成时间</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2023年年底前</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2023年年底前</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tcW w:w="0" w:type="auto"/>
            <w:vMerge w:val="restart"/>
            <w:tcBorders>
              <w:top w:val="nil"/>
              <w:left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指标1：应急救援处置能力和群众自救能力</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705" w:hRule="atLeast"/>
        </w:trPr>
        <w:tc>
          <w:tcPr>
            <w:vMerge w:val="continue"/>
            <w:tcBorders>
              <w:left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nil"/>
              <w:left w:val="single" w:color="auto" w:sz="4" w:space="0"/>
              <w:bottom w:val="nil"/>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指标1：城市综合避险能力</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8</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8</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sz w:val="24"/>
              </w:rPr>
              <w:t>0.00</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vMerge w:val="continue"/>
            <w:tcBorders>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nil"/>
              <w:left w:val="single" w:color="auto" w:sz="4" w:space="0"/>
              <w:bottom w:val="nil"/>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指标2：保障生态文明建设能力</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8</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8</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tcW w:w="0" w:type="auto"/>
            <w:vMerge w:val="restart"/>
            <w:tcBorders>
              <w:top w:val="nil"/>
              <w:left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满意度指标</w:t>
            </w:r>
            <w:r>
              <w:br w:type="textWrapping"/>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指标1：市民满意度</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60" w:hRule="atLeast"/>
        </w:trPr>
        <w:tc>
          <w:tcPr>
            <w:vMerge w:val="continue"/>
            <w:tcBorders>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指标2：支付企业满意度</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39" w:hRule="atLeast"/>
        </w:trPr>
        <w:tc>
          <w:tcPr>
            <w:tcW w:w="0" w:type="auto"/>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总分</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99.50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bl>
    <w:p>
      <w:pPr>
        <w:pStyle w:val="10"/>
      </w:pPr>
    </w:p>
    <w:p>
      <w:pPr>
        <w:pStyle w:val="10"/>
        <w:jc w:val="center"/>
        <w:rPr>
          <w:rFonts w:hint="eastAsia" w:ascii="宋体" w:hAnsi="Times New Roman" w:eastAsia="宋体" w:cs="宋体"/>
          <w:b/>
          <w:color w:val="000000"/>
          <w:kern w:val="0"/>
          <w:sz w:val="40"/>
          <w:szCs w:val="40"/>
          <w:lang w:val="en-AU" w:eastAsia="zh-CN"/>
        </w:rPr>
      </w:pPr>
    </w:p>
    <w:p>
      <w:pPr>
        <w:pStyle w:val="10"/>
        <w:jc w:val="center"/>
      </w:pPr>
      <w:r>
        <w:rPr>
          <w:rFonts w:hint="eastAsia" w:ascii="宋体" w:hAnsi="Times New Roman" w:eastAsia="宋体" w:cs="宋体"/>
          <w:b/>
          <w:color w:val="000000"/>
          <w:kern w:val="0"/>
          <w:sz w:val="40"/>
          <w:szCs w:val="40"/>
          <w:lang w:val="en-AU" w:eastAsia="zh-CN"/>
        </w:rPr>
        <w:t>项目单位自评表</w:t>
      </w:r>
    </w:p>
    <w:tbl>
      <w:tblPr>
        <w:tblStyle w:val="20"/>
        <w:tblW w:w="5000" w:type="pct"/>
        <w:tblInd w:w="0" w:type="dxa"/>
        <w:shd w:val="clear" w:color="auto" w:fill="auto"/>
        <w:tblLayout w:type="autofit"/>
        <w:tblCellMar>
          <w:top w:w="0" w:type="dxa"/>
          <w:left w:w="108" w:type="dxa"/>
          <w:bottom w:w="0" w:type="dxa"/>
          <w:right w:w="108" w:type="dxa"/>
        </w:tblCellMar>
      </w:tblPr>
      <w:tblGrid>
        <w:gridCol w:w="944"/>
        <w:gridCol w:w="952"/>
        <w:gridCol w:w="3032"/>
        <w:gridCol w:w="1080"/>
        <w:gridCol w:w="1429"/>
        <w:gridCol w:w="1313"/>
        <w:gridCol w:w="1127"/>
        <w:gridCol w:w="1067"/>
        <w:gridCol w:w="3230"/>
      </w:tblGrid>
      <w:tr>
        <w:tblPrEx>
          <w:tblCellMar>
            <w:top w:w="0" w:type="dxa"/>
            <w:left w:w="108" w:type="dxa"/>
            <w:bottom w:w="0" w:type="dxa"/>
            <w:right w:w="108" w:type="dxa"/>
          </w:tblCellMar>
        </w:tblPrEx>
        <w:trPr>
          <w:trHeight w:val="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2019年市管区域立体绿化建设和绿满大地项目</w:t>
            </w:r>
          </w:p>
        </w:tc>
      </w:tr>
      <w:tr>
        <w:tblPrEx>
          <w:shd w:val="clear" w:color="auto" w:fill="auto"/>
          <w:tblCellMar>
            <w:top w:w="0" w:type="dxa"/>
            <w:left w:w="108" w:type="dxa"/>
            <w:bottom w:w="0" w:type="dxa"/>
            <w:right w:w="108" w:type="dxa"/>
          </w:tblCellMar>
        </w:tblPrEx>
        <w:trPr>
          <w:trHeight w:val="379"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主管部门</w:t>
            </w:r>
          </w:p>
        </w:tc>
        <w:tc>
          <w:tcPr>
            <w:tcW w:w="0" w:type="auto"/>
            <w:gridSpan w:val="3"/>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许昌市城市管理局</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实施单位</w:t>
            </w:r>
          </w:p>
        </w:tc>
        <w:tc>
          <w:tcPr>
            <w:tcW w:w="0" w:type="auto"/>
            <w:gridSpan w:val="4"/>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许昌市园林绿化中心</w:t>
            </w:r>
          </w:p>
        </w:tc>
      </w:tr>
      <w:tr>
        <w:tblPrEx>
          <w:tblCellMar>
            <w:top w:w="0" w:type="dxa"/>
            <w:left w:w="108" w:type="dxa"/>
            <w:bottom w:w="0" w:type="dxa"/>
            <w:right w:w="108" w:type="dxa"/>
          </w:tblCellMar>
        </w:tblPrEx>
        <w:trPr>
          <w:trHeight w:val="63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项目资金</w:t>
            </w:r>
            <w:r>
              <w:br w:type="textWrapping"/>
            </w:r>
            <w:r>
              <w:rPr>
                <w:rFonts w:hint="eastAsia" w:ascii="宋体" w:hAnsi="宋体" w:eastAsia="宋体" w:cs="宋体"/>
                <w:kern w:val="0"/>
                <w:sz w:val="24"/>
              </w:rPr>
              <w:t>（万元）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年初预算数</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全年预算数</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全年执行数</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分值</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执行率</w:t>
            </w:r>
          </w:p>
        </w:tc>
        <w:tc>
          <w:tcPr>
            <w:tcW w:w="0" w:type="auto"/>
            <w:gridSpan w:val="2"/>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得分</w:t>
            </w:r>
          </w:p>
        </w:tc>
      </w:tr>
      <w:tr>
        <w:tblPrEx>
          <w:tblCellMar>
            <w:top w:w="0" w:type="dxa"/>
            <w:left w:w="108" w:type="dxa"/>
            <w:bottom w:w="0" w:type="dxa"/>
            <w:right w:w="108" w:type="dxa"/>
          </w:tblCellMar>
        </w:tblPrEx>
        <w:trPr>
          <w:trHeight w:val="379"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年度资金总额</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sz w:val="24"/>
              </w:rPr>
              <w:t>53.57</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sz w:val="24"/>
              </w:rPr>
              <w:t>53.57</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gridSpan w:val="2"/>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r>
      <w:tr>
        <w:tblPrEx>
          <w:tblCellMar>
            <w:top w:w="0" w:type="dxa"/>
            <w:left w:w="108" w:type="dxa"/>
            <w:bottom w:w="0" w:type="dxa"/>
            <w:right w:w="108" w:type="dxa"/>
          </w:tblCellMar>
        </w:tblPrEx>
        <w:trPr>
          <w:trHeight w:val="379"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财政拨款</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sz w:val="24"/>
              </w:rPr>
              <w:t>53.57</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sz w:val="24"/>
              </w:rPr>
              <w:t>53.57</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gridSpan w:val="2"/>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trHeight w:val="397"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财政专户管理资金</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color w:val="000000"/>
                <w:kern w:val="0"/>
                <w:sz w:val="24"/>
              </w:rPr>
              <w:t>0.00%</w:t>
            </w:r>
            <w:r>
              <w:rPr>
                <w:rFonts w:hint="eastAsia" w:ascii="宋体" w:hAnsi="宋体" w:eastAsia="宋体" w:cs="宋体"/>
                <w:kern w:val="0"/>
                <w:sz w:val="24"/>
              </w:rPr>
              <w:t>　</w:t>
            </w:r>
          </w:p>
        </w:tc>
        <w:tc>
          <w:tcPr>
            <w:tcW w:w="0" w:type="auto"/>
            <w:gridSpan w:val="2"/>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trHeight w:val="379"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xml:space="preserve"> 单位资金</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color w:val="000000"/>
                <w:kern w:val="0"/>
                <w:sz w:val="24"/>
              </w:rPr>
              <w:t>0.00%</w:t>
            </w:r>
            <w:r>
              <w:rPr>
                <w:rFonts w:hint="eastAsia" w:ascii="宋体" w:hAnsi="宋体" w:eastAsia="宋体" w:cs="宋体"/>
                <w:kern w:val="0"/>
                <w:sz w:val="24"/>
              </w:rPr>
              <w:t>　</w:t>
            </w:r>
          </w:p>
        </w:tc>
        <w:tc>
          <w:tcPr>
            <w:tcW w:w="0" w:type="auto"/>
            <w:gridSpan w:val="2"/>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trHeight w:val="480"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资金管理情况</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情况说明</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分值（20）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存在问题和改进措施</w:t>
            </w:r>
          </w:p>
        </w:tc>
      </w:tr>
      <w:tr>
        <w:tblPrEx>
          <w:tblCellMar>
            <w:top w:w="0" w:type="dxa"/>
            <w:left w:w="108" w:type="dxa"/>
            <w:bottom w:w="0" w:type="dxa"/>
            <w:right w:w="108" w:type="dxa"/>
          </w:tblCellMar>
        </w:tblPrEx>
        <w:trPr>
          <w:trHeight w:val="64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安排科学性</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按照部门预算编制和资金管理办法的要求，进行项目论证、评审、立项等必要程序。</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91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拨付合规性</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严格按照国库集中支付制度有关规定支付资金，未出现违规将资金从国库转入财政专户或支付到预算单位实有资金账户等问题。</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61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使用规范性</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严格按照下达预算的科目和项目执行，未出现截留、挤占、挪用和擅自调整等问题</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58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预算绩效管理情况</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将资金纳入绩效管理，设置绩效目标，开展绩效监控。</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379" w:hRule="atLeast"/>
        </w:trPr>
        <w:tc>
          <w:tcPr>
            <w:tcW w:w="0" w:type="auto"/>
            <w:vMerge w:val="restart"/>
            <w:tcBorders>
              <w:top w:val="nil"/>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年度总体目标</w:t>
            </w:r>
          </w:p>
        </w:tc>
        <w:tc>
          <w:tcPr>
            <w:tcW w:w="0" w:type="auto"/>
            <w:gridSpan w:val="3"/>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预期目标</w:t>
            </w:r>
          </w:p>
        </w:tc>
        <w:tc>
          <w:tcPr>
            <w:tcW w:w="0" w:type="auto"/>
            <w:gridSpan w:val="5"/>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实际完成情况</w:t>
            </w:r>
          </w:p>
        </w:tc>
      </w:tr>
      <w:tr>
        <w:tblPrEx>
          <w:tblCellMar>
            <w:top w:w="0" w:type="dxa"/>
            <w:left w:w="108" w:type="dxa"/>
            <w:bottom w:w="0" w:type="dxa"/>
            <w:right w:w="108" w:type="dxa"/>
          </w:tblCellMar>
        </w:tblPrEx>
        <w:trPr>
          <w:trHeight w:val="1122" w:hRule="atLeast"/>
        </w:trPr>
        <w:tc>
          <w:tcPr>
            <w:vMerge w:val="continue"/>
            <w:tcBorders>
              <w:top w:val="nil"/>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3"/>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kern w:val="0"/>
                <w:sz w:val="24"/>
              </w:rPr>
            </w:pPr>
            <w:r>
              <w:rPr>
                <w:rFonts w:hint="eastAsia" w:ascii="宋体" w:hAnsi="宋体" w:eastAsia="宋体" w:cs="宋体"/>
                <w:kern w:val="0"/>
                <w:sz w:val="24"/>
              </w:rPr>
              <w:t>目标1：完成屋顶绿化、墙体绿化、清潩河游园黄土裸露治理；</w:t>
            </w:r>
          </w:p>
          <w:p>
            <w:pPr>
              <w:pStyle w:val="16"/>
              <w:widowControl/>
              <w:jc w:val="left"/>
              <w:textAlignment w:val="center"/>
              <w:rPr>
                <w:rFonts w:ascii="宋体" w:hAnsi="宋体" w:eastAsia="宋体" w:cs="宋体"/>
                <w:kern w:val="0"/>
                <w:sz w:val="24"/>
              </w:rPr>
            </w:pPr>
            <w:r>
              <w:rPr>
                <w:rFonts w:hint="eastAsia" w:ascii="宋体" w:hAnsi="宋体" w:eastAsia="宋体" w:cs="宋体"/>
                <w:kern w:val="0"/>
                <w:sz w:val="24"/>
              </w:rPr>
              <w:t>目标2：改善空气质量，缓解热岛效应，增加城市绿量，提高城市居民生活环境；</w:t>
            </w:r>
          </w:p>
          <w:p>
            <w:pPr>
              <w:pStyle w:val="16"/>
              <w:widowControl/>
              <w:jc w:val="left"/>
              <w:textAlignment w:val="center"/>
              <w:rPr>
                <w:rFonts w:ascii="宋体" w:hAnsi="宋体" w:eastAsia="宋体" w:cs="宋体"/>
                <w:sz w:val="24"/>
              </w:rPr>
            </w:pPr>
            <w:r>
              <w:rPr>
                <w:rFonts w:hint="eastAsia" w:ascii="宋体" w:hAnsi="宋体" w:eastAsia="宋体" w:cs="宋体"/>
                <w:kern w:val="0"/>
                <w:sz w:val="24"/>
              </w:rPr>
              <w:t>目标3：市管区域立体绿化建设和绿满大地项目尾款支付。</w:t>
            </w:r>
          </w:p>
        </w:tc>
        <w:tc>
          <w:tcPr>
            <w:tcW w:w="0" w:type="auto"/>
            <w:gridSpan w:val="5"/>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完成屋顶绿化、墙体绿化、清潩河游园黄土裸露治理；改善空气质量，缓解热岛效应，增加城市绿量，提高城市居民生活环境；完成市管区域立体绿化建设和绿满大地项目尾款支付。</w:t>
            </w:r>
          </w:p>
        </w:tc>
      </w:tr>
      <w:tr>
        <w:tblPrEx>
          <w:tblCellMar>
            <w:top w:w="0" w:type="dxa"/>
            <w:left w:w="108" w:type="dxa"/>
            <w:bottom w:w="0" w:type="dxa"/>
            <w:right w:w="108" w:type="dxa"/>
          </w:tblCellMar>
        </w:tblPrEx>
        <w:trPr>
          <w:trHeight w:val="660" w:hRule="atLeast"/>
        </w:trPr>
        <w:tc>
          <w:tcPr>
            <w:tcW w:w="0" w:type="auto"/>
            <w:gridSpan w:val="9"/>
            <w:tcBorders>
              <w:top w:val="nil"/>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绩效指标</w:t>
            </w:r>
          </w:p>
        </w:tc>
      </w:tr>
      <w:tr>
        <w:tblPrEx>
          <w:tblCellMar>
            <w:top w:w="0" w:type="dxa"/>
            <w:left w:w="108" w:type="dxa"/>
            <w:bottom w:w="0" w:type="dxa"/>
            <w:right w:w="108" w:type="dxa"/>
          </w:tblCellMar>
        </w:tblPrEx>
        <w:trPr>
          <w:trHeight w:val="660" w:hRule="atLeast"/>
        </w:trPr>
        <w:tc>
          <w:tcPr>
            <w:tcW w:w="0" w:type="auto"/>
            <w:tcBorders>
              <w:top w:val="nil"/>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一级指标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二级指标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三级指标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年度指标值</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实际完成值</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分值</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得分</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偏差度</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偏差原因分析及改进措施</w:t>
            </w:r>
          </w:p>
        </w:tc>
      </w:tr>
      <w:tr>
        <w:tblPrEx>
          <w:tblCellMar>
            <w:top w:w="0" w:type="dxa"/>
            <w:left w:w="108" w:type="dxa"/>
            <w:bottom w:w="0" w:type="dxa"/>
            <w:right w:w="108" w:type="dxa"/>
          </w:tblCellMar>
        </w:tblPrEx>
        <w:trPr>
          <w:trHeight w:val="660" w:hRule="atLeast"/>
        </w:trPr>
        <w:tc>
          <w:tcPr>
            <w:tcW w:w="0" w:type="auto"/>
            <w:tcBorders>
              <w:top w:val="nil"/>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指标1：立体绿化建设和绿满大地项目尾款</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53.57万元</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53.57万元</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10" w:hRule="atLeast"/>
        </w:trPr>
        <w:tc>
          <w:tcPr>
            <w:tcW w:w="0" w:type="auto"/>
            <w:vMerge w:val="restart"/>
            <w:tcBorders>
              <w:top w:val="nil"/>
              <w:left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产出指标</w:t>
            </w:r>
            <w:r>
              <w:br w:type="textWrapping"/>
            </w:r>
          </w:p>
        </w:tc>
        <w:tc>
          <w:tcPr>
            <w:tcW w:w="0" w:type="auto"/>
            <w:vMerge w:val="restart"/>
            <w:tcBorders>
              <w:top w:val="nil"/>
              <w:left w:val="single" w:color="auto" w:sz="4" w:space="0"/>
              <w:bottom w:val="nil"/>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指标1：湖滨桥、新兴路桥、许由路桥、劳动路、新兴路、清潩河墙体绿化数量</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6处</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6处</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4</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4</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10" w:hRule="atLeast"/>
        </w:trPr>
        <w:tc>
          <w:tcPr>
            <w:vMerge w:val="continue"/>
            <w:tcBorders>
              <w:left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c>
          <w:tcPr>
            <w:vMerge w:val="continue"/>
            <w:tcBorders>
              <w:left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指标2：八一路、新兴路、许由路、七一路、劳动路等道路绿化数量</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22条</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22条</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510" w:hRule="atLeast"/>
        </w:trPr>
        <w:tc>
          <w:tcPr>
            <w:vMerge w:val="continue"/>
            <w:tcBorders>
              <w:left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c>
          <w:tcPr>
            <w:vMerge w:val="continue"/>
            <w:tcBorders>
              <w:left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指标3：蝴蝶广场、中立交游园、南熏园等游园广场绿化数量</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6个</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6个</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vMerge w:val="continue"/>
            <w:tcBorders>
              <w:left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single" w:color="auto" w:sz="4" w:space="0"/>
              <w:left w:val="nil"/>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指标1：工程质保期绿化有效管护率</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4</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4</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vMerge w:val="continue"/>
            <w:tcBorders>
              <w:left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left w:val="nil"/>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指标2：工程质保期安全事故发生次数</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0次</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0次</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vMerge w:val="continue"/>
            <w:tcBorders>
              <w:left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指标3：工程绿化面积合格率</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801" w:hRule="atLeast"/>
        </w:trPr>
        <w:tc>
          <w:tcPr>
            <w:vMerge w:val="continue"/>
            <w:tcBorders>
              <w:left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nil"/>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指标1：工程质保期任务完成率工程尾款支付完成时间</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　</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773" w:hRule="atLeast"/>
        </w:trPr>
        <w:tc>
          <w:tcPr>
            <w:vMerge w:val="continue"/>
            <w:tcBorders>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nil"/>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指标2：工程尾款支付完成时间</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2023年年底前</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2023年年底前</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tcW w:w="0" w:type="auto"/>
            <w:vMerge w:val="restart"/>
            <w:tcBorders>
              <w:top w:val="nil"/>
              <w:left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指标1：质保期绿化带动就业人数</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20人</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20人</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705" w:hRule="atLeast"/>
        </w:trPr>
        <w:tc>
          <w:tcPr>
            <w:vMerge w:val="continue"/>
            <w:tcBorders>
              <w:left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nil"/>
              <w:left w:val="single" w:color="auto" w:sz="4" w:space="0"/>
              <w:bottom w:val="nil"/>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指标1：改善城市空间环境和整体形象</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有效改善</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sz w:val="24"/>
              </w:rPr>
              <w:t>-10.00</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kern w:val="0"/>
                <w:sz w:val="24"/>
              </w:rPr>
            </w:pPr>
            <w:r>
              <w:rPr>
                <w:rFonts w:hint="eastAsia" w:ascii="宋体" w:hAnsi="宋体" w:eastAsia="宋体" w:cs="宋体"/>
                <w:kern w:val="0"/>
                <w:sz w:val="24"/>
              </w:rPr>
              <w:t>养护期内清绿地垃圾时存在不及时情况。持续加强督导。</w:t>
            </w:r>
          </w:p>
        </w:tc>
      </w:tr>
      <w:tr>
        <w:tblPrEx>
          <w:tblCellMar>
            <w:top w:w="0" w:type="dxa"/>
            <w:left w:w="108" w:type="dxa"/>
            <w:bottom w:w="0" w:type="dxa"/>
            <w:right w:w="108" w:type="dxa"/>
          </w:tblCellMar>
        </w:tblPrEx>
        <w:trPr>
          <w:trHeight w:val="660" w:hRule="atLeast"/>
        </w:trPr>
        <w:tc>
          <w:tcPr>
            <w:vMerge w:val="continue"/>
            <w:tcBorders>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nil"/>
              <w:left w:val="single" w:color="auto" w:sz="4" w:space="0"/>
              <w:bottom w:val="nil"/>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指标2：保障生态文明建设能力</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tcW w:w="0" w:type="auto"/>
            <w:vMerge w:val="restart"/>
            <w:tcBorders>
              <w:top w:val="nil"/>
              <w:left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满意度指标</w:t>
            </w:r>
            <w:r>
              <w:br w:type="textWrapping"/>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指标1：市民满意度</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60" w:hRule="atLeast"/>
        </w:trPr>
        <w:tc>
          <w:tcPr>
            <w:vMerge w:val="continue"/>
            <w:tcBorders>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指标2：支付企业满意度</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39" w:hRule="atLeast"/>
        </w:trPr>
        <w:tc>
          <w:tcPr>
            <w:tcW w:w="0" w:type="auto"/>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总分</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99.00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bl>
    <w:p>
      <w:pPr>
        <w:pStyle w:val="10"/>
      </w:pPr>
    </w:p>
    <w:p>
      <w:pPr>
        <w:pStyle w:val="10"/>
        <w:jc w:val="center"/>
      </w:pPr>
      <w:r>
        <w:rPr>
          <w:rFonts w:hint="eastAsia" w:ascii="宋体" w:hAnsi="Times New Roman" w:eastAsia="宋体" w:cs="宋体"/>
          <w:b/>
          <w:color w:val="000000"/>
          <w:kern w:val="0"/>
          <w:sz w:val="40"/>
          <w:szCs w:val="40"/>
          <w:lang w:val="en-AU" w:eastAsia="zh-CN"/>
        </w:rPr>
        <w:t>项目单位自评表</w:t>
      </w:r>
    </w:p>
    <w:tbl>
      <w:tblPr>
        <w:tblStyle w:val="20"/>
        <w:tblW w:w="5000" w:type="pct"/>
        <w:tblInd w:w="0" w:type="dxa"/>
        <w:shd w:val="clear" w:color="auto" w:fill="auto"/>
        <w:tblLayout w:type="autofit"/>
        <w:tblCellMar>
          <w:top w:w="0" w:type="dxa"/>
          <w:left w:w="108" w:type="dxa"/>
          <w:bottom w:w="0" w:type="dxa"/>
          <w:right w:w="108" w:type="dxa"/>
        </w:tblCellMar>
      </w:tblPr>
      <w:tblGrid>
        <w:gridCol w:w="1128"/>
        <w:gridCol w:w="1319"/>
        <w:gridCol w:w="3621"/>
        <w:gridCol w:w="1846"/>
        <w:gridCol w:w="1845"/>
        <w:gridCol w:w="1152"/>
        <w:gridCol w:w="956"/>
        <w:gridCol w:w="771"/>
        <w:gridCol w:w="1536"/>
      </w:tblGrid>
      <w:tr>
        <w:tblPrEx>
          <w:tblCellMar>
            <w:top w:w="0" w:type="dxa"/>
            <w:left w:w="108" w:type="dxa"/>
            <w:bottom w:w="0" w:type="dxa"/>
            <w:right w:w="108" w:type="dxa"/>
          </w:tblCellMar>
        </w:tblPrEx>
        <w:trPr>
          <w:trHeight w:val="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2020年市管区域立体绿化工程</w:t>
            </w:r>
          </w:p>
        </w:tc>
      </w:tr>
      <w:tr>
        <w:tblPrEx>
          <w:tblCellMar>
            <w:top w:w="0" w:type="dxa"/>
            <w:left w:w="108" w:type="dxa"/>
            <w:bottom w:w="0" w:type="dxa"/>
            <w:right w:w="108" w:type="dxa"/>
          </w:tblCellMar>
        </w:tblPrEx>
        <w:trPr>
          <w:trHeight w:val="379"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主管部门</w:t>
            </w:r>
          </w:p>
        </w:tc>
        <w:tc>
          <w:tcPr>
            <w:tcW w:w="0" w:type="auto"/>
            <w:gridSpan w:val="3"/>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许昌市城市管理局</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实施单位</w:t>
            </w:r>
          </w:p>
        </w:tc>
        <w:tc>
          <w:tcPr>
            <w:tcW w:w="0" w:type="auto"/>
            <w:gridSpan w:val="4"/>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许昌市园林绿化中心</w:t>
            </w:r>
          </w:p>
        </w:tc>
      </w:tr>
      <w:tr>
        <w:tblPrEx>
          <w:tblCellMar>
            <w:top w:w="0" w:type="dxa"/>
            <w:left w:w="108" w:type="dxa"/>
            <w:bottom w:w="0" w:type="dxa"/>
            <w:right w:w="108" w:type="dxa"/>
          </w:tblCellMar>
        </w:tblPrEx>
        <w:trPr>
          <w:trHeight w:val="63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项目资金</w:t>
            </w:r>
            <w:r>
              <w:br w:type="textWrapping"/>
            </w:r>
            <w:r>
              <w:rPr>
                <w:rFonts w:hint="eastAsia" w:ascii="宋体" w:hAnsi="宋体" w:eastAsia="宋体" w:cs="宋体"/>
                <w:kern w:val="0"/>
                <w:sz w:val="24"/>
              </w:rPr>
              <w:t>（万元）</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年初预算数</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全年预算数</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全年执行数</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分值</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执行率</w:t>
            </w:r>
          </w:p>
        </w:tc>
        <w:tc>
          <w:tcPr>
            <w:tcW w:w="0" w:type="auto"/>
            <w:gridSpan w:val="2"/>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得分</w:t>
            </w:r>
          </w:p>
        </w:tc>
      </w:tr>
      <w:tr>
        <w:tblPrEx>
          <w:tblCellMar>
            <w:top w:w="0" w:type="dxa"/>
            <w:left w:w="108" w:type="dxa"/>
            <w:bottom w:w="0" w:type="dxa"/>
            <w:right w:w="108" w:type="dxa"/>
          </w:tblCellMar>
        </w:tblPrEx>
        <w:trPr>
          <w:trHeight w:val="529"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年度资金总额</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sz w:val="24"/>
              </w:rPr>
              <w:t>55.02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sz w:val="24"/>
              </w:rPr>
              <w:t>55.02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gridSpan w:val="2"/>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r>
      <w:tr>
        <w:tblPrEx>
          <w:tblCellMar>
            <w:top w:w="0" w:type="dxa"/>
            <w:left w:w="108" w:type="dxa"/>
            <w:bottom w:w="0" w:type="dxa"/>
            <w:right w:w="108" w:type="dxa"/>
          </w:tblCellMar>
        </w:tblPrEx>
        <w:trPr>
          <w:trHeight w:val="510"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财政拨款</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sz w:val="24"/>
              </w:rPr>
              <w:t>55.02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sz w:val="24"/>
              </w:rPr>
              <w:t>55.02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gridSpan w:val="2"/>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trHeight w:val="529"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财政专户管理资金</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color w:val="000000"/>
                <w:kern w:val="0"/>
                <w:sz w:val="24"/>
              </w:rPr>
              <w:t>0.00%</w:t>
            </w:r>
            <w:r>
              <w:rPr>
                <w:rFonts w:hint="eastAsia" w:ascii="宋体" w:hAnsi="宋体" w:eastAsia="宋体" w:cs="宋体"/>
                <w:kern w:val="0"/>
                <w:sz w:val="24"/>
              </w:rPr>
              <w:t>　</w:t>
            </w:r>
          </w:p>
        </w:tc>
        <w:tc>
          <w:tcPr>
            <w:tcW w:w="0" w:type="auto"/>
            <w:gridSpan w:val="2"/>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trHeight w:val="529"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xml:space="preserve"> 单位资金</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color w:val="000000"/>
                <w:kern w:val="0"/>
                <w:sz w:val="24"/>
              </w:rPr>
              <w:t>0.00%</w:t>
            </w:r>
            <w:r>
              <w:rPr>
                <w:rFonts w:hint="eastAsia" w:ascii="宋体" w:hAnsi="宋体" w:eastAsia="宋体" w:cs="宋体"/>
                <w:kern w:val="0"/>
                <w:sz w:val="24"/>
              </w:rPr>
              <w:t>　</w:t>
            </w:r>
          </w:p>
        </w:tc>
        <w:tc>
          <w:tcPr>
            <w:tcW w:w="0" w:type="auto"/>
            <w:gridSpan w:val="2"/>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trHeight w:val="480"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资金管理情况</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情况说明</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分值（20）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存在问题和改进措施</w:t>
            </w:r>
          </w:p>
        </w:tc>
      </w:tr>
      <w:tr>
        <w:tblPrEx>
          <w:tblCellMar>
            <w:top w:w="0" w:type="dxa"/>
            <w:left w:w="108" w:type="dxa"/>
            <w:bottom w:w="0" w:type="dxa"/>
            <w:right w:w="108" w:type="dxa"/>
          </w:tblCellMar>
        </w:tblPrEx>
        <w:trPr>
          <w:trHeight w:val="64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安排科学性</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按照部门预算编制和资金管理办法的要求，进行项目论证、评审、立项等必要程序。</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91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拨付合规性</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严格按照国库集中支付制度有关规定支付资金，未出现违规将资金从国库转入财政专户或支付到预算单位实有资金账户等问题。</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793"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使用规范性</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严格按照下达预算的科目和项目执行，未出现截留、挤占、挪用和擅自调整等问题。</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58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预算绩效管理情况</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将资金纳入绩效管理，设置绩效目标，开展绩效监控。</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529" w:hRule="atLeast"/>
        </w:trPr>
        <w:tc>
          <w:tcPr>
            <w:tcW w:w="0" w:type="auto"/>
            <w:vMerge w:val="restart"/>
            <w:tcBorders>
              <w:top w:val="nil"/>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年度总体目标</w:t>
            </w:r>
          </w:p>
        </w:tc>
        <w:tc>
          <w:tcPr>
            <w:tcW w:w="0" w:type="auto"/>
            <w:gridSpan w:val="3"/>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预期目标</w:t>
            </w:r>
          </w:p>
        </w:tc>
        <w:tc>
          <w:tcPr>
            <w:tcW w:w="0" w:type="auto"/>
            <w:gridSpan w:val="5"/>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实际完成情况</w:t>
            </w:r>
          </w:p>
        </w:tc>
      </w:tr>
      <w:tr>
        <w:tblPrEx>
          <w:tblCellMar>
            <w:top w:w="0" w:type="dxa"/>
            <w:left w:w="108" w:type="dxa"/>
            <w:bottom w:w="0" w:type="dxa"/>
            <w:right w:w="108" w:type="dxa"/>
          </w:tblCellMar>
        </w:tblPrEx>
        <w:trPr>
          <w:trHeight w:val="1122" w:hRule="atLeast"/>
        </w:trPr>
        <w:tc>
          <w:tcPr>
            <w:vMerge w:val="continue"/>
            <w:tcBorders>
              <w:top w:val="nil"/>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3"/>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kern w:val="0"/>
                <w:sz w:val="24"/>
              </w:rPr>
            </w:pPr>
            <w:r>
              <w:rPr>
                <w:rFonts w:hint="eastAsia" w:ascii="宋体" w:hAnsi="宋体" w:eastAsia="宋体" w:cs="宋体"/>
                <w:kern w:val="0"/>
                <w:sz w:val="24"/>
              </w:rPr>
              <w:t>目标1：增加绿量，美化环境；</w:t>
            </w:r>
          </w:p>
          <w:p>
            <w:pPr>
              <w:pStyle w:val="16"/>
              <w:widowControl/>
              <w:jc w:val="left"/>
              <w:textAlignment w:val="center"/>
              <w:rPr>
                <w:rFonts w:ascii="宋体" w:hAnsi="宋体" w:eastAsia="宋体" w:cs="宋体"/>
                <w:sz w:val="24"/>
              </w:rPr>
            </w:pPr>
            <w:r>
              <w:rPr>
                <w:rFonts w:hint="eastAsia" w:ascii="宋体" w:hAnsi="宋体" w:eastAsia="宋体" w:cs="宋体"/>
                <w:kern w:val="0"/>
                <w:sz w:val="24"/>
              </w:rPr>
              <w:t>目标2：完成市管区域立体绿化项目工程尾款支付。</w:t>
            </w:r>
          </w:p>
        </w:tc>
        <w:tc>
          <w:tcPr>
            <w:tcW w:w="0" w:type="auto"/>
            <w:gridSpan w:val="5"/>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增加绿量，美化环境；完成市管区域立体绿化项目工程尾款支付。</w:t>
            </w:r>
          </w:p>
        </w:tc>
      </w:tr>
      <w:tr>
        <w:tblPrEx>
          <w:tblCellMar>
            <w:top w:w="0" w:type="dxa"/>
            <w:left w:w="108" w:type="dxa"/>
            <w:bottom w:w="0" w:type="dxa"/>
            <w:right w:w="108" w:type="dxa"/>
          </w:tblCellMar>
        </w:tblPrEx>
        <w:trPr>
          <w:trHeight w:val="660" w:hRule="atLeast"/>
        </w:trPr>
        <w:tc>
          <w:tcPr>
            <w:tcW w:w="0" w:type="auto"/>
            <w:gridSpan w:val="9"/>
            <w:tcBorders>
              <w:top w:val="nil"/>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绩效指标</w:t>
            </w:r>
          </w:p>
        </w:tc>
      </w:tr>
      <w:tr>
        <w:tblPrEx>
          <w:tblCellMar>
            <w:top w:w="0" w:type="dxa"/>
            <w:left w:w="108" w:type="dxa"/>
            <w:bottom w:w="0" w:type="dxa"/>
            <w:right w:w="108" w:type="dxa"/>
          </w:tblCellMar>
        </w:tblPrEx>
        <w:trPr>
          <w:trHeight w:val="660" w:hRule="atLeast"/>
        </w:trPr>
        <w:tc>
          <w:tcPr>
            <w:tcW w:w="0" w:type="auto"/>
            <w:tcBorders>
              <w:top w:val="nil"/>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一级指标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二级指标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三级指标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年度指标值</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实际完成值</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分值</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得分</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偏差度</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偏差原因分析及改进措施</w:t>
            </w:r>
          </w:p>
        </w:tc>
      </w:tr>
      <w:tr>
        <w:tblPrEx>
          <w:tblCellMar>
            <w:top w:w="0" w:type="dxa"/>
            <w:left w:w="108" w:type="dxa"/>
            <w:bottom w:w="0" w:type="dxa"/>
            <w:right w:w="108" w:type="dxa"/>
          </w:tblCellMar>
        </w:tblPrEx>
        <w:trPr>
          <w:trHeight w:val="660" w:hRule="atLeast"/>
        </w:trPr>
        <w:tc>
          <w:tcPr>
            <w:tcW w:w="0" w:type="auto"/>
            <w:tcBorders>
              <w:top w:val="nil"/>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指标1：市管区域立体绿化工程尾款</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55.02万元</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55.02万元</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10" w:hRule="atLeast"/>
        </w:trPr>
        <w:tc>
          <w:tcPr>
            <w:tcW w:w="0" w:type="auto"/>
            <w:vMerge w:val="restart"/>
            <w:tcBorders>
              <w:top w:val="nil"/>
              <w:left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产出指标</w:t>
            </w:r>
            <w:r>
              <w:br w:type="textWrapping"/>
            </w:r>
          </w:p>
        </w:tc>
        <w:tc>
          <w:tcPr>
            <w:tcW w:w="0" w:type="auto"/>
            <w:tcBorders>
              <w:top w:val="nil"/>
              <w:left w:val="single" w:color="auto" w:sz="4" w:space="0"/>
              <w:bottom w:val="nil"/>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指标1：实施立体绿化地方数量</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9处</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9处</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76" w:hRule="atLeast"/>
        </w:trPr>
        <w:tc>
          <w:tcPr>
            <w:vMerge w:val="continue"/>
            <w:tcBorders>
              <w:left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single" w:color="auto" w:sz="4" w:space="0"/>
              <w:left w:val="nil"/>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指标1：工程安全事故发生次数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kern w:val="0"/>
                <w:sz w:val="24"/>
              </w:rPr>
              <w:t>0次</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kern w:val="0"/>
                <w:sz w:val="24"/>
              </w:rPr>
              <w:t>0次</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14" w:hRule="atLeast"/>
        </w:trPr>
        <w:tc>
          <w:tcPr>
            <w:vMerge w:val="continue"/>
            <w:tcBorders>
              <w:left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指标2：工程验收合格率指标</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24" w:hRule="atLeast"/>
        </w:trPr>
        <w:tc>
          <w:tcPr>
            <w:vMerge w:val="continue"/>
            <w:tcBorders>
              <w:left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指标1：工程完成及时率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　</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42" w:hRule="atLeast"/>
        </w:trPr>
        <w:tc>
          <w:tcPr>
            <w:vMerge w:val="continue"/>
            <w:tcBorders>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nil"/>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指标2：尾款支付完成时间</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2023年年底前</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2023年年底前</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tcW w:w="0" w:type="auto"/>
            <w:vMerge w:val="restart"/>
            <w:tcBorders>
              <w:top w:val="nil"/>
              <w:left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vMerge w:val="restart"/>
            <w:tcBorders>
              <w:top w:val="nil"/>
              <w:left w:val="nil"/>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指标1：改善生态环境</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改善</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改善</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6</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6</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vMerge w:val="continue"/>
            <w:tcBorders>
              <w:left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c>
          <w:tcPr>
            <w:vMerge w:val="continue"/>
            <w:tcBorders>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 xml:space="preserve">指标2：提升城市品味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6</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6</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705" w:hRule="atLeast"/>
        </w:trPr>
        <w:tc>
          <w:tcPr>
            <w:vMerge w:val="continue"/>
            <w:tcBorders>
              <w:left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nil"/>
              <w:left w:val="single" w:color="auto" w:sz="4" w:space="0"/>
              <w:bottom w:val="nil"/>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指标1：增加绿量</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6</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6</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sz w:val="24"/>
              </w:rPr>
              <w:t>0.00</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vMerge w:val="continue"/>
            <w:tcBorders>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nil"/>
              <w:left w:val="single" w:color="auto" w:sz="4" w:space="0"/>
              <w:bottom w:val="nil"/>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指标2：美化环境</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有效改善</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有效改善</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7</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7</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tcW w:w="0" w:type="auto"/>
            <w:vMerge w:val="restart"/>
            <w:tcBorders>
              <w:top w:val="nil"/>
              <w:left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满意度指标</w:t>
            </w:r>
            <w:r>
              <w:br w:type="textWrapping"/>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指标1：市民满意度</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60" w:hRule="atLeast"/>
        </w:trPr>
        <w:tc>
          <w:tcPr>
            <w:vMerge w:val="continue"/>
            <w:tcBorders>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指标2：支付企业满意度</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39" w:hRule="atLeast"/>
        </w:trPr>
        <w:tc>
          <w:tcPr>
            <w:tcW w:w="0" w:type="auto"/>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总分</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kern w:val="0"/>
                <w:sz w:val="24"/>
              </w:rPr>
            </w:pPr>
          </w:p>
        </w:tc>
      </w:tr>
    </w:tbl>
    <w:p>
      <w:pPr>
        <w:pStyle w:val="10"/>
      </w:pPr>
    </w:p>
    <w:p>
      <w:pPr>
        <w:pStyle w:val="10"/>
        <w:jc w:val="center"/>
      </w:pPr>
      <w:r>
        <w:rPr>
          <w:rFonts w:hint="eastAsia" w:ascii="宋体" w:hAnsi="Times New Roman" w:eastAsia="宋体" w:cs="宋体"/>
          <w:b/>
          <w:color w:val="000000"/>
          <w:kern w:val="0"/>
          <w:sz w:val="40"/>
          <w:szCs w:val="40"/>
          <w:lang w:val="en-AU" w:eastAsia="zh-CN"/>
        </w:rPr>
        <w:t>项目单位自评表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6"/>
        <w:gridCol w:w="1036"/>
        <w:gridCol w:w="3337"/>
        <w:gridCol w:w="1179"/>
        <w:gridCol w:w="1388"/>
        <w:gridCol w:w="1221"/>
        <w:gridCol w:w="1051"/>
        <w:gridCol w:w="996"/>
        <w:gridCol w:w="2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项目名称</w:t>
            </w:r>
          </w:p>
        </w:tc>
        <w:tc>
          <w:tcPr>
            <w:tcW w:w="0" w:type="auto"/>
            <w:gridSpan w:val="8"/>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2021年毓秀路综合整治提升工程（园林绿化）项目20%进度款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主管部门</w:t>
            </w:r>
          </w:p>
        </w:tc>
        <w:tc>
          <w:tcPr>
            <w:tcW w:w="0" w:type="auto"/>
            <w:gridSpan w:val="3"/>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许昌市城市管理局</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实施单位</w:t>
            </w:r>
          </w:p>
        </w:tc>
        <w:tc>
          <w:tcPr>
            <w:tcW w:w="0" w:type="auto"/>
            <w:gridSpan w:val="4"/>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许昌市园林绿化中心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0" w:type="auto"/>
            <w:vMerge w:val="restart"/>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项目资金</w:t>
            </w:r>
            <w:r>
              <w:br w:type="textWrapping"/>
            </w:r>
            <w:r>
              <w:rPr>
                <w:rFonts w:hint="eastAsia" w:ascii="宋体" w:hAnsi="宋体" w:eastAsia="宋体" w:cs="宋体"/>
                <w:kern w:val="0"/>
                <w:sz w:val="24"/>
              </w:rPr>
              <w:t>（万元）</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年初预算数</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全年预算数</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全年执行数</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分值</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执行率</w:t>
            </w:r>
          </w:p>
        </w:tc>
        <w:tc>
          <w:tcPr>
            <w:tcW w:w="0" w:type="auto"/>
            <w:gridSpan w:val="2"/>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vMerge w:val="continue"/>
            <w:shd w:val="clear" w:color="auto" w:fill="auto"/>
            <w:noWrap w:val="0"/>
            <w:vAlign w:val="center"/>
          </w:tcPr>
          <w:p>
            <w:pPr>
              <w:pStyle w:val="16"/>
              <w:jc w:val="center"/>
              <w:rPr>
                <w:rFonts w:ascii="宋体" w:hAnsi="宋体" w:eastAsia="宋体" w:cs="宋体"/>
                <w:sz w:val="24"/>
              </w:rPr>
            </w:pP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年度资金总额</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sz w:val="24"/>
              </w:rPr>
              <w:t>51.22</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sz w:val="24"/>
              </w:rPr>
              <w:t>51.22</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gridSpan w:val="2"/>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vMerge w:val="continue"/>
            <w:shd w:val="clear" w:color="auto" w:fill="auto"/>
            <w:noWrap w:val="0"/>
            <w:vAlign w:val="center"/>
          </w:tcPr>
          <w:p>
            <w:pPr>
              <w:pStyle w:val="16"/>
              <w:jc w:val="center"/>
              <w:rPr>
                <w:rFonts w:ascii="宋体" w:hAnsi="宋体" w:eastAsia="宋体" w:cs="宋体"/>
                <w:sz w:val="24"/>
              </w:rPr>
            </w:pP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财政拨款</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sz w:val="24"/>
              </w:rPr>
              <w:t>51.22</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sz w:val="24"/>
              </w:rPr>
              <w:t>51.22</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gridSpan w:val="2"/>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vMerge w:val="continue"/>
            <w:shd w:val="clear" w:color="auto" w:fill="auto"/>
            <w:noWrap w:val="0"/>
            <w:vAlign w:val="center"/>
          </w:tcPr>
          <w:p>
            <w:pPr>
              <w:pStyle w:val="16"/>
              <w:jc w:val="center"/>
              <w:rPr>
                <w:rFonts w:ascii="宋体" w:hAnsi="宋体" w:eastAsia="宋体" w:cs="宋体"/>
                <w:sz w:val="24"/>
              </w:rPr>
            </w:pP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财政专户管理资金</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color w:val="000000"/>
                <w:kern w:val="0"/>
                <w:sz w:val="24"/>
              </w:rPr>
              <w:t>0.00%</w:t>
            </w:r>
            <w:r>
              <w:rPr>
                <w:rFonts w:hint="eastAsia" w:ascii="宋体" w:hAnsi="宋体" w:eastAsia="宋体" w:cs="宋体"/>
                <w:kern w:val="0"/>
                <w:sz w:val="24"/>
              </w:rPr>
              <w:t>　</w:t>
            </w:r>
          </w:p>
        </w:tc>
        <w:tc>
          <w:tcPr>
            <w:tcW w:w="0" w:type="auto"/>
            <w:gridSpan w:val="2"/>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vMerge w:val="continue"/>
            <w:shd w:val="clear" w:color="auto" w:fill="auto"/>
            <w:noWrap w:val="0"/>
            <w:vAlign w:val="center"/>
          </w:tcPr>
          <w:p>
            <w:pPr>
              <w:pStyle w:val="16"/>
              <w:jc w:val="center"/>
              <w:rPr>
                <w:rFonts w:ascii="宋体" w:hAnsi="宋体" w:eastAsia="宋体" w:cs="宋体"/>
                <w:sz w:val="24"/>
              </w:rPr>
            </w:pP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xml:space="preserve"> 单位资金</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color w:val="000000"/>
                <w:kern w:val="0"/>
                <w:sz w:val="24"/>
              </w:rPr>
              <w:t>0.00%</w:t>
            </w:r>
            <w:r>
              <w:rPr>
                <w:rFonts w:hint="eastAsia" w:ascii="宋体" w:hAnsi="宋体" w:eastAsia="宋体" w:cs="宋体"/>
                <w:kern w:val="0"/>
                <w:sz w:val="24"/>
              </w:rPr>
              <w:t>　</w:t>
            </w:r>
          </w:p>
        </w:tc>
        <w:tc>
          <w:tcPr>
            <w:tcW w:w="0" w:type="auto"/>
            <w:gridSpan w:val="2"/>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vMerge w:val="restart"/>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资金管理情况</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gridSpan w:val="3"/>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情况说明</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分值（20）</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得分</w:t>
            </w:r>
          </w:p>
        </w:tc>
        <w:tc>
          <w:tcPr>
            <w:tcW w:w="0" w:type="auto"/>
            <w:gridSpan w:val="2"/>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存在问题和改进措施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vMerge w:val="continue"/>
            <w:shd w:val="clear" w:color="auto" w:fill="auto"/>
            <w:noWrap w:val="0"/>
            <w:vAlign w:val="center"/>
          </w:tcPr>
          <w:p>
            <w:pPr>
              <w:pStyle w:val="16"/>
              <w:jc w:val="center"/>
              <w:rPr>
                <w:rFonts w:ascii="宋体" w:hAnsi="宋体" w:eastAsia="宋体" w:cs="宋体"/>
                <w:sz w:val="24"/>
              </w:rPr>
            </w:pP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安排科学性</w:t>
            </w:r>
          </w:p>
        </w:tc>
        <w:tc>
          <w:tcPr>
            <w:tcW w:w="0" w:type="auto"/>
            <w:gridSpan w:val="3"/>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按照部门预算编制和资金管理办法的要求，进行项目论证、评审、立项等必要程序。</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vMerge w:val="continue"/>
            <w:shd w:val="clear" w:color="auto" w:fill="auto"/>
            <w:noWrap w:val="0"/>
            <w:vAlign w:val="center"/>
          </w:tcPr>
          <w:p>
            <w:pPr>
              <w:pStyle w:val="16"/>
              <w:jc w:val="center"/>
              <w:rPr>
                <w:rFonts w:ascii="宋体" w:hAnsi="宋体" w:eastAsia="宋体" w:cs="宋体"/>
                <w:sz w:val="24"/>
              </w:rPr>
            </w:pP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拨付合规性</w:t>
            </w:r>
          </w:p>
        </w:tc>
        <w:tc>
          <w:tcPr>
            <w:tcW w:w="0" w:type="auto"/>
            <w:gridSpan w:val="3"/>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严格按照国库集中支付制度有关规定支付资金，未出现违规将资金从国库转入财政专户或支付到预算单位实有资金账户等问题。</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vMerge w:val="continue"/>
            <w:shd w:val="clear" w:color="auto" w:fill="auto"/>
            <w:noWrap w:val="0"/>
            <w:vAlign w:val="center"/>
          </w:tcPr>
          <w:p>
            <w:pPr>
              <w:pStyle w:val="16"/>
              <w:jc w:val="center"/>
              <w:rPr>
                <w:rFonts w:ascii="宋体" w:hAnsi="宋体" w:eastAsia="宋体" w:cs="宋体"/>
                <w:sz w:val="24"/>
              </w:rPr>
            </w:pP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使用规范性</w:t>
            </w:r>
          </w:p>
        </w:tc>
        <w:tc>
          <w:tcPr>
            <w:tcW w:w="0" w:type="auto"/>
            <w:gridSpan w:val="3"/>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严格按照下达预算的科目和项目执行，未出现截留、挤占、挪用和擅自调整等问题。</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vMerge w:val="continue"/>
            <w:shd w:val="clear" w:color="auto" w:fill="auto"/>
            <w:noWrap w:val="0"/>
            <w:vAlign w:val="center"/>
          </w:tcPr>
          <w:p>
            <w:pPr>
              <w:pStyle w:val="16"/>
              <w:jc w:val="center"/>
              <w:rPr>
                <w:rFonts w:ascii="宋体" w:hAnsi="宋体" w:eastAsia="宋体" w:cs="宋体"/>
                <w:sz w:val="24"/>
              </w:rPr>
            </w:pP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预算绩效管理情况</w:t>
            </w:r>
          </w:p>
        </w:tc>
        <w:tc>
          <w:tcPr>
            <w:tcW w:w="0" w:type="auto"/>
            <w:gridSpan w:val="3"/>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将资金纳入绩效管理，设置绩效目标，开展绩效监控。</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0" w:type="auto"/>
            <w:vMerge w:val="restart"/>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年度总体目标</w:t>
            </w:r>
          </w:p>
        </w:tc>
        <w:tc>
          <w:tcPr>
            <w:tcW w:w="0" w:type="auto"/>
            <w:gridSpan w:val="3"/>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预期目标</w:t>
            </w:r>
          </w:p>
        </w:tc>
        <w:tc>
          <w:tcPr>
            <w:tcW w:w="0" w:type="auto"/>
            <w:gridSpan w:val="5"/>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vMerge w:val="continue"/>
            <w:shd w:val="clear" w:color="auto" w:fill="auto"/>
            <w:noWrap w:val="0"/>
            <w:vAlign w:val="center"/>
          </w:tcPr>
          <w:p>
            <w:pPr>
              <w:pStyle w:val="16"/>
              <w:jc w:val="center"/>
              <w:rPr>
                <w:rFonts w:ascii="宋体" w:hAnsi="宋体" w:eastAsia="宋体" w:cs="宋体"/>
                <w:sz w:val="24"/>
              </w:rPr>
            </w:pPr>
          </w:p>
        </w:tc>
        <w:tc>
          <w:tcPr>
            <w:tcW w:w="0" w:type="auto"/>
            <w:gridSpan w:val="3"/>
            <w:shd w:val="clear" w:color="auto" w:fill="auto"/>
            <w:noWrap w:val="0"/>
            <w:vAlign w:val="center"/>
          </w:tcPr>
          <w:p>
            <w:pPr>
              <w:pStyle w:val="16"/>
              <w:widowControl/>
              <w:jc w:val="left"/>
              <w:textAlignment w:val="center"/>
              <w:rPr>
                <w:rFonts w:ascii="宋体" w:hAnsi="宋体" w:eastAsia="宋体" w:cs="宋体"/>
                <w:kern w:val="0"/>
                <w:sz w:val="24"/>
              </w:rPr>
            </w:pPr>
            <w:r>
              <w:rPr>
                <w:rFonts w:hint="eastAsia" w:ascii="宋体" w:hAnsi="宋体" w:eastAsia="宋体" w:cs="宋体"/>
                <w:kern w:val="0"/>
                <w:sz w:val="24"/>
              </w:rPr>
              <w:t>目标1：通过改造，实现道路面貌有大变化，新提升，努力打造为老城区的示范街；</w:t>
            </w:r>
          </w:p>
          <w:p>
            <w:pPr>
              <w:pStyle w:val="16"/>
              <w:widowControl/>
              <w:jc w:val="left"/>
              <w:textAlignment w:val="center"/>
              <w:rPr>
                <w:rFonts w:ascii="宋体" w:hAnsi="宋体" w:eastAsia="宋体" w:cs="宋体"/>
                <w:sz w:val="24"/>
              </w:rPr>
            </w:pPr>
            <w:r>
              <w:rPr>
                <w:rFonts w:hint="eastAsia" w:ascii="宋体" w:hAnsi="宋体" w:eastAsia="宋体" w:cs="宋体"/>
                <w:kern w:val="0"/>
                <w:sz w:val="24"/>
              </w:rPr>
              <w:t>目标2：完成2021年毓秀路综合整治提升工程（园林绿化）项目进度款支付。</w:t>
            </w:r>
          </w:p>
        </w:tc>
        <w:tc>
          <w:tcPr>
            <w:tcW w:w="0" w:type="auto"/>
            <w:gridSpan w:val="5"/>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完成改造，实现道路面貌有大变化，新提升，努力打造为老城区的示范街；完成2021年毓秀路综合整治提升工程（园林绿化）项目进度款支付。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gridSpan w:val="9"/>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一级指标</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二级指标</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三级指标</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年度指标值</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实际完成值</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分值</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得分</w:t>
            </w:r>
          </w:p>
        </w:tc>
        <w:tc>
          <w:tcPr>
            <w:tcW w:w="0" w:type="auto"/>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偏差度</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指标1：2021年毓秀路综合整治提升工程（园林绿化）项目20%进度款</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51.22万元</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51.22万元</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restart"/>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产出指标</w:t>
            </w:r>
            <w:r>
              <w:br w:type="textWrapping"/>
            </w:r>
          </w:p>
        </w:tc>
        <w:tc>
          <w:tcPr>
            <w:tcW w:w="0" w:type="auto"/>
            <w:vMerge w:val="restart"/>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shd w:val="clear" w:color="auto" w:fill="auto"/>
            <w:noWrap w:val="0"/>
            <w:vAlign w:val="center"/>
          </w:tcPr>
          <w:p>
            <w:pPr>
              <w:pStyle w:val="16"/>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指标1：栽植法桐数量</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292棵</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292棵</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vMerge w:val="continue"/>
            <w:shd w:val="clear" w:color="auto" w:fill="auto"/>
            <w:noWrap w:val="0"/>
            <w:vAlign w:val="center"/>
          </w:tcPr>
          <w:p>
            <w:pPr>
              <w:pStyle w:val="16"/>
              <w:widowControl/>
              <w:jc w:val="center"/>
              <w:textAlignment w:val="center"/>
              <w:rPr>
                <w:rFonts w:ascii="宋体" w:hAnsi="宋体" w:eastAsia="宋体" w:cs="宋体"/>
                <w:kern w:val="0"/>
                <w:sz w:val="24"/>
              </w:rPr>
            </w:pPr>
          </w:p>
        </w:tc>
        <w:tc>
          <w:tcPr>
            <w:vMerge w:val="continue"/>
            <w:shd w:val="clear" w:color="auto" w:fill="auto"/>
            <w:noWrap w:val="0"/>
            <w:vAlign w:val="center"/>
          </w:tcPr>
          <w:p>
            <w:pPr>
              <w:pStyle w:val="16"/>
              <w:widowControl/>
              <w:jc w:val="center"/>
              <w:textAlignment w:val="center"/>
              <w:rPr>
                <w:rFonts w:ascii="宋体" w:hAnsi="宋体" w:eastAsia="宋体" w:cs="宋体"/>
                <w:kern w:val="0"/>
                <w:sz w:val="24"/>
              </w:rPr>
            </w:pPr>
          </w:p>
        </w:tc>
        <w:tc>
          <w:tcPr>
            <w:tcW w:w="0" w:type="auto"/>
            <w:shd w:val="clear" w:color="auto" w:fill="auto"/>
            <w:noWrap w:val="0"/>
            <w:vAlign w:val="center"/>
          </w:tcPr>
          <w:p>
            <w:pPr>
              <w:pStyle w:val="16"/>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指标2:  栽植红叶石楠数量</w:t>
            </w:r>
          </w:p>
        </w:tc>
        <w:tc>
          <w:tcPr>
            <w:tcW w:w="0" w:type="auto"/>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3643平方米</w:t>
            </w:r>
          </w:p>
        </w:tc>
        <w:tc>
          <w:tcPr>
            <w:tcW w:w="0" w:type="auto"/>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3643平方米</w:t>
            </w:r>
          </w:p>
        </w:tc>
        <w:tc>
          <w:tcPr>
            <w:tcW w:w="0" w:type="auto"/>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5</w:t>
            </w:r>
          </w:p>
        </w:tc>
        <w:tc>
          <w:tcPr>
            <w:tcW w:w="0" w:type="auto"/>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5</w:t>
            </w:r>
          </w:p>
        </w:tc>
        <w:tc>
          <w:tcPr>
            <w:tcW w:w="0" w:type="auto"/>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vMerge w:val="continue"/>
            <w:shd w:val="clear" w:color="auto" w:fill="auto"/>
            <w:noWrap w:val="0"/>
            <w:vAlign w:val="center"/>
          </w:tcPr>
          <w:p>
            <w:pPr>
              <w:pStyle w:val="16"/>
              <w:jc w:val="center"/>
              <w:rPr>
                <w:rFonts w:ascii="宋体" w:hAnsi="宋体" w:eastAsia="宋体" w:cs="宋体"/>
                <w:sz w:val="24"/>
              </w:rPr>
            </w:pPr>
          </w:p>
        </w:tc>
        <w:tc>
          <w:tcPr>
            <w:tcW w:w="0" w:type="auto"/>
            <w:vMerge w:val="restart"/>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指标1：工程安全事故发生次数</w:t>
            </w:r>
          </w:p>
        </w:tc>
        <w:tc>
          <w:tcPr>
            <w:tcW w:w="0" w:type="auto"/>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0次</w:t>
            </w:r>
          </w:p>
        </w:tc>
        <w:tc>
          <w:tcPr>
            <w:tcW w:w="0" w:type="auto"/>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0次</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vMerge w:val="continue"/>
            <w:shd w:val="clear" w:color="auto" w:fill="auto"/>
            <w:noWrap w:val="0"/>
            <w:vAlign w:val="center"/>
          </w:tcPr>
          <w:p>
            <w:pPr>
              <w:pStyle w:val="16"/>
              <w:jc w:val="center"/>
              <w:rPr>
                <w:rFonts w:ascii="宋体" w:hAnsi="宋体" w:eastAsia="宋体" w:cs="宋体"/>
                <w:sz w:val="24"/>
              </w:rPr>
            </w:pPr>
          </w:p>
        </w:tc>
        <w:tc>
          <w:tcPr>
            <w:vMerge w:val="continue"/>
            <w:shd w:val="clear" w:color="auto" w:fill="auto"/>
            <w:noWrap w:val="0"/>
            <w:vAlign w:val="center"/>
          </w:tcPr>
          <w:p>
            <w:pPr>
              <w:pStyle w:val="16"/>
              <w:widowControl/>
              <w:jc w:val="center"/>
              <w:textAlignment w:val="center"/>
              <w:rPr>
                <w:rFonts w:ascii="宋体" w:hAnsi="宋体" w:eastAsia="宋体" w:cs="宋体"/>
                <w:kern w:val="0"/>
                <w:sz w:val="24"/>
              </w:rPr>
            </w:pPr>
          </w:p>
        </w:tc>
        <w:tc>
          <w:tcPr>
            <w:tcW w:w="0" w:type="auto"/>
            <w:shd w:val="clear" w:color="auto" w:fill="auto"/>
            <w:noWrap w:val="0"/>
            <w:vAlign w:val="center"/>
          </w:tcPr>
          <w:p>
            <w:pPr>
              <w:pStyle w:val="16"/>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指标2：工程验收合格率</w:t>
            </w:r>
          </w:p>
        </w:tc>
        <w:tc>
          <w:tcPr>
            <w:tcW w:w="0" w:type="auto"/>
            <w:shd w:val="clear" w:color="auto" w:fill="auto"/>
            <w:noWrap/>
            <w:vAlign w:val="center"/>
          </w:tcPr>
          <w:p>
            <w:pPr>
              <w:pStyle w:val="16"/>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100%</w:t>
            </w:r>
          </w:p>
        </w:tc>
        <w:tc>
          <w:tcPr>
            <w:tcW w:w="0" w:type="auto"/>
            <w:shd w:val="clear" w:color="auto" w:fill="auto"/>
            <w:noWrap/>
            <w:vAlign w:val="center"/>
          </w:tcPr>
          <w:p>
            <w:pPr>
              <w:pStyle w:val="16"/>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100%</w:t>
            </w:r>
          </w:p>
        </w:tc>
        <w:tc>
          <w:tcPr>
            <w:tcW w:w="0" w:type="auto"/>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5</w:t>
            </w:r>
          </w:p>
        </w:tc>
        <w:tc>
          <w:tcPr>
            <w:tcW w:w="0" w:type="auto"/>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5</w:t>
            </w:r>
          </w:p>
        </w:tc>
        <w:tc>
          <w:tcPr>
            <w:tcW w:w="0" w:type="auto"/>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vMerge w:val="continue"/>
            <w:shd w:val="clear" w:color="auto" w:fill="auto"/>
            <w:noWrap w:val="0"/>
            <w:vAlign w:val="center"/>
          </w:tcPr>
          <w:p>
            <w:pPr>
              <w:pStyle w:val="16"/>
              <w:jc w:val="center"/>
              <w:rPr>
                <w:rFonts w:ascii="宋体" w:hAnsi="宋体" w:eastAsia="宋体" w:cs="宋体"/>
                <w:sz w:val="24"/>
              </w:rPr>
            </w:pPr>
          </w:p>
        </w:tc>
        <w:tc>
          <w:tcPr>
            <w:tcW w:w="0" w:type="auto"/>
            <w:vMerge w:val="restart"/>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指标1：工程完成及时率</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　</w:t>
            </w:r>
          </w:p>
        </w:tc>
        <w:tc>
          <w:tcPr>
            <w:tcW w:w="0" w:type="auto"/>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vMerge w:val="continue"/>
            <w:shd w:val="clear" w:color="auto" w:fill="auto"/>
            <w:noWrap w:val="0"/>
            <w:vAlign w:val="center"/>
          </w:tcPr>
          <w:p>
            <w:pPr>
              <w:pStyle w:val="16"/>
              <w:jc w:val="center"/>
              <w:rPr>
                <w:rFonts w:ascii="宋体" w:hAnsi="宋体" w:eastAsia="宋体" w:cs="宋体"/>
                <w:sz w:val="24"/>
              </w:rPr>
            </w:pPr>
          </w:p>
        </w:tc>
        <w:tc>
          <w:tcPr>
            <w:vMerge w:val="continue"/>
            <w:shd w:val="clear" w:color="auto" w:fill="auto"/>
            <w:noWrap w:val="0"/>
            <w:vAlign w:val="center"/>
          </w:tcPr>
          <w:p>
            <w:pPr>
              <w:pStyle w:val="16"/>
              <w:jc w:val="center"/>
              <w:rPr>
                <w:rFonts w:ascii="宋体" w:hAnsi="宋体" w:eastAsia="宋体" w:cs="宋体"/>
                <w:sz w:val="24"/>
              </w:rPr>
            </w:pPr>
          </w:p>
        </w:tc>
        <w:tc>
          <w:tcPr>
            <w:tcW w:w="0" w:type="auto"/>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指标2：20%进度款支付完成时间</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2023年年底前</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2023年年底前</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0" w:type="auto"/>
            <w:vMerge w:val="restart"/>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vMerge w:val="restart"/>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指标1：增强市民爱绿护绿意识</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15</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15</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shd w:val="clear" w:color="auto" w:fill="auto"/>
            <w:noWrap w:val="0"/>
            <w:vAlign w:val="center"/>
          </w:tcPr>
          <w:p>
            <w:pPr>
              <w:pStyle w:val="16"/>
              <w:widowControl/>
              <w:jc w:val="center"/>
              <w:textAlignment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vMerge w:val="continue"/>
            <w:shd w:val="clear" w:color="auto" w:fill="auto"/>
            <w:noWrap w:val="0"/>
            <w:vAlign w:val="center"/>
          </w:tcPr>
          <w:p>
            <w:pPr>
              <w:pStyle w:val="16"/>
              <w:jc w:val="center"/>
              <w:rPr>
                <w:rFonts w:ascii="宋体" w:hAnsi="宋体" w:eastAsia="宋体" w:cs="宋体"/>
                <w:sz w:val="24"/>
              </w:rPr>
            </w:pP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指标1：提高生态环境质量</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sz w:val="24"/>
              </w:rPr>
              <w:t>-10.00</w:t>
            </w:r>
          </w:p>
        </w:tc>
        <w:tc>
          <w:tcPr>
            <w:tcW w:w="0" w:type="auto"/>
            <w:shd w:val="clear" w:color="auto" w:fill="auto"/>
            <w:noWrap w:val="0"/>
            <w:vAlign w:val="center"/>
          </w:tcPr>
          <w:p>
            <w:pPr>
              <w:pStyle w:val="16"/>
              <w:widowControl/>
              <w:jc w:val="left"/>
              <w:textAlignment w:val="center"/>
              <w:rPr>
                <w:rFonts w:ascii="宋体" w:hAnsi="宋体" w:eastAsia="宋体" w:cs="宋体"/>
                <w:kern w:val="0"/>
                <w:sz w:val="24"/>
              </w:rPr>
            </w:pPr>
            <w:r>
              <w:rPr>
                <w:rFonts w:hint="eastAsia" w:ascii="宋体" w:hAnsi="宋体" w:eastAsia="宋体" w:cs="宋体"/>
                <w:kern w:val="0"/>
                <w:sz w:val="24"/>
              </w:rPr>
              <w:t>养护期内清绿地垃圾时存在不及时情况。持续加强督导。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vMerge w:val="restart"/>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满意度指标</w:t>
            </w:r>
            <w:r>
              <w:br w:type="textWrapping"/>
            </w:r>
          </w:p>
        </w:tc>
        <w:tc>
          <w:tcPr>
            <w:tcW w:w="0" w:type="auto"/>
            <w:vMerge w:val="restart"/>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指标1：市民满意度</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vMerge w:val="continue"/>
            <w:shd w:val="clear" w:color="auto" w:fill="auto"/>
            <w:noWrap w:val="0"/>
            <w:vAlign w:val="center"/>
          </w:tcPr>
          <w:p>
            <w:pPr>
              <w:pStyle w:val="16"/>
              <w:jc w:val="center"/>
              <w:rPr>
                <w:rFonts w:ascii="宋体" w:hAnsi="宋体" w:eastAsia="宋体" w:cs="宋体"/>
                <w:sz w:val="24"/>
              </w:rPr>
            </w:pPr>
          </w:p>
        </w:tc>
        <w:tc>
          <w:tcPr>
            <w:vMerge w:val="continue"/>
            <w:shd w:val="clear" w:color="auto" w:fill="auto"/>
            <w:noWrap w:val="0"/>
            <w:vAlign w:val="center"/>
          </w:tcPr>
          <w:p>
            <w:pPr>
              <w:pStyle w:val="16"/>
              <w:jc w:val="center"/>
              <w:rPr>
                <w:rFonts w:ascii="宋体" w:hAnsi="宋体" w:eastAsia="宋体" w:cs="宋体"/>
                <w:sz w:val="24"/>
              </w:rPr>
            </w:pPr>
          </w:p>
        </w:tc>
        <w:tc>
          <w:tcPr>
            <w:tcW w:w="0" w:type="auto"/>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指标2：支付企业满意度</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shd w:val="clear" w:color="auto" w:fill="auto"/>
            <w:noWrap w:val="0"/>
            <w:vAlign w:val="center"/>
          </w:tcPr>
          <w:p>
            <w:pPr>
              <w:pStyle w:val="16"/>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gridSpan w:val="5"/>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总分</w:t>
            </w:r>
          </w:p>
        </w:tc>
        <w:tc>
          <w:tcPr>
            <w:tcW w:w="0" w:type="auto"/>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100.00</w:t>
            </w:r>
          </w:p>
        </w:tc>
        <w:tc>
          <w:tcPr>
            <w:tcW w:w="0" w:type="auto"/>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shd w:val="clear" w:color="auto" w:fill="auto"/>
            <w:noWrap w:val="0"/>
            <w:vAlign w:val="center"/>
          </w:tcPr>
          <w:p>
            <w:pPr>
              <w:pStyle w:val="16"/>
              <w:widowControl/>
              <w:jc w:val="center"/>
              <w:textAlignment w:val="center"/>
              <w:rPr>
                <w:rFonts w:ascii="宋体" w:hAnsi="宋体" w:eastAsia="宋体" w:cs="宋体"/>
                <w:kern w:val="0"/>
                <w:sz w:val="24"/>
              </w:rPr>
            </w:pPr>
          </w:p>
        </w:tc>
      </w:tr>
    </w:tbl>
    <w:p>
      <w:pPr>
        <w:pStyle w:val="10"/>
      </w:pPr>
    </w:p>
    <w:p>
      <w:pPr>
        <w:pStyle w:val="10"/>
        <w:jc w:val="center"/>
      </w:pPr>
      <w:r>
        <w:rPr>
          <w:rFonts w:hint="eastAsia" w:ascii="宋体" w:hAnsi="Times New Roman" w:eastAsia="宋体" w:cs="宋体"/>
          <w:b/>
          <w:color w:val="000000"/>
          <w:kern w:val="0"/>
          <w:sz w:val="40"/>
          <w:szCs w:val="40"/>
          <w:lang w:val="en-AU" w:eastAsia="zh-CN"/>
        </w:rPr>
        <w:t>项目单位自评表</w:t>
      </w:r>
    </w:p>
    <w:tbl>
      <w:tblPr>
        <w:tblStyle w:val="20"/>
        <w:tblW w:w="5000" w:type="pct"/>
        <w:tblInd w:w="0" w:type="dxa"/>
        <w:shd w:val="clear" w:color="auto" w:fill="auto"/>
        <w:tblLayout w:type="autofit"/>
        <w:tblCellMar>
          <w:top w:w="0" w:type="dxa"/>
          <w:left w:w="108" w:type="dxa"/>
          <w:bottom w:w="0" w:type="dxa"/>
          <w:right w:w="108" w:type="dxa"/>
        </w:tblCellMar>
      </w:tblPr>
      <w:tblGrid>
        <w:gridCol w:w="668"/>
        <w:gridCol w:w="981"/>
        <w:gridCol w:w="2400"/>
        <w:gridCol w:w="1591"/>
        <w:gridCol w:w="1754"/>
        <w:gridCol w:w="1754"/>
        <w:gridCol w:w="1416"/>
        <w:gridCol w:w="936"/>
        <w:gridCol w:w="936"/>
        <w:gridCol w:w="1738"/>
      </w:tblGrid>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noWrap w:val="0"/>
            <w:vAlign w:val="top"/>
          </w:tcPr>
          <w:p>
            <w:pPr>
              <w:pStyle w:val="16"/>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2023年市管区域公共绿地管养经费</w:t>
            </w:r>
          </w:p>
        </w:tc>
      </w:tr>
      <w:tr>
        <w:tblPrEx>
          <w:shd w:val="clear" w:color="auto" w:fill="auto"/>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主管部门</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许昌市城市管理局</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实施单位</w:t>
            </w:r>
          </w:p>
        </w:tc>
        <w:tc>
          <w:tcPr>
            <w:tcW w:w="0" w:type="auto"/>
            <w:gridSpan w:val="4"/>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许昌市园林绿化中心</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                (万元)</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年初预算数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全年执行数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执行率</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r>
      <w:tr>
        <w:tblPrEx>
          <w:tblCellMar>
            <w:top w:w="0" w:type="dxa"/>
            <w:left w:w="108" w:type="dxa"/>
            <w:bottom w:w="0" w:type="dxa"/>
            <w:right w:w="108" w:type="dxa"/>
          </w:tblCellMar>
        </w:tblPrEx>
        <w:trPr>
          <w:trHeight w:val="31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 </w:t>
            </w:r>
            <w:r>
              <w:rPr>
                <w:rStyle w:val="22"/>
                <w:rFonts w:hint="default"/>
              </w:rPr>
              <w:t xml:space="preserve"> 年度资金总额</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570.98</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570.98</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财政拨款</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570.98</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570.98</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财政专户管理资金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518"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57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情况说明</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分值（20）</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存在问题和改进措施</w:t>
            </w:r>
          </w:p>
        </w:tc>
      </w:tr>
      <w:tr>
        <w:tblPrEx>
          <w:tblCellMar>
            <w:top w:w="0" w:type="dxa"/>
            <w:left w:w="108" w:type="dxa"/>
            <w:bottom w:w="0" w:type="dxa"/>
            <w:right w:w="108" w:type="dxa"/>
          </w:tblCellMar>
        </w:tblPrEx>
        <w:trPr>
          <w:trHeight w:val="1454"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安排科学性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按照部门预算编制和资金管理办法的要求，进行项目论证、评审、立项等必要程序</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93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拨付合规性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严格按照国库集中支付制度有关规定支付资金，未出现违规将资金从国库转入财政专户或支付到预算单位实有资金账户等问题。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1566"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使用规范性</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严格按照下达预算的科目和项目执行，未出现截留、挤占、挪用和擅自调整等问题。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1067"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预算绩效管理情况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将资金纳入绩效管理，设置绩效目标，开展绩效监控。</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435" w:hRule="atLeast"/>
        </w:trPr>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年度总体目标</w:t>
            </w: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预期目标</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实际完成情况</w:t>
            </w:r>
          </w:p>
        </w:tc>
      </w:tr>
      <w:tr>
        <w:tblPrEx>
          <w:tblCellMar>
            <w:top w:w="0" w:type="dxa"/>
            <w:left w:w="108" w:type="dxa"/>
            <w:bottom w:w="0" w:type="dxa"/>
            <w:right w:w="108" w:type="dxa"/>
          </w:tblCellMar>
        </w:tblPrEx>
        <w:trPr>
          <w:trHeight w:val="2535" w:hRule="atLeast"/>
        </w:trPr>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c>
          <w:tcPr>
            <w:tcW w:w="0" w:type="auto"/>
            <w:gridSpan w:val="3"/>
            <w:tcBorders>
              <w:top w:val="single" w:color="auto" w:sz="4" w:space="0"/>
              <w:left w:val="nil"/>
              <w:bottom w:val="single" w:color="auto" w:sz="4" w:space="0"/>
              <w:right w:val="single" w:color="000000" w:sz="4" w:space="0"/>
            </w:tcBorders>
            <w:shd w:val="clear" w:color="auto" w:fill="auto"/>
            <w:noWrap w:val="0"/>
            <w:vAlign w:val="center"/>
          </w:tcPr>
          <w:p>
            <w:pPr>
              <w:pStyle w:val="16"/>
              <w:widowControl/>
              <w:textAlignment w:val="top"/>
              <w:rPr>
                <w:rFonts w:ascii="宋体" w:hAnsi="宋体" w:eastAsia="宋体" w:cs="宋体"/>
                <w:color w:val="000000"/>
                <w:sz w:val="24"/>
              </w:rPr>
            </w:pPr>
            <w:r>
              <w:rPr>
                <w:rFonts w:hint="eastAsia" w:ascii="宋体" w:hAnsi="宋体" w:eastAsia="宋体" w:cs="宋体"/>
                <w:color w:val="000000"/>
                <w:kern w:val="0"/>
                <w:sz w:val="24"/>
              </w:rPr>
              <w:t>1.严格按照《许昌市市管区域园林绿化养护管理考评办法（试行）》，对市管区域园林绿化养护管理进行监管考核，加强日常巡查，定期开展市管区域养护质量考评；</w:t>
            </w:r>
            <w:r>
              <w:br w:type="textWrapping"/>
            </w:r>
            <w:r>
              <w:rPr>
                <w:rFonts w:hint="eastAsia" w:ascii="宋体" w:hAnsi="宋体" w:eastAsia="宋体" w:cs="宋体"/>
                <w:color w:val="000000"/>
                <w:kern w:val="0"/>
                <w:sz w:val="24"/>
              </w:rPr>
              <w:t>2.督促管养单位认真做好日常卫生保洁、绿化植物整形修剪、浇灌、施肥、病虫害防治、缺株断档补植补栽等绿化监管管理工作；</w:t>
            </w:r>
            <w:r>
              <w:br w:type="textWrapping"/>
            </w:r>
            <w:r>
              <w:rPr>
                <w:rFonts w:hint="eastAsia" w:ascii="宋体" w:hAnsi="宋体" w:eastAsia="宋体" w:cs="宋体"/>
                <w:color w:val="000000"/>
                <w:kern w:val="0"/>
                <w:sz w:val="24"/>
              </w:rPr>
              <w:t>3.督促管养单位认真做好所管区域安全、秩序的监督管理及数字城管案件的处理工作；</w:t>
            </w:r>
            <w:r>
              <w:br w:type="textWrapping"/>
            </w:r>
            <w:r>
              <w:rPr>
                <w:rFonts w:hint="eastAsia" w:ascii="宋体" w:hAnsi="宋体" w:eastAsia="宋体" w:cs="宋体"/>
                <w:color w:val="000000"/>
                <w:kern w:val="0"/>
                <w:sz w:val="24"/>
              </w:rPr>
              <w:t>4.完成养护费支付。</w:t>
            </w:r>
          </w:p>
        </w:tc>
        <w:tc>
          <w:tcPr>
            <w:tcW w:w="0" w:type="auto"/>
            <w:gridSpan w:val="6"/>
            <w:tcBorders>
              <w:top w:val="single" w:color="auto" w:sz="4" w:space="0"/>
              <w:left w:val="nil"/>
              <w:bottom w:val="single" w:color="auto" w:sz="4" w:space="0"/>
              <w:right w:val="single" w:color="000000" w:sz="4" w:space="0"/>
            </w:tcBorders>
            <w:shd w:val="clear" w:color="auto" w:fill="auto"/>
            <w:noWrap w:val="0"/>
            <w:vAlign w:val="center"/>
          </w:tcPr>
          <w:p>
            <w:pPr>
              <w:pStyle w:val="16"/>
              <w:widowControl/>
              <w:textAlignment w:val="top"/>
              <w:rPr>
                <w:rFonts w:ascii="宋体" w:hAnsi="宋体" w:eastAsia="宋体" w:cs="宋体"/>
                <w:color w:val="000000"/>
                <w:sz w:val="24"/>
              </w:rPr>
            </w:pPr>
            <w:r>
              <w:rPr>
                <w:rFonts w:hint="eastAsia" w:ascii="宋体" w:hAnsi="宋体" w:eastAsia="宋体" w:cs="宋体"/>
                <w:color w:val="000000"/>
                <w:kern w:val="0"/>
                <w:sz w:val="24"/>
              </w:rPr>
              <w:t>坚持对中心区122条道路、14个游园广场精细化养护管理进行月考核、季综评，根据季综评考评得分情况及时申请资金拨付。同时，强化管养经费预算、财务、绩效管理工作，专款专用，圆满完成年度目标工作任务。</w:t>
            </w:r>
          </w:p>
        </w:tc>
      </w:tr>
      <w:tr>
        <w:tblPrEx>
          <w:tblCellMar>
            <w:top w:w="0" w:type="dxa"/>
            <w:left w:w="108" w:type="dxa"/>
            <w:bottom w:w="0" w:type="dxa"/>
            <w:right w:w="108" w:type="dxa"/>
          </w:tblCellMar>
        </w:tblPrEx>
        <w:trPr>
          <w:trHeight w:val="312" w:hRule="atLeast"/>
        </w:trPr>
        <w:tc>
          <w:tcPr>
            <w:tcW w:w="0" w:type="auto"/>
            <w:gridSpan w:val="10"/>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r>
      <w:tr>
        <w:tblPrEx>
          <w:tblCellMar>
            <w:top w:w="0" w:type="dxa"/>
            <w:left w:w="108" w:type="dxa"/>
            <w:bottom w:w="0" w:type="dxa"/>
            <w:right w:w="108" w:type="dxa"/>
          </w:tblCellMar>
        </w:tblPrEx>
        <w:trPr>
          <w:trHeight w:val="312" w:hRule="atLeast"/>
        </w:trPr>
        <w:tc>
          <w:tcPr>
            <w:gridSpan w:val="10"/>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年度指标值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实际值完成值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偏差度</w:t>
            </w:r>
          </w:p>
        </w:tc>
        <w:tc>
          <w:tcPr>
            <w:tcW w:w="0" w:type="auto"/>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偏差原因分析及改进措施</w:t>
            </w:r>
          </w:p>
        </w:tc>
      </w:tr>
      <w:tr>
        <w:tblPrEx>
          <w:tblCellMar>
            <w:top w:w="0" w:type="dxa"/>
            <w:left w:w="108" w:type="dxa"/>
            <w:bottom w:w="0" w:type="dxa"/>
            <w:right w:w="108" w:type="dxa"/>
          </w:tblCellMar>
        </w:tblPrEx>
        <w:trPr>
          <w:trHeight w:val="312"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6"/>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color w:val="000000"/>
                <w:kern w:val="0"/>
                <w:sz w:val="24"/>
              </w:rPr>
              <w:t>指标1：一级养护绿地管养经费标准</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13元/平方米.年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13元/平方米.年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color w:val="000000"/>
                <w:kern w:val="0"/>
                <w:sz w:val="24"/>
              </w:rPr>
              <w:t>指标2：二级养护绿地管养经费标准</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11元/平方米.年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11元/平方米.年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产出指标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color w:val="000000"/>
                <w:kern w:val="0"/>
                <w:sz w:val="24"/>
              </w:rPr>
              <w:t>指标1：精细化管养道路数量</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122条</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122条</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color w:val="000000"/>
                <w:kern w:val="0"/>
                <w:sz w:val="24"/>
              </w:rPr>
              <w:t>指标2：精细化管养游园广场数量</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14个</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14个</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color w:val="000000"/>
                <w:kern w:val="0"/>
                <w:sz w:val="24"/>
              </w:rPr>
              <w:t>指标1：精细化管养月考核良好率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≥96%</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≥96%</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color w:val="000000"/>
                <w:kern w:val="0"/>
                <w:sz w:val="24"/>
              </w:rPr>
              <w:t>指标1：管养时间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6个月</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6个月</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color w:val="000000"/>
                <w:kern w:val="0"/>
                <w:sz w:val="24"/>
              </w:rPr>
              <w:t>指标2：养护费支付完成时间</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2023.12月底前</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2023.12月底前</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color w:val="000000"/>
                <w:kern w:val="0"/>
                <w:sz w:val="24"/>
              </w:rPr>
              <w:t>指标1：精细化管养水平</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13.5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kern w:val="0"/>
                <w:sz w:val="24"/>
              </w:rPr>
              <w:t>养护期内清绿地垃圾时存在不及时情况。持续加强督导。</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color w:val="000000"/>
                <w:kern w:val="0"/>
                <w:sz w:val="24"/>
              </w:rPr>
              <w:t>指标1：公共绿地整洁美化率</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满意度指标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color w:val="000000"/>
                <w:kern w:val="0"/>
                <w:sz w:val="24"/>
              </w:rPr>
              <w:t>指标1：市民对养护管理满意度</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left"/>
              <w:textAlignment w:val="center"/>
              <w:rPr>
                <w:rFonts w:ascii="宋体" w:hAnsi="宋体" w:eastAsia="宋体" w:cs="宋体"/>
                <w:sz w:val="24"/>
              </w:rPr>
            </w:pPr>
            <w:r>
              <w:rPr>
                <w:rFonts w:hint="eastAsia" w:ascii="宋体" w:hAnsi="宋体" w:eastAsia="宋体" w:cs="宋体"/>
                <w:color w:val="000000"/>
                <w:kern w:val="0"/>
                <w:sz w:val="24"/>
              </w:rPr>
              <w:t>指标2：支付企业满意度</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总分</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98.50</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noWrap w:val="0"/>
            <w:vAlign w:val="center"/>
          </w:tcPr>
          <w:p>
            <w:pPr>
              <w:pStyle w:val="16"/>
              <w:widowControl/>
              <w:jc w:val="center"/>
              <w:textAlignment w:val="center"/>
              <w:rPr>
                <w:rFonts w:ascii="宋体" w:hAnsi="宋体" w:eastAsia="宋体" w:cs="宋体"/>
                <w:sz w:val="24"/>
              </w:rPr>
            </w:pPr>
            <w:r>
              <w:rPr>
                <w:rFonts w:hint="eastAsia" w:ascii="宋体" w:hAnsi="宋体" w:eastAsia="宋体" w:cs="宋体"/>
                <w:kern w:val="0"/>
                <w:sz w:val="24"/>
              </w:rPr>
              <w:t>　</w:t>
            </w:r>
          </w:p>
        </w:tc>
      </w:tr>
    </w:tbl>
    <w:p>
      <w:pPr>
        <w:pStyle w:val="10"/>
        <w:sectPr>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ialog">
    <w:altName w:val="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B54CQ7AEAAMEDAAAOAAAAZHJz&#10;L2Uyb0RvYy54bWytU0uOEzEQ3SNxB8t70kkkILTSGSFGQUgjJtLAARy3nbZku6yyk+5wALgBKzbs&#10;OdecY8pOJ8Nvhdi4y+Xyc71Xr5dXg7PsoDAa8A2fTaacKS+hNX7X8I8f1s8WnMUkfCsseNXwo4r8&#10;avX0ybIPtZpDB7ZVyAjEx7oPDe9SCnVVRdkpJ+IEgvJ0qAGdSLTFXdWi6And2Wo+nb6oesA2IEgV&#10;I2WvT4d8VfC1VjLdah1VYrbh1FsqK5Z1m9dqtRT1DkXojBzbEP/QhRPG06MXqGuRBNuj+QPKGYkQ&#10;QaeJBFeB1kaqwoHYzKa/sbnrRFCFC4kTw0Wm+P9g5fvDBplpG/7y1XPOvHA0pPuvX+6//bj//pnN&#10;skB9iDXV3YUNjrtIYWY7aHT5SzzYUEQ9XkRVQ2KSkrPFfLGYkvaSzs4bwqkerweM6a0Cx3LQcKSp&#10;FTHF4SamU+m5JL/mYW2spbyorf8lQZg5U+WOTz3mKA3bYWx8C+2R+CKcjBCDXBt680bEtBFIk6c+&#10;yc3plhZtoW84jBFnHeCnv+VzPQ2ETjnryUkN92R1zuw7T4PKpjsHeA6258Dv3Rsga844w2RLSBeE&#10;lwTX8MTZPqDZdYSvhY3ZC4KIvd4nkqAok/mdSI20ySdF29HT2Yg/70vV45+3e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5dblS0AAAAAUBAAAPAAAAAAAAAAEAIAAAADgAAABkcnMvZG93bnJldi54&#10;bWxQSwECFAAUAAAACACHTuJAQeeAkOwBAADBAwAADgAAAAAAAAABACAAAAA1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E2292"/>
    <w:multiLevelType w:val="multilevel"/>
    <w:tmpl w:val="FF7E2292"/>
    <w:lvl w:ilvl="0" w:tentative="0">
      <w:start w:val="1"/>
      <w:numFmt w:val="decimal"/>
      <w:lvlText w:val="%1、"/>
      <w:lvlJc w:val="left"/>
      <w:pPr>
        <w:ind w:left="2000" w:hanging="360"/>
      </w:pPr>
      <w:rPr>
        <w:rFonts w:hint="default"/>
      </w:rPr>
    </w:lvl>
    <w:lvl w:ilvl="1" w:tentative="0">
      <w:start w:val="1"/>
      <w:numFmt w:val="lowerLetter"/>
      <w:lvlText w:val="%2)"/>
      <w:lvlJc w:val="left"/>
      <w:pPr>
        <w:ind w:left="2480" w:hanging="420"/>
      </w:pPr>
    </w:lvl>
    <w:lvl w:ilvl="2" w:tentative="0">
      <w:start w:val="1"/>
      <w:numFmt w:val="lowerRoman"/>
      <w:lvlText w:val="%3."/>
      <w:lvlJc w:val="right"/>
      <w:pPr>
        <w:ind w:left="2900" w:hanging="420"/>
      </w:pPr>
    </w:lvl>
    <w:lvl w:ilvl="3" w:tentative="0">
      <w:start w:val="1"/>
      <w:numFmt w:val="decimal"/>
      <w:lvlText w:val="%4."/>
      <w:lvlJc w:val="left"/>
      <w:pPr>
        <w:ind w:left="3320" w:hanging="420"/>
      </w:pPr>
    </w:lvl>
    <w:lvl w:ilvl="4" w:tentative="0">
      <w:start w:val="1"/>
      <w:numFmt w:val="lowerLetter"/>
      <w:lvlText w:val="%5)"/>
      <w:lvlJc w:val="left"/>
      <w:pPr>
        <w:ind w:left="3740" w:hanging="420"/>
      </w:pPr>
    </w:lvl>
    <w:lvl w:ilvl="5" w:tentative="0">
      <w:start w:val="1"/>
      <w:numFmt w:val="lowerRoman"/>
      <w:lvlText w:val="%6."/>
      <w:lvlJc w:val="right"/>
      <w:pPr>
        <w:ind w:left="4160" w:hanging="420"/>
      </w:pPr>
    </w:lvl>
    <w:lvl w:ilvl="6" w:tentative="0">
      <w:start w:val="1"/>
      <w:numFmt w:val="decimal"/>
      <w:lvlText w:val="%7."/>
      <w:lvlJc w:val="left"/>
      <w:pPr>
        <w:ind w:left="4580" w:hanging="420"/>
      </w:pPr>
    </w:lvl>
    <w:lvl w:ilvl="7" w:tentative="0">
      <w:start w:val="1"/>
      <w:numFmt w:val="lowerLetter"/>
      <w:lvlText w:val="%8)"/>
      <w:lvlJc w:val="left"/>
      <w:pPr>
        <w:ind w:left="5000" w:hanging="420"/>
      </w:pPr>
    </w:lvl>
    <w:lvl w:ilvl="8" w:tentative="0">
      <w:start w:val="1"/>
      <w:numFmt w:val="lowerRoman"/>
      <w:lvlText w:val="%9."/>
      <w:lvlJc w:val="right"/>
      <w:pPr>
        <w:ind w:left="5420" w:hanging="420"/>
      </w:pPr>
    </w:lvl>
  </w:abstractNum>
  <w:abstractNum w:abstractNumId="1">
    <w:nsid w:val="FFFFA6B6"/>
    <w:multiLevelType w:val="multilevel"/>
    <w:tmpl w:val="FFFFA6B6"/>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73FE483E"/>
    <w:multiLevelType w:val="multilevel"/>
    <w:tmpl w:val="73FE483E"/>
    <w:lvl w:ilvl="0" w:tentative="0">
      <w:start w:val="1"/>
      <w:numFmt w:val="decimal"/>
      <w:lvlText w:val="%1、"/>
      <w:lvlJc w:val="left"/>
      <w:pPr>
        <w:ind w:left="740" w:hanging="360"/>
      </w:pPr>
      <w:rPr>
        <w:rFonts w:ascii="Dialog" w:hAnsi="Times New Roman" w:eastAsia="宋体" w:cs="Dialog"/>
      </w:rPr>
    </w:lvl>
    <w:lvl w:ilvl="1" w:tentative="0">
      <w:start w:val="1"/>
      <w:numFmt w:val="lowerLetter"/>
      <w:lvlText w:val="%2)"/>
      <w:lvlJc w:val="left"/>
      <w:pPr>
        <w:ind w:left="1220" w:hanging="420"/>
      </w:pPr>
    </w:lvl>
    <w:lvl w:ilvl="2" w:tentative="0">
      <w:start w:val="1"/>
      <w:numFmt w:val="lowerRoman"/>
      <w:lvlText w:val="%3."/>
      <w:lvlJc w:val="right"/>
      <w:pPr>
        <w:ind w:left="1640" w:hanging="420"/>
      </w:pPr>
    </w:lvl>
    <w:lvl w:ilvl="3" w:tentative="0">
      <w:start w:val="1"/>
      <w:numFmt w:val="decimal"/>
      <w:lvlText w:val="%4."/>
      <w:lvlJc w:val="left"/>
      <w:pPr>
        <w:ind w:left="2060" w:hanging="420"/>
      </w:pPr>
    </w:lvl>
    <w:lvl w:ilvl="4" w:tentative="0">
      <w:start w:val="1"/>
      <w:numFmt w:val="lowerLetter"/>
      <w:lvlText w:val="%5)"/>
      <w:lvlJc w:val="left"/>
      <w:pPr>
        <w:ind w:left="2480" w:hanging="420"/>
      </w:pPr>
    </w:lvl>
    <w:lvl w:ilvl="5" w:tentative="0">
      <w:start w:val="1"/>
      <w:numFmt w:val="lowerRoman"/>
      <w:lvlText w:val="%6."/>
      <w:lvlJc w:val="right"/>
      <w:pPr>
        <w:ind w:left="2900" w:hanging="420"/>
      </w:pPr>
    </w:lvl>
    <w:lvl w:ilvl="6" w:tentative="0">
      <w:start w:val="1"/>
      <w:numFmt w:val="decimal"/>
      <w:lvlText w:val="%7."/>
      <w:lvlJc w:val="left"/>
      <w:pPr>
        <w:ind w:left="3320" w:hanging="420"/>
      </w:pPr>
    </w:lvl>
    <w:lvl w:ilvl="7" w:tentative="0">
      <w:start w:val="1"/>
      <w:numFmt w:val="lowerLetter"/>
      <w:lvlText w:val="%8)"/>
      <w:lvlJc w:val="left"/>
      <w:pPr>
        <w:ind w:left="3740" w:hanging="420"/>
      </w:pPr>
    </w:lvl>
    <w:lvl w:ilvl="8" w:tentative="0">
      <w:start w:val="1"/>
      <w:numFmt w:val="lowerRoman"/>
      <w:lvlText w:val="%9."/>
      <w:lvlJc w:val="right"/>
      <w:pPr>
        <w:ind w:left="41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1FFBC486"/>
    <w:rsid w:val="FF9F8EC9"/>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ffc65282-aa71-4530-b58a-6c4da4e9ac61"/>
    <w:qFormat/>
    <w:uiPriority w:val="0"/>
    <w:pPr>
      <w:widowControl w:val="0"/>
      <w:jc w:val="both"/>
    </w:pPr>
    <w:rPr>
      <w:rFonts w:ascii="Times New Roman" w:hAnsi="Times New Roman" w:eastAsia="宋体" w:cs="Times New Roman"/>
      <w:kern w:val="2"/>
      <w:sz w:val="21"/>
      <w:lang w:val="en-US" w:eastAsia="zh-CN"/>
    </w:rPr>
  </w:style>
  <w:style w:type="table" w:customStyle="1" w:styleId="11">
    <w:name w:val="普通表格11"/>
    <w:semiHidden/>
    <w:qFormat/>
    <w:uiPriority w:val="0"/>
    <w:tblPr>
      <w:tblCellMar>
        <w:top w:w="0" w:type="dxa"/>
        <w:left w:w="108" w:type="dxa"/>
        <w:bottom w:w="0" w:type="dxa"/>
        <w:right w:w="108" w:type="dxa"/>
      </w:tblCellMar>
    </w:tblPr>
  </w:style>
  <w:style w:type="paragraph" w:customStyle="1" w:styleId="12">
    <w:name w:val="Normal_5b53346b-3ccb-4ad7-80fb-01cd86859cf8"/>
    <w:next w:val="2"/>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13">
    <w:name w:val="普通表格1"/>
    <w:unhideWhenUsed/>
    <w:qFormat/>
    <w:uiPriority w:val="99"/>
    <w:tblPr>
      <w:tblCellMar>
        <w:top w:w="0" w:type="dxa"/>
        <w:left w:w="108" w:type="dxa"/>
        <w:bottom w:w="0" w:type="dxa"/>
        <w:right w:w="108" w:type="dxa"/>
      </w:tblCellMar>
    </w:tblPr>
  </w:style>
  <w:style w:type="paragraph" w:customStyle="1" w:styleId="14">
    <w:name w:val="Normal_082087e2-9e8d-4f72-94ec-e35a2b268de3"/>
    <w:next w:val="7"/>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
    <w:name w:val="Normal_e2801918-007c-4233-9f98-189114959ec5"/>
    <w:next w:val="8"/>
    <w:unhideWhenUsed/>
    <w:qFormat/>
    <w:uiPriority w:val="99"/>
    <w:pPr>
      <w:widowControl w:val="0"/>
      <w:autoSpaceDE w:val="0"/>
      <w:autoSpaceDN w:val="0"/>
      <w:adjustRightInd w:val="0"/>
    </w:pPr>
    <w:rPr>
      <w:rFonts w:hint="eastAsia" w:ascii="Arial" w:hAnsi="Arial" w:eastAsia="宋体" w:cs="Arial"/>
      <w:color w:val="000000"/>
      <w:sz w:val="24"/>
      <w:szCs w:val="24"/>
    </w:rPr>
  </w:style>
  <w:style w:type="paragraph" w:customStyle="1" w:styleId="16">
    <w:name w:val="Normal_51193191-e6a8-4f66-8c8b-a74a77b672c4"/>
    <w:next w:val="17"/>
    <w:qFormat/>
    <w:uiPriority w:val="0"/>
    <w:pPr>
      <w:widowControl w:val="0"/>
      <w:jc w:val="both"/>
    </w:pPr>
    <w:rPr>
      <w:rFonts w:ascii="Calibri" w:hAnsi="Calibri" w:eastAsia="宋体" w:cs="Times New Roman"/>
      <w:kern w:val="2"/>
      <w:sz w:val="21"/>
      <w:szCs w:val="24"/>
    </w:rPr>
  </w:style>
  <w:style w:type="character" w:customStyle="1" w:styleId="17">
    <w:name w:val="font21"/>
    <w:basedOn w:val="18"/>
    <w:qFormat/>
    <w:uiPriority w:val="0"/>
    <w:rPr>
      <w:rFonts w:hint="eastAsia" w:ascii="宋体" w:hAnsi="宋体" w:eastAsia="宋体" w:cs="宋体"/>
      <w:color w:val="000000"/>
      <w:sz w:val="24"/>
      <w:szCs w:val="24"/>
      <w:u w:val="none"/>
    </w:rPr>
  </w:style>
  <w:style w:type="character" w:customStyle="1" w:styleId="18">
    <w:name w:val="Default Paragraph Font_bd3814dd-9263-47ff-a80e-7360d8b8ddb9"/>
    <w:unhideWhenUsed/>
    <w:qFormat/>
    <w:uiPriority w:val="1"/>
  </w:style>
  <w:style w:type="character" w:customStyle="1" w:styleId="19">
    <w:name w:val="font31"/>
    <w:basedOn w:val="18"/>
    <w:qFormat/>
    <w:uiPriority w:val="0"/>
    <w:rPr>
      <w:rFonts w:hint="eastAsia" w:ascii="宋体" w:hAnsi="宋体" w:eastAsia="宋体" w:cs="宋体"/>
      <w:color w:val="000000"/>
      <w:sz w:val="24"/>
      <w:szCs w:val="24"/>
      <w:u w:val="none"/>
    </w:rPr>
  </w:style>
  <w:style w:type="table" w:customStyle="1" w:styleId="20">
    <w:name w:val="Normal Table_08fa5822-645b-4fe9-bf0b-8fb9da160dba"/>
    <w:unhideWhenUsed/>
    <w:qFormat/>
    <w:uiPriority w:val="99"/>
    <w:tblPr>
      <w:tblCellMar>
        <w:top w:w="0" w:type="dxa"/>
        <w:left w:w="108" w:type="dxa"/>
        <w:bottom w:w="0" w:type="dxa"/>
        <w:right w:w="108" w:type="dxa"/>
      </w:tblCellMar>
    </w:tblPr>
  </w:style>
  <w:style w:type="character" w:customStyle="1" w:styleId="21">
    <w:name w:val="Default Paragraph Font_d9baa743-9579-46b8-aa44-4c62fa4a38dd"/>
    <w:unhideWhenUsed/>
    <w:qFormat/>
    <w:uiPriority w:val="1"/>
  </w:style>
  <w:style w:type="character" w:customStyle="1" w:styleId="22">
    <w:name w:val="font71"/>
    <w:basedOn w:val="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2023-05-05T02:54:00Z</dcterms:created>
  <dc:creator>HSX</dc:creator>
  <cp:lastModifiedBy>huanghe</cp:lastModifiedBy>
  <dcterms:modified xsi:type="dcterms:W3CDTF">2024-10-09T17:36:13Z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DF94CE1DC53D4C5F990C8EECCB3F5EB2_13</vt:lpwstr>
  </property>
</Properties>
</file>