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许昌市国有资产绩效评价中心单位决算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许昌市国有资产绩效评价中心概况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许昌市国有资产绩效评价中心概况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1、承担全市国有企业改革等相关事务性工作。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2、承担国有企业国资国企监管的行政辅助工作，负责参与制定有关国资监管及国企改革相关制度。</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3、承担国有企业绩效评价、考核、监督检查、风险预警等的事务性工作。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4、完成市财政局（国资委）交办的其他工作任务。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许昌市国有资产绩效评价中心内设机构5个,包括：综合科、政策法规科、考核评价科、产权收益科、监督管理科。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从决算单位构成看，许昌市国有资产绩效评价中心单位决算包括：本级决算（1个）。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许昌市国有资产经营绩效评价中心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单位：许昌市国有资产绩效评价中心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2.88</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2.10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0.29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0.24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0.26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2.88</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2.88</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2.88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单位：许昌市国有资产绩效评价中心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2.88</w:t>
            </w:r>
          </w:p>
        </w:tc>
        <w:tc>
          <w:tcPr>
            <w:tcW w:w="1440" w:type="dxa"/>
            <w:vAlign w:val="center"/>
          </w:tcPr>
          <w:p>
            <w:pPr>
              <w:jc w:val="right"/>
            </w:pPr>
            <w:r>
              <w:rPr>
                <w:rFonts w:ascii="宋体" w:hAnsi="宋体" w:eastAsia="宋体" w:cs="宋体"/>
                <w:b/>
                <w:i w:val="0"/>
                <w:color w:val="000000"/>
                <w:sz w:val="17"/>
              </w:rPr>
              <w:t>2.88</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2.10</w:t>
            </w:r>
          </w:p>
        </w:tc>
        <w:tc>
          <w:tcPr>
            <w:tcW w:w="1440" w:type="dxa"/>
            <w:vAlign w:val="center"/>
          </w:tcPr>
          <w:p>
            <w:pPr>
              <w:jc w:val="right"/>
            </w:pPr>
            <w:r>
              <w:rPr>
                <w:rFonts w:ascii="宋体" w:hAnsi="宋体" w:eastAsia="宋体" w:cs="宋体"/>
                <w:b w:val="0"/>
                <w:i w:val="0"/>
                <w:color w:val="000000"/>
                <w:sz w:val="17"/>
              </w:rPr>
              <w:t>2.10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w:t>
            </w:r>
          </w:p>
        </w:tc>
        <w:tc>
          <w:tcPr>
            <w:tcW w:w="3140" w:type="dxa"/>
            <w:vAlign w:val="center"/>
          </w:tcPr>
          <w:p>
            <w:pPr>
              <w:jc w:val="left"/>
            </w:pPr>
            <w:r>
              <w:rPr>
                <w:rFonts w:ascii="宋体" w:hAnsi="宋体" w:eastAsia="宋体" w:cs="宋体"/>
                <w:b w:val="0"/>
                <w:i w:val="0"/>
                <w:color w:val="000000"/>
                <w:sz w:val="17"/>
              </w:rPr>
              <w:t>政府办公厅（室）及相关机构事务</w:t>
            </w:r>
          </w:p>
        </w:tc>
        <w:tc>
          <w:tcPr>
            <w:tcW w:w="1440" w:type="dxa"/>
            <w:vAlign w:val="center"/>
          </w:tcPr>
          <w:p>
            <w:pPr>
              <w:jc w:val="right"/>
            </w:pPr>
            <w:r>
              <w:rPr>
                <w:rFonts w:ascii="宋体" w:hAnsi="宋体" w:eastAsia="宋体" w:cs="宋体"/>
                <w:b w:val="0"/>
                <w:i w:val="0"/>
                <w:color w:val="000000"/>
                <w:sz w:val="17"/>
              </w:rPr>
              <w:t>2.10</w:t>
            </w:r>
          </w:p>
        </w:tc>
        <w:tc>
          <w:tcPr>
            <w:tcW w:w="1440" w:type="dxa"/>
            <w:vAlign w:val="center"/>
          </w:tcPr>
          <w:p>
            <w:pPr>
              <w:jc w:val="right"/>
            </w:pPr>
            <w:r>
              <w:rPr>
                <w:rFonts w:ascii="宋体" w:hAnsi="宋体" w:eastAsia="宋体" w:cs="宋体"/>
                <w:b w:val="0"/>
                <w:i w:val="0"/>
                <w:color w:val="000000"/>
                <w:sz w:val="17"/>
              </w:rPr>
              <w:t>2.10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2.10</w:t>
            </w:r>
          </w:p>
        </w:tc>
        <w:tc>
          <w:tcPr>
            <w:tcW w:w="1440" w:type="dxa"/>
            <w:vAlign w:val="center"/>
          </w:tcPr>
          <w:p>
            <w:pPr>
              <w:jc w:val="right"/>
            </w:pPr>
            <w:r>
              <w:rPr>
                <w:rFonts w:ascii="宋体" w:hAnsi="宋体" w:eastAsia="宋体" w:cs="宋体"/>
                <w:b w:val="0"/>
                <w:i w:val="0"/>
                <w:color w:val="000000"/>
                <w:sz w:val="17"/>
              </w:rPr>
              <w:t>2.10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0.29</w:t>
            </w:r>
          </w:p>
        </w:tc>
        <w:tc>
          <w:tcPr>
            <w:tcW w:w="1440" w:type="dxa"/>
            <w:vAlign w:val="center"/>
          </w:tcPr>
          <w:p>
            <w:pPr>
              <w:jc w:val="right"/>
            </w:pPr>
            <w:r>
              <w:rPr>
                <w:rFonts w:ascii="宋体" w:hAnsi="宋体" w:eastAsia="宋体" w:cs="宋体"/>
                <w:b w:val="0"/>
                <w:i w:val="0"/>
                <w:color w:val="000000"/>
                <w:sz w:val="17"/>
              </w:rPr>
              <w:t>0.29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0.29</w:t>
            </w:r>
          </w:p>
        </w:tc>
        <w:tc>
          <w:tcPr>
            <w:tcW w:w="1440" w:type="dxa"/>
            <w:vAlign w:val="center"/>
          </w:tcPr>
          <w:p>
            <w:pPr>
              <w:jc w:val="right"/>
            </w:pPr>
            <w:r>
              <w:rPr>
                <w:rFonts w:ascii="宋体" w:hAnsi="宋体" w:eastAsia="宋体" w:cs="宋体"/>
                <w:b w:val="0"/>
                <w:i w:val="0"/>
                <w:color w:val="000000"/>
                <w:sz w:val="17"/>
              </w:rPr>
              <w:t>0.29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0.29</w:t>
            </w:r>
          </w:p>
        </w:tc>
        <w:tc>
          <w:tcPr>
            <w:tcW w:w="1440" w:type="dxa"/>
            <w:vAlign w:val="center"/>
          </w:tcPr>
          <w:p>
            <w:pPr>
              <w:jc w:val="right"/>
            </w:pPr>
            <w:r>
              <w:rPr>
                <w:rFonts w:ascii="宋体" w:hAnsi="宋体" w:eastAsia="宋体" w:cs="宋体"/>
                <w:b w:val="0"/>
                <w:i w:val="0"/>
                <w:color w:val="000000"/>
                <w:sz w:val="17"/>
              </w:rPr>
              <w:t>0.29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0.24</w:t>
            </w:r>
          </w:p>
        </w:tc>
        <w:tc>
          <w:tcPr>
            <w:tcW w:w="1440" w:type="dxa"/>
            <w:vAlign w:val="center"/>
          </w:tcPr>
          <w:p>
            <w:pPr>
              <w:jc w:val="right"/>
            </w:pPr>
            <w:r>
              <w:rPr>
                <w:rFonts w:ascii="宋体" w:hAnsi="宋体" w:eastAsia="宋体" w:cs="宋体"/>
                <w:b w:val="0"/>
                <w:i w:val="0"/>
                <w:color w:val="000000"/>
                <w:sz w:val="17"/>
              </w:rPr>
              <w:t>0.24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0.24</w:t>
            </w:r>
          </w:p>
        </w:tc>
        <w:tc>
          <w:tcPr>
            <w:tcW w:w="1440" w:type="dxa"/>
            <w:vAlign w:val="center"/>
          </w:tcPr>
          <w:p>
            <w:pPr>
              <w:jc w:val="right"/>
            </w:pPr>
            <w:r>
              <w:rPr>
                <w:rFonts w:ascii="宋体" w:hAnsi="宋体" w:eastAsia="宋体" w:cs="宋体"/>
                <w:b w:val="0"/>
                <w:i w:val="0"/>
                <w:color w:val="000000"/>
                <w:sz w:val="17"/>
              </w:rPr>
              <w:t>0.24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0.12</w:t>
            </w:r>
          </w:p>
        </w:tc>
        <w:tc>
          <w:tcPr>
            <w:tcW w:w="1440" w:type="dxa"/>
            <w:vAlign w:val="center"/>
          </w:tcPr>
          <w:p>
            <w:pPr>
              <w:jc w:val="right"/>
            </w:pPr>
            <w:r>
              <w:rPr>
                <w:rFonts w:ascii="宋体" w:hAnsi="宋体" w:eastAsia="宋体" w:cs="宋体"/>
                <w:b w:val="0"/>
                <w:i w:val="0"/>
                <w:color w:val="000000"/>
                <w:sz w:val="17"/>
              </w:rPr>
              <w:t>0.12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0.11</w:t>
            </w:r>
          </w:p>
        </w:tc>
        <w:tc>
          <w:tcPr>
            <w:tcW w:w="1440" w:type="dxa"/>
            <w:vAlign w:val="center"/>
          </w:tcPr>
          <w:p>
            <w:pPr>
              <w:jc w:val="right"/>
            </w:pPr>
            <w:r>
              <w:rPr>
                <w:rFonts w:ascii="宋体" w:hAnsi="宋体" w:eastAsia="宋体" w:cs="宋体"/>
                <w:b w:val="0"/>
                <w:i w:val="0"/>
                <w:color w:val="000000"/>
                <w:sz w:val="17"/>
              </w:rPr>
              <w:t>0.11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单位：许昌市国有资产绩效评价中心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2.88</w:t>
            </w:r>
          </w:p>
        </w:tc>
        <w:tc>
          <w:tcPr>
            <w:tcW w:w="1600" w:type="dxa"/>
            <w:vAlign w:val="center"/>
          </w:tcPr>
          <w:p>
            <w:pPr>
              <w:jc w:val="right"/>
            </w:pPr>
            <w:r>
              <w:rPr>
                <w:rFonts w:ascii="宋体" w:hAnsi="宋体" w:eastAsia="宋体" w:cs="宋体"/>
                <w:b/>
                <w:i w:val="0"/>
                <w:color w:val="000000"/>
                <w:sz w:val="19"/>
              </w:rPr>
              <w:t>2.88</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2.10</w:t>
            </w:r>
          </w:p>
        </w:tc>
        <w:tc>
          <w:tcPr>
            <w:tcW w:w="1600" w:type="dxa"/>
            <w:vAlign w:val="center"/>
          </w:tcPr>
          <w:p>
            <w:pPr>
              <w:jc w:val="right"/>
            </w:pPr>
            <w:r>
              <w:rPr>
                <w:rFonts w:ascii="宋体" w:hAnsi="宋体" w:eastAsia="宋体" w:cs="宋体"/>
                <w:b w:val="0"/>
                <w:i w:val="0"/>
                <w:color w:val="000000"/>
                <w:sz w:val="19"/>
              </w:rPr>
              <w:t>2.10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w:t>
            </w:r>
          </w:p>
        </w:tc>
        <w:tc>
          <w:tcPr>
            <w:tcW w:w="3480" w:type="dxa"/>
            <w:vAlign w:val="center"/>
          </w:tcPr>
          <w:p>
            <w:pPr>
              <w:jc w:val="left"/>
            </w:pPr>
            <w:r>
              <w:rPr>
                <w:rFonts w:ascii="宋体" w:hAnsi="宋体" w:eastAsia="宋体" w:cs="宋体"/>
                <w:b w:val="0"/>
                <w:i w:val="0"/>
                <w:color w:val="000000"/>
                <w:sz w:val="19"/>
              </w:rPr>
              <w:t>政府办公厅（室）及相关机构事务</w:t>
            </w:r>
          </w:p>
        </w:tc>
        <w:tc>
          <w:tcPr>
            <w:tcW w:w="1600" w:type="dxa"/>
            <w:vAlign w:val="center"/>
          </w:tcPr>
          <w:p>
            <w:pPr>
              <w:jc w:val="right"/>
            </w:pPr>
            <w:r>
              <w:rPr>
                <w:rFonts w:ascii="宋体" w:hAnsi="宋体" w:eastAsia="宋体" w:cs="宋体"/>
                <w:b w:val="0"/>
                <w:i w:val="0"/>
                <w:color w:val="000000"/>
                <w:sz w:val="19"/>
              </w:rPr>
              <w:t>2.10</w:t>
            </w:r>
          </w:p>
        </w:tc>
        <w:tc>
          <w:tcPr>
            <w:tcW w:w="1600" w:type="dxa"/>
            <w:vAlign w:val="center"/>
          </w:tcPr>
          <w:p>
            <w:pPr>
              <w:jc w:val="right"/>
            </w:pPr>
            <w:r>
              <w:rPr>
                <w:rFonts w:ascii="宋体" w:hAnsi="宋体" w:eastAsia="宋体" w:cs="宋体"/>
                <w:b w:val="0"/>
                <w:i w:val="0"/>
                <w:color w:val="000000"/>
                <w:sz w:val="19"/>
              </w:rPr>
              <w:t>2.10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2.10</w:t>
            </w:r>
          </w:p>
        </w:tc>
        <w:tc>
          <w:tcPr>
            <w:tcW w:w="1600" w:type="dxa"/>
            <w:vAlign w:val="center"/>
          </w:tcPr>
          <w:p>
            <w:pPr>
              <w:jc w:val="right"/>
            </w:pPr>
            <w:r>
              <w:rPr>
                <w:rFonts w:ascii="宋体" w:hAnsi="宋体" w:eastAsia="宋体" w:cs="宋体"/>
                <w:b w:val="0"/>
                <w:i w:val="0"/>
                <w:color w:val="000000"/>
                <w:sz w:val="19"/>
              </w:rPr>
              <w:t>2.10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0.29</w:t>
            </w:r>
          </w:p>
        </w:tc>
        <w:tc>
          <w:tcPr>
            <w:tcW w:w="1600" w:type="dxa"/>
            <w:vAlign w:val="center"/>
          </w:tcPr>
          <w:p>
            <w:pPr>
              <w:jc w:val="right"/>
            </w:pPr>
            <w:r>
              <w:rPr>
                <w:rFonts w:ascii="宋体" w:hAnsi="宋体" w:eastAsia="宋体" w:cs="宋体"/>
                <w:b w:val="0"/>
                <w:i w:val="0"/>
                <w:color w:val="000000"/>
                <w:sz w:val="19"/>
              </w:rPr>
              <w:t>0.29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0.29</w:t>
            </w:r>
          </w:p>
        </w:tc>
        <w:tc>
          <w:tcPr>
            <w:tcW w:w="1600" w:type="dxa"/>
            <w:vAlign w:val="center"/>
          </w:tcPr>
          <w:p>
            <w:pPr>
              <w:jc w:val="right"/>
            </w:pPr>
            <w:r>
              <w:rPr>
                <w:rFonts w:ascii="宋体" w:hAnsi="宋体" w:eastAsia="宋体" w:cs="宋体"/>
                <w:b w:val="0"/>
                <w:i w:val="0"/>
                <w:color w:val="000000"/>
                <w:sz w:val="19"/>
              </w:rPr>
              <w:t>0.29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0.29</w:t>
            </w:r>
          </w:p>
        </w:tc>
        <w:tc>
          <w:tcPr>
            <w:tcW w:w="1600" w:type="dxa"/>
            <w:vAlign w:val="center"/>
          </w:tcPr>
          <w:p>
            <w:pPr>
              <w:jc w:val="right"/>
            </w:pPr>
            <w:r>
              <w:rPr>
                <w:rFonts w:ascii="宋体" w:hAnsi="宋体" w:eastAsia="宋体" w:cs="宋体"/>
                <w:b w:val="0"/>
                <w:i w:val="0"/>
                <w:color w:val="000000"/>
                <w:sz w:val="19"/>
              </w:rPr>
              <w:t>0.29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0.24</w:t>
            </w:r>
          </w:p>
        </w:tc>
        <w:tc>
          <w:tcPr>
            <w:tcW w:w="1600" w:type="dxa"/>
            <w:vAlign w:val="center"/>
          </w:tcPr>
          <w:p>
            <w:pPr>
              <w:jc w:val="right"/>
            </w:pPr>
            <w:r>
              <w:rPr>
                <w:rFonts w:ascii="宋体" w:hAnsi="宋体" w:eastAsia="宋体" w:cs="宋体"/>
                <w:b w:val="0"/>
                <w:i w:val="0"/>
                <w:color w:val="000000"/>
                <w:sz w:val="19"/>
              </w:rPr>
              <w:t>0.24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0.24</w:t>
            </w:r>
          </w:p>
        </w:tc>
        <w:tc>
          <w:tcPr>
            <w:tcW w:w="1600" w:type="dxa"/>
            <w:vAlign w:val="center"/>
          </w:tcPr>
          <w:p>
            <w:pPr>
              <w:jc w:val="right"/>
            </w:pPr>
            <w:r>
              <w:rPr>
                <w:rFonts w:ascii="宋体" w:hAnsi="宋体" w:eastAsia="宋体" w:cs="宋体"/>
                <w:b w:val="0"/>
                <w:i w:val="0"/>
                <w:color w:val="000000"/>
                <w:sz w:val="19"/>
              </w:rPr>
              <w:t>0.24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0.11</w:t>
            </w:r>
          </w:p>
        </w:tc>
        <w:tc>
          <w:tcPr>
            <w:tcW w:w="1600" w:type="dxa"/>
            <w:vAlign w:val="center"/>
          </w:tcPr>
          <w:p>
            <w:pPr>
              <w:jc w:val="right"/>
            </w:pPr>
            <w:r>
              <w:rPr>
                <w:rFonts w:ascii="宋体" w:hAnsi="宋体" w:eastAsia="宋体" w:cs="宋体"/>
                <w:b w:val="0"/>
                <w:i w:val="0"/>
                <w:color w:val="000000"/>
                <w:sz w:val="19"/>
              </w:rPr>
              <w:t>0.11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单位：许昌市国有资产绩效评价中心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2.88</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2.10</w:t>
            </w:r>
          </w:p>
        </w:tc>
        <w:tc>
          <w:tcPr>
            <w:tcW w:w="1420" w:type="dxa"/>
            <w:vAlign w:val="center"/>
          </w:tcPr>
          <w:p>
            <w:pPr>
              <w:jc w:val="right"/>
            </w:pPr>
            <w:r>
              <w:rPr>
                <w:rFonts w:ascii="宋体" w:hAnsi="宋体" w:eastAsia="宋体" w:cs="宋体"/>
                <w:b w:val="0"/>
                <w:i w:val="0"/>
                <w:color w:val="000000"/>
                <w:sz w:val="18"/>
              </w:rPr>
              <w:t>2.10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0.29</w:t>
            </w:r>
          </w:p>
        </w:tc>
        <w:tc>
          <w:tcPr>
            <w:tcW w:w="1420" w:type="dxa"/>
            <w:vAlign w:val="center"/>
          </w:tcPr>
          <w:p>
            <w:pPr>
              <w:jc w:val="right"/>
            </w:pPr>
            <w:r>
              <w:rPr>
                <w:rFonts w:ascii="宋体" w:hAnsi="宋体" w:eastAsia="宋体" w:cs="宋体"/>
                <w:b w:val="0"/>
                <w:i w:val="0"/>
                <w:color w:val="000000"/>
                <w:sz w:val="18"/>
              </w:rPr>
              <w:t>0.29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0.24</w:t>
            </w:r>
          </w:p>
        </w:tc>
        <w:tc>
          <w:tcPr>
            <w:tcW w:w="1420" w:type="dxa"/>
            <w:vAlign w:val="center"/>
          </w:tcPr>
          <w:p>
            <w:pPr>
              <w:jc w:val="right"/>
            </w:pPr>
            <w:r>
              <w:rPr>
                <w:rFonts w:ascii="宋体" w:hAnsi="宋体" w:eastAsia="宋体" w:cs="宋体"/>
                <w:b w:val="0"/>
                <w:i w:val="0"/>
                <w:color w:val="000000"/>
                <w:sz w:val="18"/>
              </w:rPr>
              <w:t>0.24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0.26</w:t>
            </w:r>
          </w:p>
        </w:tc>
        <w:tc>
          <w:tcPr>
            <w:tcW w:w="1420" w:type="dxa"/>
            <w:vAlign w:val="center"/>
          </w:tcPr>
          <w:p>
            <w:pPr>
              <w:jc w:val="right"/>
            </w:pPr>
            <w:r>
              <w:rPr>
                <w:rFonts w:ascii="宋体" w:hAnsi="宋体" w:eastAsia="宋体" w:cs="宋体"/>
                <w:b w:val="0"/>
                <w:i w:val="0"/>
                <w:color w:val="000000"/>
                <w:sz w:val="18"/>
              </w:rPr>
              <w:t>0.26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2.88</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2.88</w:t>
            </w:r>
          </w:p>
        </w:tc>
        <w:tc>
          <w:tcPr>
            <w:tcW w:w="1420" w:type="dxa"/>
            <w:vAlign w:val="center"/>
          </w:tcPr>
          <w:p>
            <w:pPr>
              <w:jc w:val="right"/>
            </w:pPr>
            <w:r>
              <w:rPr>
                <w:rFonts w:ascii="宋体" w:hAnsi="宋体" w:eastAsia="宋体" w:cs="宋体"/>
                <w:b w:val="0"/>
                <w:i w:val="0"/>
                <w:color w:val="000000"/>
                <w:sz w:val="18"/>
              </w:rPr>
              <w:t>2.88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2.88</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2.88</w:t>
            </w:r>
          </w:p>
        </w:tc>
        <w:tc>
          <w:tcPr>
            <w:tcW w:w="1420" w:type="dxa"/>
            <w:vAlign w:val="center"/>
          </w:tcPr>
          <w:p>
            <w:pPr>
              <w:jc w:val="right"/>
            </w:pPr>
            <w:r>
              <w:rPr>
                <w:rFonts w:ascii="宋体" w:hAnsi="宋体" w:eastAsia="宋体" w:cs="宋体"/>
                <w:b w:val="0"/>
                <w:i w:val="0"/>
                <w:color w:val="000000"/>
                <w:sz w:val="18"/>
              </w:rPr>
              <w:t>2.88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单位：许昌市国有资产绩效评价中心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2.88</w:t>
            </w:r>
          </w:p>
        </w:tc>
        <w:tc>
          <w:tcPr>
            <w:tcW w:w="2700" w:type="dxa"/>
            <w:vAlign w:val="center"/>
          </w:tcPr>
          <w:p>
            <w:pPr>
              <w:jc w:val="right"/>
            </w:pPr>
            <w:r>
              <w:rPr>
                <w:rFonts w:ascii="宋体" w:hAnsi="宋体" w:eastAsia="宋体" w:cs="宋体"/>
                <w:b/>
                <w:i w:val="0"/>
                <w:color w:val="000000"/>
                <w:sz w:val="25"/>
              </w:rPr>
              <w:t>2.88</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2.10</w:t>
            </w:r>
          </w:p>
        </w:tc>
        <w:tc>
          <w:tcPr>
            <w:tcW w:w="2700" w:type="dxa"/>
            <w:vAlign w:val="center"/>
          </w:tcPr>
          <w:p>
            <w:pPr>
              <w:jc w:val="right"/>
            </w:pPr>
            <w:r>
              <w:rPr>
                <w:rFonts w:ascii="宋体" w:hAnsi="宋体" w:eastAsia="宋体" w:cs="宋体"/>
                <w:b w:val="0"/>
                <w:i w:val="0"/>
                <w:color w:val="000000"/>
                <w:sz w:val="25"/>
              </w:rPr>
              <w:t>2.10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w:t>
            </w:r>
          </w:p>
        </w:tc>
        <w:tc>
          <w:tcPr>
            <w:tcW w:w="4700" w:type="dxa"/>
            <w:vAlign w:val="center"/>
          </w:tcPr>
          <w:p>
            <w:pPr>
              <w:jc w:val="left"/>
            </w:pPr>
            <w:r>
              <w:rPr>
                <w:rFonts w:ascii="宋体" w:hAnsi="宋体" w:eastAsia="宋体" w:cs="宋体"/>
                <w:b w:val="0"/>
                <w:i w:val="0"/>
                <w:color w:val="000000"/>
                <w:sz w:val="25"/>
              </w:rPr>
              <w:t>政府办公厅（室）及相关机构事务</w:t>
            </w:r>
          </w:p>
        </w:tc>
        <w:tc>
          <w:tcPr>
            <w:tcW w:w="2700" w:type="dxa"/>
            <w:vAlign w:val="center"/>
          </w:tcPr>
          <w:p>
            <w:pPr>
              <w:jc w:val="right"/>
            </w:pPr>
            <w:r>
              <w:rPr>
                <w:rFonts w:ascii="宋体" w:hAnsi="宋体" w:eastAsia="宋体" w:cs="宋体"/>
                <w:b w:val="0"/>
                <w:i w:val="0"/>
                <w:color w:val="000000"/>
                <w:sz w:val="25"/>
              </w:rPr>
              <w:t>2.10</w:t>
            </w:r>
          </w:p>
        </w:tc>
        <w:tc>
          <w:tcPr>
            <w:tcW w:w="2700" w:type="dxa"/>
            <w:vAlign w:val="center"/>
          </w:tcPr>
          <w:p>
            <w:pPr>
              <w:jc w:val="right"/>
            </w:pPr>
            <w:r>
              <w:rPr>
                <w:rFonts w:ascii="宋体" w:hAnsi="宋体" w:eastAsia="宋体" w:cs="宋体"/>
                <w:b w:val="0"/>
                <w:i w:val="0"/>
                <w:color w:val="000000"/>
                <w:sz w:val="25"/>
              </w:rPr>
              <w:t>2.10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2.10</w:t>
            </w:r>
          </w:p>
        </w:tc>
        <w:tc>
          <w:tcPr>
            <w:tcW w:w="2700" w:type="dxa"/>
            <w:vAlign w:val="center"/>
          </w:tcPr>
          <w:p>
            <w:pPr>
              <w:jc w:val="right"/>
            </w:pPr>
            <w:r>
              <w:rPr>
                <w:rFonts w:ascii="宋体" w:hAnsi="宋体" w:eastAsia="宋体" w:cs="宋体"/>
                <w:b w:val="0"/>
                <w:i w:val="0"/>
                <w:color w:val="000000"/>
                <w:sz w:val="25"/>
              </w:rPr>
              <w:t>2.10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0.29</w:t>
            </w:r>
          </w:p>
        </w:tc>
        <w:tc>
          <w:tcPr>
            <w:tcW w:w="2700" w:type="dxa"/>
            <w:vAlign w:val="center"/>
          </w:tcPr>
          <w:p>
            <w:pPr>
              <w:jc w:val="right"/>
            </w:pPr>
            <w:r>
              <w:rPr>
                <w:rFonts w:ascii="宋体" w:hAnsi="宋体" w:eastAsia="宋体" w:cs="宋体"/>
                <w:b w:val="0"/>
                <w:i w:val="0"/>
                <w:color w:val="000000"/>
                <w:sz w:val="25"/>
              </w:rPr>
              <w:t>0.29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0.29</w:t>
            </w:r>
          </w:p>
        </w:tc>
        <w:tc>
          <w:tcPr>
            <w:tcW w:w="2700" w:type="dxa"/>
            <w:vAlign w:val="center"/>
          </w:tcPr>
          <w:p>
            <w:pPr>
              <w:jc w:val="right"/>
            </w:pPr>
            <w:r>
              <w:rPr>
                <w:rFonts w:ascii="宋体" w:hAnsi="宋体" w:eastAsia="宋体" w:cs="宋体"/>
                <w:b w:val="0"/>
                <w:i w:val="0"/>
                <w:color w:val="000000"/>
                <w:sz w:val="25"/>
              </w:rPr>
              <w:t>0.29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0.29</w:t>
            </w:r>
          </w:p>
        </w:tc>
        <w:tc>
          <w:tcPr>
            <w:tcW w:w="2700" w:type="dxa"/>
            <w:vAlign w:val="center"/>
          </w:tcPr>
          <w:p>
            <w:pPr>
              <w:jc w:val="right"/>
            </w:pPr>
            <w:r>
              <w:rPr>
                <w:rFonts w:ascii="宋体" w:hAnsi="宋体" w:eastAsia="宋体" w:cs="宋体"/>
                <w:b w:val="0"/>
                <w:i w:val="0"/>
                <w:color w:val="000000"/>
                <w:sz w:val="25"/>
              </w:rPr>
              <w:t>0.29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0.24</w:t>
            </w:r>
          </w:p>
        </w:tc>
        <w:tc>
          <w:tcPr>
            <w:tcW w:w="2700" w:type="dxa"/>
            <w:vAlign w:val="center"/>
          </w:tcPr>
          <w:p>
            <w:pPr>
              <w:jc w:val="right"/>
            </w:pPr>
            <w:r>
              <w:rPr>
                <w:rFonts w:ascii="宋体" w:hAnsi="宋体" w:eastAsia="宋体" w:cs="宋体"/>
                <w:b w:val="0"/>
                <w:i w:val="0"/>
                <w:color w:val="000000"/>
                <w:sz w:val="25"/>
              </w:rPr>
              <w:t>0.24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0.24</w:t>
            </w:r>
          </w:p>
        </w:tc>
        <w:tc>
          <w:tcPr>
            <w:tcW w:w="2700" w:type="dxa"/>
            <w:vAlign w:val="center"/>
          </w:tcPr>
          <w:p>
            <w:pPr>
              <w:jc w:val="right"/>
            </w:pPr>
            <w:r>
              <w:rPr>
                <w:rFonts w:ascii="宋体" w:hAnsi="宋体" w:eastAsia="宋体" w:cs="宋体"/>
                <w:b w:val="0"/>
                <w:i w:val="0"/>
                <w:color w:val="000000"/>
                <w:sz w:val="25"/>
              </w:rPr>
              <w:t>0.24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0.12</w:t>
            </w:r>
          </w:p>
        </w:tc>
        <w:tc>
          <w:tcPr>
            <w:tcW w:w="2700" w:type="dxa"/>
            <w:vAlign w:val="center"/>
          </w:tcPr>
          <w:p>
            <w:pPr>
              <w:jc w:val="right"/>
            </w:pPr>
            <w:r>
              <w:rPr>
                <w:rFonts w:ascii="宋体" w:hAnsi="宋体" w:eastAsia="宋体" w:cs="宋体"/>
                <w:b w:val="0"/>
                <w:i w:val="0"/>
                <w:color w:val="000000"/>
                <w:sz w:val="25"/>
              </w:rPr>
              <w:t>0.12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0.11</w:t>
            </w:r>
          </w:p>
        </w:tc>
        <w:tc>
          <w:tcPr>
            <w:tcW w:w="2700" w:type="dxa"/>
            <w:vAlign w:val="center"/>
          </w:tcPr>
          <w:p>
            <w:pPr>
              <w:jc w:val="right"/>
            </w:pPr>
            <w:r>
              <w:rPr>
                <w:rFonts w:ascii="宋体" w:hAnsi="宋体" w:eastAsia="宋体" w:cs="宋体"/>
                <w:b w:val="0"/>
                <w:i w:val="0"/>
                <w:color w:val="000000"/>
                <w:sz w:val="25"/>
              </w:rPr>
              <w:t>0.11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0.26</w:t>
            </w:r>
          </w:p>
        </w:tc>
        <w:tc>
          <w:tcPr>
            <w:tcW w:w="2700" w:type="dxa"/>
            <w:vAlign w:val="center"/>
          </w:tcPr>
          <w:p>
            <w:pPr>
              <w:jc w:val="right"/>
            </w:pPr>
            <w:r>
              <w:rPr>
                <w:rFonts w:ascii="宋体" w:hAnsi="宋体" w:eastAsia="宋体" w:cs="宋体"/>
                <w:b w:val="0"/>
                <w:i w:val="0"/>
                <w:color w:val="000000"/>
                <w:sz w:val="25"/>
              </w:rPr>
              <w:t>0.26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0.26</w:t>
            </w:r>
          </w:p>
        </w:tc>
        <w:tc>
          <w:tcPr>
            <w:tcW w:w="2700" w:type="dxa"/>
            <w:vAlign w:val="center"/>
          </w:tcPr>
          <w:p>
            <w:pPr>
              <w:jc w:val="right"/>
            </w:pPr>
            <w:r>
              <w:rPr>
                <w:rFonts w:ascii="宋体" w:hAnsi="宋体" w:eastAsia="宋体" w:cs="宋体"/>
                <w:b w:val="0"/>
                <w:i w:val="0"/>
                <w:color w:val="000000"/>
                <w:sz w:val="25"/>
              </w:rPr>
              <w:t>0.26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0.26</w:t>
            </w:r>
          </w:p>
        </w:tc>
        <w:tc>
          <w:tcPr>
            <w:tcW w:w="2700" w:type="dxa"/>
            <w:vAlign w:val="center"/>
          </w:tcPr>
          <w:p>
            <w:pPr>
              <w:jc w:val="right"/>
            </w:pPr>
            <w:r>
              <w:rPr>
                <w:rFonts w:ascii="宋体" w:hAnsi="宋体" w:eastAsia="宋体" w:cs="宋体"/>
                <w:b w:val="0"/>
                <w:i w:val="0"/>
                <w:color w:val="000000"/>
                <w:sz w:val="25"/>
              </w:rPr>
              <w:t>0.26</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单位：许昌市国有资产绩效评价中心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2.88</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1.83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0.29</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0.12</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0.11</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0.27</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0.26</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2.88</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单位：许昌市国有资产绩效评价中心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单位：许昌市国有资产绩效评价中心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单位：许昌市国有资产绩效评价中心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2023年度收、支总计均为2.88万元。与上年度相比，收、支总计增减额、增减比率无法计算。主要原因是：我单位为新编报单位决算单位，无上年可比较数据，无法进行上下年对比计算。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2.88万元，其中：财政拨款收入2.88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2023年度支出合计2.88万元，其中：基本支出2.88万元，占100.00%；项目支出0.00万元，占0.00%；上缴上级支出0.00万元，占0.00%；经营支出0.00万元，占0.00%；对附属单位补助支出0.00万元，占0.00%。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2023年度财政拨款收、支总计均为2.88万元。与上年度相比，收、支总计增减额、增减比率无法计算。主要原因是：我单位为新编报单位决算单位，无上年可比较数据，无法进行上下年对比计算。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2.88万元，占支出合计的100.00%。与上年度相比，一般公共预算财政拨款支出增减额、增减比率无法计算。主要原因是：我单位为新编报单位决算单位，无上年可比较数据，无法进行上下年对比计算。</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2.88万元，主要用于以下方面：一般公共服务支出（类）2.10万元，占72.92%；社会保障和就业支出（类）0.29万元，占10.07%；卫生健康支出（类）0.24万元，占8.33%；住房保障支出（类）0.26万元，占9.03%。</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2023年度一般公共预算财政拨款支出年初预算为0.00万元，支出决算为2.88万元，完成年初预算的0.00%。其中：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1.一般公共服务支出（类）政府办公厅（室）及相关机构事务（款）事业运行（项）</w:t>
      </w:r>
      <w:r>
        <w:rPr>
          <w:rFonts w:hint="eastAsia" w:ascii="仿宋_GB2312" w:hAnsi="仿宋_GB2312" w:eastAsia="仿宋_GB2312" w:cs="仿宋_GB2312"/>
          <w:kern w:val="2"/>
          <w:sz w:val="32"/>
          <w:szCs w:val="32"/>
          <w:lang w:val="en-US" w:eastAsia="zh-CN"/>
        </w:rPr>
        <w:t>年初预算数为0.00万元，决算数2.10万元,决算数与年初预算数存在差异的主要原因是新成立单位，人员调整变动增加资金支出。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年初预算数为0.00万元，决算数0.29万元,决算数与年初预算数存在差异的主要原因是新成立单位，人员调整变动增加资金支出。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3.卫生健康支出（类）行政事业单位医疗（款）事业单位医疗（项）</w:t>
      </w:r>
      <w:r>
        <w:rPr>
          <w:rFonts w:hint="eastAsia" w:ascii="仿宋_GB2312" w:hAnsi="仿宋_GB2312" w:eastAsia="仿宋_GB2312" w:cs="仿宋_GB2312"/>
          <w:kern w:val="2"/>
          <w:sz w:val="32"/>
          <w:szCs w:val="32"/>
          <w:lang w:val="en-US" w:eastAsia="zh-CN"/>
        </w:rPr>
        <w:t>年初预算数为0.00万元，决算数0.12万元,决算数与年初预算数存在差异的主要原因是新成立单位，人员调整变动增加资金支出。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4.卫生健康支出（类）行政事业单位医疗（款）公务员医疗补助（项）</w:t>
      </w:r>
      <w:r>
        <w:rPr>
          <w:rFonts w:hint="eastAsia" w:ascii="仿宋_GB2312" w:hAnsi="仿宋_GB2312" w:eastAsia="仿宋_GB2312" w:cs="仿宋_GB2312"/>
          <w:kern w:val="2"/>
          <w:sz w:val="32"/>
          <w:szCs w:val="32"/>
          <w:lang w:val="en-US" w:eastAsia="zh-CN"/>
        </w:rPr>
        <w:t>年初预算数为0.00万元，决算数0.11万元,决算数与年初预算数存在差异的主要原因是新成立单位，人员调整变动增加资金支出。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5.住房保障支出（类）住房改革支出（款）住房公积金（项）</w:t>
      </w:r>
      <w:r>
        <w:rPr>
          <w:rFonts w:hint="eastAsia" w:ascii="仿宋_GB2312" w:hAnsi="仿宋_GB2312" w:eastAsia="仿宋_GB2312" w:cs="仿宋_GB2312"/>
          <w:kern w:val="2"/>
          <w:sz w:val="32"/>
          <w:szCs w:val="32"/>
          <w:lang w:val="en-US" w:eastAsia="zh-CN"/>
        </w:rPr>
        <w:t>年初预算数为0.00万元，决算数0.26万元,决算数与年初预算数存在差异的主要原因是新成立单位，人员调整变动增加资金支出。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2.88万元。其中：人员经费2.88万元，主要包括：基本工资、机关事业单位基本养老保险缴费、职工基本医疗保险缴费、公务员医疗补助缴费、其他社会保障缴费、住房公积金。</w:t>
      </w:r>
      <w:bookmarkStart w:id="0" w:name="_GoBack"/>
      <w:bookmarkEnd w:id="0"/>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预算为0.00万元，支出决算为0.00万元。决算数与预算数无差异。全年因公出国（境）团组0.00个，累计0.00人次。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0.00万元。2023年期末，单位开支财政拨款的公务用车保有量为</w:t>
      </w:r>
      <w:r>
        <w:rPr>
          <w:rFonts w:hint="eastAsia" w:ascii="仿宋_GB2312" w:hAnsi="仿宋_GB2312" w:eastAsia="仿宋_GB2312" w:cs="仿宋_GB2312"/>
          <w:kern w:val="2"/>
          <w:sz w:val="32"/>
          <w:szCs w:val="32"/>
          <w:lang w:val="en-US" w:eastAsia="zh-CN"/>
        </w:rPr>
        <w:t>0.00</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2023年期末，本单位共有车辆0.00辆，其中：省级领导干部用车0.00辆、主要领导干部用车0.00辆、机要通信用车0.00辆、应急保障车0.00辆、执法执勤用车0.00辆、特种专业技术用车0.00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辆、离退休干部用车0.00辆、其他用车0.00辆；单价100万元（含）以上设备（不含车辆）0.00台（套）。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涉及预算资金2.88万元。自评得分为100分，等级为“优”。从单位整体自评情况来看，绩效完成优秀。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p>
      <w:pPr>
        <w:pStyle w:val="10"/>
        <w:sectPr>
          <w:pgSz w:w="11906" w:h="16838"/>
          <w:pgMar w:top="1157" w:right="1293" w:bottom="1327" w:left="1293" w:header="851" w:footer="992" w:gutter="0"/>
          <w:cols w:space="425" w:num="1"/>
          <w:docGrid w:type="lines" w:linePitch="312" w:charSpace="0"/>
        </w:sectPr>
      </w:pPr>
      <w:r>
        <w:object>
          <v:shape id="_x0000_i1025" o:spt="75" type="#_x0000_t75" style="height:688.85pt;width:485.4pt;" o:ole="t" filled="f" o:preferrelative="t" stroked="f" coordsize="21600,21600">
            <v:path/>
            <v:fill on="f" focussize="0,0"/>
            <v:stroke on="f"/>
            <v:imagedata r:id="rId6" o:title=""/>
            <o:lock v:ext="edit" aspectratio="t"/>
            <w10:wrap type="none"/>
            <w10:anchorlock/>
          </v:shape>
          <o:OLEObject Type="Embed" ProgID="Excel.Sheet.12" ShapeID="_x0000_i1025" DrawAspect="Content" ObjectID="_1468075725" r:id="rId5">
            <o:LockedField>false</o:LockedField>
          </o:OLEObject>
        </w:objec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Caib8a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FE71C"/>
    <w:multiLevelType w:val="multilevel"/>
    <w:tmpl w:val="36FFE71C"/>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FFFC68E"/>
    <w:rsid w:val="F76F8DB2"/>
    <w:rsid w:val="FFBA2AC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d435820a-be4f-49b3-a4c7-f60f67894a81"/>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16</TotalTime>
  <ScaleCrop>false</ScaleCrop>
  <LinksUpToDate>false</LinksUpToDate>
  <CharactersWithSpaces>19414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huanghe</cp:lastModifiedBy>
  <dcterms:modified xsi:type="dcterms:W3CDTF">2024-10-10T15:52:06Z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