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许昌市国土资源局东城区分局邓庄所</w:t>
      </w:r>
      <w:r>
        <w:rPr>
          <w:rFonts w:ascii="黑体" w:eastAsia="黑体" w:hAnsi="宋体" w:cs="黑体" w:hint="eastAsia"/>
          <w:kern w:val="2"/>
          <w:sz w:val="44"/>
          <w:szCs w:val="44"/>
          <w:lang w:val="en-US" w:eastAsia="zh-CN"/>
        </w:rPr>
        <w:t xml:space="preserve">单位决算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许昌市国土资源局东城区分局邓庄所</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单位职责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许昌市国土资源局东城区分局邓庄所概况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贯彻执行国土资源管理法律、法规、政策；修编乡镇土地利用总体规划，划定和管理基本农田保护区；加强对本区域内国土资源开发、利用情况的监督检查，调查处理国土资源违法案件和权属纠纷案件；组织实施本区域内土地资源调查、土地统计和对国土资源的动态监测；接待处理人民群众来信来访等。</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许昌市国土资源局东城区分局邓庄所</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办公室</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许昌市国土资源局东城区分局邓庄所</w:t>
      </w:r>
      <w:r>
        <w:rPr>
          <w:rFonts w:ascii="仿宋" w:eastAsia="仿宋" w:hAnsi="仿宋" w:cs="仿宋" w:hint="eastAsia"/>
          <w:kern w:val="0"/>
          <w:sz w:val="32"/>
          <w:szCs w:val="32"/>
          <w:lang w:val="en-US" w:eastAsia="zh-CN"/>
        </w:rPr>
        <w:t xml:space="preserve">单位决算包括：本级决算（1个）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纳入本单位2023年度单位决算编制范围的单位共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仿宋" w:eastAsia="仿宋" w:hAnsi="仿宋" w:cs="仿宋" w:hint="eastAsia"/>
          <w:kern w:val="0"/>
          <w:sz w:val="32"/>
          <w:szCs w:val="32"/>
          <w:lang w:val="en-US" w:eastAsia="zh-CN"/>
        </w:rPr>
        <w:t xml:space="preserve">许昌市国土资源局东城区分局邓庄所</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2023年度单位决算表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单位：许昌市国土资源局东城区分局邓庄所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123.72</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5.52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7.42</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6.62</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97.98</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6.17</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123.72</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123.72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123.72</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123.72</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注：1.本表反映单位本年度的总收支和年末结转结余情况。</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单位：许昌市国土资源局东城区分局邓庄所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123.72</w:t>
            </w:r>
          </w:p>
        </w:tc>
        <w:tc>
          <w:tcPr>
            <w:tcW w:w="1440" w:type="dxa"/>
            <w:tcBorders/>
            <w:vAlign w:val="center"/>
          </w:tcPr>
          <w:p>
            <w:pPr>
              <w:jc w:val="right"/>
            </w:pPr>
            <w:r>
              <w:rPr>
                <w:rFonts w:ascii="宋体" w:eastAsia="宋体" w:hAnsi="宋体" w:cs="宋体"/>
                <w:b/>
                <w:i w:val="0"/>
                <w:color w:val="000000"/>
                <w:sz w:val="17"/>
              </w:rPr>
              <w:t xml:space="preserve">123.72</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398" w:type="dxa"/>
            <w:tcBorders/>
            <w:vAlign w:val="center"/>
          </w:tcPr>
          <w:p>
            <w:pPr>
              <w:jc w:val="right"/>
            </w:pPr>
            <w:r>
              <w:rPr>
                <w:rFonts w:ascii="宋体" w:eastAsia="宋体" w:hAnsi="宋体" w:cs="宋体"/>
                <w:b/>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5.52</w:t>
            </w:r>
          </w:p>
        </w:tc>
        <w:tc>
          <w:tcPr>
            <w:tcW w:w="1440" w:type="dxa"/>
            <w:tcBorders/>
            <w:vAlign w:val="center"/>
          </w:tcPr>
          <w:p>
            <w:pPr>
              <w:jc w:val="right"/>
            </w:pPr>
            <w:r>
              <w:rPr>
                <w:rFonts w:ascii="宋体" w:eastAsia="宋体" w:hAnsi="宋体" w:cs="宋体"/>
                <w:b w:val="0"/>
                <w:i w:val="0"/>
                <w:color w:val="000000"/>
                <w:sz w:val="17"/>
              </w:rPr>
              <w:t xml:space="preserve">5.52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0.58</w:t>
            </w:r>
          </w:p>
        </w:tc>
        <w:tc>
          <w:tcPr>
            <w:tcW w:w="1440" w:type="dxa"/>
            <w:tcBorders/>
            <w:vAlign w:val="center"/>
          </w:tcPr>
          <w:p>
            <w:pPr>
              <w:jc w:val="right"/>
            </w:pPr>
            <w:r>
              <w:rPr>
                <w:rFonts w:ascii="宋体" w:eastAsia="宋体" w:hAnsi="宋体" w:cs="宋体"/>
                <w:b w:val="0"/>
                <w:i w:val="0"/>
                <w:color w:val="000000"/>
                <w:sz w:val="17"/>
              </w:rPr>
              <w:t xml:space="preserve">0.58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0.58</w:t>
            </w:r>
          </w:p>
        </w:tc>
        <w:tc>
          <w:tcPr>
            <w:tcW w:w="1440" w:type="dxa"/>
            <w:tcBorders/>
            <w:vAlign w:val="center"/>
          </w:tcPr>
          <w:p>
            <w:pPr>
              <w:jc w:val="right"/>
            </w:pPr>
            <w:r>
              <w:rPr>
                <w:rFonts w:ascii="宋体" w:eastAsia="宋体" w:hAnsi="宋体" w:cs="宋体"/>
                <w:b w:val="0"/>
                <w:i w:val="0"/>
                <w:color w:val="000000"/>
                <w:sz w:val="17"/>
              </w:rPr>
              <w:t xml:space="preserve">0.58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4.94</w:t>
            </w:r>
          </w:p>
        </w:tc>
        <w:tc>
          <w:tcPr>
            <w:tcW w:w="1440" w:type="dxa"/>
            <w:tcBorders/>
            <w:vAlign w:val="center"/>
          </w:tcPr>
          <w:p>
            <w:pPr>
              <w:jc w:val="right"/>
            </w:pPr>
            <w:r>
              <w:rPr>
                <w:rFonts w:ascii="宋体" w:eastAsia="宋体" w:hAnsi="宋体" w:cs="宋体"/>
                <w:b w:val="0"/>
                <w:i w:val="0"/>
                <w:color w:val="000000"/>
                <w:sz w:val="17"/>
              </w:rPr>
              <w:t xml:space="preserve">4.94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4.94</w:t>
            </w:r>
          </w:p>
        </w:tc>
        <w:tc>
          <w:tcPr>
            <w:tcW w:w="1440" w:type="dxa"/>
            <w:tcBorders/>
            <w:vAlign w:val="center"/>
          </w:tcPr>
          <w:p>
            <w:pPr>
              <w:jc w:val="right"/>
            </w:pPr>
            <w:r>
              <w:rPr>
                <w:rFonts w:ascii="宋体" w:eastAsia="宋体" w:hAnsi="宋体" w:cs="宋体"/>
                <w:b w:val="0"/>
                <w:i w:val="0"/>
                <w:color w:val="000000"/>
                <w:sz w:val="17"/>
              </w:rPr>
              <w:t xml:space="preserve">4.94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7.42</w:t>
            </w:r>
          </w:p>
        </w:tc>
        <w:tc>
          <w:tcPr>
            <w:tcW w:w="1440" w:type="dxa"/>
            <w:tcBorders/>
            <w:vAlign w:val="center"/>
          </w:tcPr>
          <w:p>
            <w:pPr>
              <w:jc w:val="right"/>
            </w:pPr>
            <w:r>
              <w:rPr>
                <w:rFonts w:ascii="宋体" w:eastAsia="宋体" w:hAnsi="宋体" w:cs="宋体"/>
                <w:b w:val="0"/>
                <w:i w:val="0"/>
                <w:color w:val="000000"/>
                <w:sz w:val="17"/>
              </w:rPr>
              <w:t xml:space="preserve">7.42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7.42</w:t>
            </w:r>
          </w:p>
        </w:tc>
        <w:tc>
          <w:tcPr>
            <w:tcW w:w="1440" w:type="dxa"/>
            <w:tcBorders/>
            <w:vAlign w:val="center"/>
          </w:tcPr>
          <w:p>
            <w:pPr>
              <w:jc w:val="right"/>
            </w:pPr>
            <w:r>
              <w:rPr>
                <w:rFonts w:ascii="宋体" w:eastAsia="宋体" w:hAnsi="宋体" w:cs="宋体"/>
                <w:b w:val="0"/>
                <w:i w:val="0"/>
                <w:color w:val="000000"/>
                <w:sz w:val="17"/>
              </w:rPr>
              <w:t xml:space="preserve">7.42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事业单位离退休</w:t>
            </w:r>
          </w:p>
        </w:tc>
        <w:tc>
          <w:tcPr>
            <w:tcW w:w="1440" w:type="dxa"/>
            <w:tcBorders/>
            <w:vAlign w:val="center"/>
          </w:tcPr>
          <w:p>
            <w:pPr>
              <w:jc w:val="right"/>
            </w:pPr>
            <w:r>
              <w:rPr>
                <w:rFonts w:ascii="宋体" w:eastAsia="宋体" w:hAnsi="宋体" w:cs="宋体"/>
                <w:b w:val="0"/>
                <w:i w:val="0"/>
                <w:color w:val="000000"/>
                <w:sz w:val="17"/>
              </w:rPr>
              <w:t xml:space="preserve">0.55</w:t>
            </w:r>
          </w:p>
        </w:tc>
        <w:tc>
          <w:tcPr>
            <w:tcW w:w="1440" w:type="dxa"/>
            <w:tcBorders/>
            <w:vAlign w:val="center"/>
          </w:tcPr>
          <w:p>
            <w:pPr>
              <w:jc w:val="right"/>
            </w:pPr>
            <w:r>
              <w:rPr>
                <w:rFonts w:ascii="宋体" w:eastAsia="宋体" w:hAnsi="宋体" w:cs="宋体"/>
                <w:b w:val="0"/>
                <w:i w:val="0"/>
                <w:color w:val="000000"/>
                <w:sz w:val="17"/>
              </w:rPr>
              <w:t xml:space="preserve">0.55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6.86</w:t>
            </w:r>
          </w:p>
        </w:tc>
        <w:tc>
          <w:tcPr>
            <w:tcW w:w="1440" w:type="dxa"/>
            <w:tcBorders/>
            <w:vAlign w:val="center"/>
          </w:tcPr>
          <w:p>
            <w:pPr>
              <w:jc w:val="right"/>
            </w:pPr>
            <w:r>
              <w:rPr>
                <w:rFonts w:ascii="宋体" w:eastAsia="宋体" w:hAnsi="宋体" w:cs="宋体"/>
                <w:b w:val="0"/>
                <w:i w:val="0"/>
                <w:color w:val="000000"/>
                <w:sz w:val="17"/>
              </w:rPr>
              <w:t xml:space="preserve">6.86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6.62</w:t>
            </w:r>
          </w:p>
        </w:tc>
        <w:tc>
          <w:tcPr>
            <w:tcW w:w="1440" w:type="dxa"/>
            <w:tcBorders/>
            <w:vAlign w:val="center"/>
          </w:tcPr>
          <w:p>
            <w:pPr>
              <w:jc w:val="right"/>
            </w:pPr>
            <w:r>
              <w:rPr>
                <w:rFonts w:ascii="宋体" w:eastAsia="宋体" w:hAnsi="宋体" w:cs="宋体"/>
                <w:b w:val="0"/>
                <w:i w:val="0"/>
                <w:color w:val="000000"/>
                <w:sz w:val="17"/>
              </w:rPr>
              <w:t xml:space="preserve">6.62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6.62</w:t>
            </w:r>
          </w:p>
        </w:tc>
        <w:tc>
          <w:tcPr>
            <w:tcW w:w="1440" w:type="dxa"/>
            <w:tcBorders/>
            <w:vAlign w:val="center"/>
          </w:tcPr>
          <w:p>
            <w:pPr>
              <w:jc w:val="right"/>
            </w:pPr>
            <w:r>
              <w:rPr>
                <w:rFonts w:ascii="宋体" w:eastAsia="宋体" w:hAnsi="宋体" w:cs="宋体"/>
                <w:b w:val="0"/>
                <w:i w:val="0"/>
                <w:color w:val="000000"/>
                <w:sz w:val="17"/>
              </w:rPr>
              <w:t xml:space="preserve">6.62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事业单位医疗</w:t>
            </w:r>
          </w:p>
        </w:tc>
        <w:tc>
          <w:tcPr>
            <w:tcW w:w="1440" w:type="dxa"/>
            <w:tcBorders/>
            <w:vAlign w:val="center"/>
          </w:tcPr>
          <w:p>
            <w:pPr>
              <w:jc w:val="right"/>
            </w:pPr>
            <w:r>
              <w:rPr>
                <w:rFonts w:ascii="宋体" w:eastAsia="宋体" w:hAnsi="宋体" w:cs="宋体"/>
                <w:b w:val="0"/>
                <w:i w:val="0"/>
                <w:color w:val="000000"/>
                <w:sz w:val="17"/>
              </w:rPr>
              <w:t xml:space="preserve">3.33</w:t>
            </w:r>
          </w:p>
        </w:tc>
        <w:tc>
          <w:tcPr>
            <w:tcW w:w="1440" w:type="dxa"/>
            <w:tcBorders/>
            <w:vAlign w:val="center"/>
          </w:tcPr>
          <w:p>
            <w:pPr>
              <w:jc w:val="right"/>
            </w:pPr>
            <w:r>
              <w:rPr>
                <w:rFonts w:ascii="宋体" w:eastAsia="宋体" w:hAnsi="宋体" w:cs="宋体"/>
                <w:b w:val="0"/>
                <w:i w:val="0"/>
                <w:color w:val="000000"/>
                <w:sz w:val="17"/>
              </w:rPr>
              <w:t xml:space="preserve">3.33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公务员医疗补助</w:t>
            </w:r>
          </w:p>
        </w:tc>
        <w:tc>
          <w:tcPr>
            <w:tcW w:w="1440" w:type="dxa"/>
            <w:tcBorders/>
            <w:vAlign w:val="center"/>
          </w:tcPr>
          <w:p>
            <w:pPr>
              <w:jc w:val="right"/>
            </w:pPr>
            <w:r>
              <w:rPr>
                <w:rFonts w:ascii="宋体" w:eastAsia="宋体" w:hAnsi="宋体" w:cs="宋体"/>
                <w:b w:val="0"/>
                <w:i w:val="0"/>
                <w:color w:val="000000"/>
                <w:sz w:val="17"/>
              </w:rPr>
              <w:t xml:space="preserve">3.29</w:t>
            </w:r>
          </w:p>
        </w:tc>
        <w:tc>
          <w:tcPr>
            <w:tcW w:w="1440" w:type="dxa"/>
            <w:tcBorders/>
            <w:vAlign w:val="center"/>
          </w:tcPr>
          <w:p>
            <w:pPr>
              <w:jc w:val="right"/>
            </w:pPr>
            <w:r>
              <w:rPr>
                <w:rFonts w:ascii="宋体" w:eastAsia="宋体" w:hAnsi="宋体" w:cs="宋体"/>
                <w:b w:val="0"/>
                <w:i w:val="0"/>
                <w:color w:val="000000"/>
                <w:sz w:val="17"/>
              </w:rPr>
              <w:t xml:space="preserve">3.29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城乡社区支出</w:t>
            </w:r>
          </w:p>
        </w:tc>
        <w:tc>
          <w:tcPr>
            <w:tcW w:w="1440" w:type="dxa"/>
            <w:tcBorders/>
            <w:vAlign w:val="center"/>
          </w:tcPr>
          <w:p>
            <w:pPr>
              <w:jc w:val="right"/>
            </w:pPr>
            <w:r>
              <w:rPr>
                <w:rFonts w:ascii="宋体" w:eastAsia="宋体" w:hAnsi="宋体" w:cs="宋体"/>
                <w:b w:val="0"/>
                <w:i w:val="0"/>
                <w:color w:val="000000"/>
                <w:sz w:val="17"/>
              </w:rPr>
              <w:t xml:space="preserve">97.98</w:t>
            </w:r>
          </w:p>
        </w:tc>
        <w:tc>
          <w:tcPr>
            <w:tcW w:w="1440" w:type="dxa"/>
            <w:tcBorders/>
            <w:vAlign w:val="center"/>
          </w:tcPr>
          <w:p>
            <w:pPr>
              <w:jc w:val="right"/>
            </w:pPr>
            <w:r>
              <w:rPr>
                <w:rFonts w:ascii="宋体" w:eastAsia="宋体" w:hAnsi="宋体" w:cs="宋体"/>
                <w:b w:val="0"/>
                <w:i w:val="0"/>
                <w:color w:val="000000"/>
                <w:sz w:val="17"/>
              </w:rPr>
              <w:t xml:space="preserve">97.98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城乡社区管理事务</w:t>
            </w:r>
          </w:p>
        </w:tc>
        <w:tc>
          <w:tcPr>
            <w:tcW w:w="1440" w:type="dxa"/>
            <w:tcBorders/>
            <w:vAlign w:val="center"/>
          </w:tcPr>
          <w:p>
            <w:pPr>
              <w:jc w:val="right"/>
            </w:pPr>
            <w:r>
              <w:rPr>
                <w:rFonts w:ascii="宋体" w:eastAsia="宋体" w:hAnsi="宋体" w:cs="宋体"/>
                <w:b w:val="0"/>
                <w:i w:val="0"/>
                <w:color w:val="000000"/>
                <w:sz w:val="17"/>
              </w:rPr>
              <w:t xml:space="preserve">97.98</w:t>
            </w:r>
          </w:p>
        </w:tc>
        <w:tc>
          <w:tcPr>
            <w:tcW w:w="1440" w:type="dxa"/>
            <w:tcBorders/>
            <w:vAlign w:val="center"/>
          </w:tcPr>
          <w:p>
            <w:pPr>
              <w:jc w:val="right"/>
            </w:pPr>
            <w:r>
              <w:rPr>
                <w:rFonts w:ascii="宋体" w:eastAsia="宋体" w:hAnsi="宋体" w:cs="宋体"/>
                <w:b w:val="0"/>
                <w:i w:val="0"/>
                <w:color w:val="000000"/>
                <w:sz w:val="17"/>
              </w:rPr>
              <w:t xml:space="preserve">97.98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2120199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其他城乡社区管理事务支出</w:t>
            </w:r>
          </w:p>
        </w:tc>
        <w:tc>
          <w:tcPr>
            <w:tcW w:w="1440" w:type="dxa"/>
            <w:tcBorders/>
            <w:vAlign w:val="center"/>
          </w:tcPr>
          <w:p>
            <w:pPr>
              <w:jc w:val="right"/>
            </w:pPr>
            <w:r>
              <w:rPr>
                <w:rFonts w:ascii="宋体" w:eastAsia="宋体" w:hAnsi="宋体" w:cs="宋体"/>
                <w:b w:val="0"/>
                <w:i w:val="0"/>
                <w:color w:val="000000"/>
                <w:sz w:val="17"/>
              </w:rPr>
              <w:t xml:space="preserve">97.98</w:t>
            </w:r>
          </w:p>
        </w:tc>
        <w:tc>
          <w:tcPr>
            <w:tcW w:w="1440" w:type="dxa"/>
            <w:tcBorders/>
            <w:vAlign w:val="center"/>
          </w:tcPr>
          <w:p>
            <w:pPr>
              <w:jc w:val="right"/>
            </w:pPr>
            <w:r>
              <w:rPr>
                <w:rFonts w:ascii="宋体" w:eastAsia="宋体" w:hAnsi="宋体" w:cs="宋体"/>
                <w:b w:val="0"/>
                <w:i w:val="0"/>
                <w:color w:val="000000"/>
                <w:sz w:val="17"/>
              </w:rPr>
              <w:t xml:space="preserve">97.98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6.17</w:t>
            </w:r>
          </w:p>
        </w:tc>
        <w:tc>
          <w:tcPr>
            <w:tcW w:w="1440" w:type="dxa"/>
            <w:tcBorders/>
            <w:vAlign w:val="center"/>
          </w:tcPr>
          <w:p>
            <w:pPr>
              <w:jc w:val="right"/>
            </w:pPr>
            <w:r>
              <w:rPr>
                <w:rFonts w:ascii="宋体" w:eastAsia="宋体" w:hAnsi="宋体" w:cs="宋体"/>
                <w:b w:val="0"/>
                <w:i w:val="0"/>
                <w:color w:val="000000"/>
                <w:sz w:val="17"/>
              </w:rPr>
              <w:t xml:space="preserve">6.17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6.17</w:t>
            </w:r>
          </w:p>
        </w:tc>
        <w:tc>
          <w:tcPr>
            <w:tcW w:w="1440" w:type="dxa"/>
            <w:tcBorders/>
            <w:vAlign w:val="center"/>
          </w:tcPr>
          <w:p>
            <w:pPr>
              <w:jc w:val="right"/>
            </w:pPr>
            <w:r>
              <w:rPr>
                <w:rFonts w:ascii="宋体" w:eastAsia="宋体" w:hAnsi="宋体" w:cs="宋体"/>
                <w:b w:val="0"/>
                <w:i w:val="0"/>
                <w:color w:val="000000"/>
                <w:sz w:val="17"/>
              </w:rPr>
              <w:t xml:space="preserve">6.17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6.17</w:t>
            </w:r>
          </w:p>
        </w:tc>
        <w:tc>
          <w:tcPr>
            <w:tcW w:w="1440" w:type="dxa"/>
            <w:tcBorders/>
            <w:vAlign w:val="center"/>
          </w:tcPr>
          <w:p>
            <w:pPr>
              <w:jc w:val="right"/>
            </w:pPr>
            <w:r>
              <w:rPr>
                <w:rFonts w:ascii="宋体" w:eastAsia="宋体" w:hAnsi="宋体" w:cs="宋体"/>
                <w:b w:val="0"/>
                <w:i w:val="0"/>
                <w:color w:val="000000"/>
                <w:sz w:val="17"/>
              </w:rPr>
              <w:t xml:space="preserve">6.17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单位：许昌市国土资源局东城区分局邓庄所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123.72</w:t>
            </w:r>
          </w:p>
        </w:tc>
        <w:tc>
          <w:tcPr>
            <w:tcW w:w="1600" w:type="dxa"/>
            <w:tcBorders/>
            <w:vAlign w:val="center"/>
          </w:tcPr>
          <w:p>
            <w:pPr>
              <w:jc w:val="right"/>
            </w:pPr>
            <w:r>
              <w:rPr>
                <w:rFonts w:ascii="宋体" w:eastAsia="宋体" w:hAnsi="宋体" w:cs="宋体"/>
                <w:b/>
                <w:i w:val="0"/>
                <w:color w:val="000000"/>
                <w:sz w:val="19"/>
              </w:rPr>
              <w:t xml:space="preserve">123.72</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578" w:type="dxa"/>
            <w:tcBorders/>
            <w:vAlign w:val="center"/>
          </w:tcPr>
          <w:p>
            <w:pPr>
              <w:jc w:val="right"/>
            </w:pPr>
            <w:r>
              <w:rPr>
                <w:rFonts w:ascii="宋体" w:eastAsia="宋体" w:hAnsi="宋体" w:cs="宋体"/>
                <w:b/>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5.52</w:t>
            </w:r>
          </w:p>
        </w:tc>
        <w:tc>
          <w:tcPr>
            <w:tcW w:w="1600" w:type="dxa"/>
            <w:tcBorders/>
            <w:vAlign w:val="center"/>
          </w:tcPr>
          <w:p>
            <w:pPr>
              <w:jc w:val="right"/>
            </w:pPr>
            <w:r>
              <w:rPr>
                <w:rFonts w:ascii="宋体" w:eastAsia="宋体" w:hAnsi="宋体" w:cs="宋体"/>
                <w:b w:val="0"/>
                <w:i w:val="0"/>
                <w:color w:val="000000"/>
                <w:sz w:val="19"/>
              </w:rPr>
              <w:t xml:space="preserve">5.52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0.58</w:t>
            </w:r>
          </w:p>
        </w:tc>
        <w:tc>
          <w:tcPr>
            <w:tcW w:w="1600" w:type="dxa"/>
            <w:tcBorders/>
            <w:vAlign w:val="center"/>
          </w:tcPr>
          <w:p>
            <w:pPr>
              <w:jc w:val="right"/>
            </w:pPr>
            <w:r>
              <w:rPr>
                <w:rFonts w:ascii="宋体" w:eastAsia="宋体" w:hAnsi="宋体" w:cs="宋体"/>
                <w:b w:val="0"/>
                <w:i w:val="0"/>
                <w:color w:val="000000"/>
                <w:sz w:val="19"/>
              </w:rPr>
              <w:t xml:space="preserve">0.58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0.58</w:t>
            </w:r>
          </w:p>
        </w:tc>
        <w:tc>
          <w:tcPr>
            <w:tcW w:w="1600" w:type="dxa"/>
            <w:tcBorders/>
            <w:vAlign w:val="center"/>
          </w:tcPr>
          <w:p>
            <w:pPr>
              <w:jc w:val="right"/>
            </w:pPr>
            <w:r>
              <w:rPr>
                <w:rFonts w:ascii="宋体" w:eastAsia="宋体" w:hAnsi="宋体" w:cs="宋体"/>
                <w:b w:val="0"/>
                <w:i w:val="0"/>
                <w:color w:val="000000"/>
                <w:sz w:val="19"/>
              </w:rPr>
              <w:t xml:space="preserve">0.58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4.94</w:t>
            </w:r>
          </w:p>
        </w:tc>
        <w:tc>
          <w:tcPr>
            <w:tcW w:w="1600" w:type="dxa"/>
            <w:tcBorders/>
            <w:vAlign w:val="center"/>
          </w:tcPr>
          <w:p>
            <w:pPr>
              <w:jc w:val="right"/>
            </w:pPr>
            <w:r>
              <w:rPr>
                <w:rFonts w:ascii="宋体" w:eastAsia="宋体" w:hAnsi="宋体" w:cs="宋体"/>
                <w:b w:val="0"/>
                <w:i w:val="0"/>
                <w:color w:val="000000"/>
                <w:sz w:val="19"/>
              </w:rPr>
              <w:t xml:space="preserve">4.94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4.94</w:t>
            </w:r>
          </w:p>
        </w:tc>
        <w:tc>
          <w:tcPr>
            <w:tcW w:w="1600" w:type="dxa"/>
            <w:tcBorders/>
            <w:vAlign w:val="center"/>
          </w:tcPr>
          <w:p>
            <w:pPr>
              <w:jc w:val="right"/>
            </w:pPr>
            <w:r>
              <w:rPr>
                <w:rFonts w:ascii="宋体" w:eastAsia="宋体" w:hAnsi="宋体" w:cs="宋体"/>
                <w:b w:val="0"/>
                <w:i w:val="0"/>
                <w:color w:val="000000"/>
                <w:sz w:val="19"/>
              </w:rPr>
              <w:t xml:space="preserve">4.94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7.42</w:t>
            </w:r>
          </w:p>
        </w:tc>
        <w:tc>
          <w:tcPr>
            <w:tcW w:w="1600" w:type="dxa"/>
            <w:tcBorders/>
            <w:vAlign w:val="center"/>
          </w:tcPr>
          <w:p>
            <w:pPr>
              <w:jc w:val="right"/>
            </w:pPr>
            <w:r>
              <w:rPr>
                <w:rFonts w:ascii="宋体" w:eastAsia="宋体" w:hAnsi="宋体" w:cs="宋体"/>
                <w:b w:val="0"/>
                <w:i w:val="0"/>
                <w:color w:val="000000"/>
                <w:sz w:val="19"/>
              </w:rPr>
              <w:t xml:space="preserve">7.42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7.42</w:t>
            </w:r>
          </w:p>
        </w:tc>
        <w:tc>
          <w:tcPr>
            <w:tcW w:w="1600" w:type="dxa"/>
            <w:tcBorders/>
            <w:vAlign w:val="center"/>
          </w:tcPr>
          <w:p>
            <w:pPr>
              <w:jc w:val="right"/>
            </w:pPr>
            <w:r>
              <w:rPr>
                <w:rFonts w:ascii="宋体" w:eastAsia="宋体" w:hAnsi="宋体" w:cs="宋体"/>
                <w:b w:val="0"/>
                <w:i w:val="0"/>
                <w:color w:val="000000"/>
                <w:sz w:val="19"/>
              </w:rPr>
              <w:t xml:space="preserve">7.42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事业单位离退休</w:t>
            </w:r>
          </w:p>
        </w:tc>
        <w:tc>
          <w:tcPr>
            <w:tcW w:w="1600" w:type="dxa"/>
            <w:tcBorders/>
            <w:vAlign w:val="center"/>
          </w:tcPr>
          <w:p>
            <w:pPr>
              <w:jc w:val="right"/>
            </w:pPr>
            <w:r>
              <w:rPr>
                <w:rFonts w:ascii="宋体" w:eastAsia="宋体" w:hAnsi="宋体" w:cs="宋体"/>
                <w:b w:val="0"/>
                <w:i w:val="0"/>
                <w:color w:val="000000"/>
                <w:sz w:val="19"/>
              </w:rPr>
              <w:t xml:space="preserve">0.55</w:t>
            </w:r>
          </w:p>
        </w:tc>
        <w:tc>
          <w:tcPr>
            <w:tcW w:w="1600" w:type="dxa"/>
            <w:tcBorders/>
            <w:vAlign w:val="center"/>
          </w:tcPr>
          <w:p>
            <w:pPr>
              <w:jc w:val="right"/>
            </w:pPr>
            <w:r>
              <w:rPr>
                <w:rFonts w:ascii="宋体" w:eastAsia="宋体" w:hAnsi="宋体" w:cs="宋体"/>
                <w:b w:val="0"/>
                <w:i w:val="0"/>
                <w:color w:val="000000"/>
                <w:sz w:val="19"/>
              </w:rPr>
              <w:t xml:space="preserve">0.55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6.86</w:t>
            </w:r>
          </w:p>
        </w:tc>
        <w:tc>
          <w:tcPr>
            <w:tcW w:w="1600" w:type="dxa"/>
            <w:tcBorders/>
            <w:vAlign w:val="center"/>
          </w:tcPr>
          <w:p>
            <w:pPr>
              <w:jc w:val="right"/>
            </w:pPr>
            <w:r>
              <w:rPr>
                <w:rFonts w:ascii="宋体" w:eastAsia="宋体" w:hAnsi="宋体" w:cs="宋体"/>
                <w:b w:val="0"/>
                <w:i w:val="0"/>
                <w:color w:val="000000"/>
                <w:sz w:val="19"/>
              </w:rPr>
              <w:t xml:space="preserve">6.86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6.62</w:t>
            </w:r>
          </w:p>
        </w:tc>
        <w:tc>
          <w:tcPr>
            <w:tcW w:w="1600" w:type="dxa"/>
            <w:tcBorders/>
            <w:vAlign w:val="center"/>
          </w:tcPr>
          <w:p>
            <w:pPr>
              <w:jc w:val="right"/>
            </w:pPr>
            <w:r>
              <w:rPr>
                <w:rFonts w:ascii="宋体" w:eastAsia="宋体" w:hAnsi="宋体" w:cs="宋体"/>
                <w:b w:val="0"/>
                <w:i w:val="0"/>
                <w:color w:val="000000"/>
                <w:sz w:val="19"/>
              </w:rPr>
              <w:t xml:space="preserve">6.62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6.62</w:t>
            </w:r>
          </w:p>
        </w:tc>
        <w:tc>
          <w:tcPr>
            <w:tcW w:w="1600" w:type="dxa"/>
            <w:tcBorders/>
            <w:vAlign w:val="center"/>
          </w:tcPr>
          <w:p>
            <w:pPr>
              <w:jc w:val="right"/>
            </w:pPr>
            <w:r>
              <w:rPr>
                <w:rFonts w:ascii="宋体" w:eastAsia="宋体" w:hAnsi="宋体" w:cs="宋体"/>
                <w:b w:val="0"/>
                <w:i w:val="0"/>
                <w:color w:val="000000"/>
                <w:sz w:val="19"/>
              </w:rPr>
              <w:t xml:space="preserve">6.62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事业单位医疗</w:t>
            </w:r>
          </w:p>
        </w:tc>
        <w:tc>
          <w:tcPr>
            <w:tcW w:w="1600" w:type="dxa"/>
            <w:tcBorders/>
            <w:vAlign w:val="center"/>
          </w:tcPr>
          <w:p>
            <w:pPr>
              <w:jc w:val="right"/>
            </w:pPr>
            <w:r>
              <w:rPr>
                <w:rFonts w:ascii="宋体" w:eastAsia="宋体" w:hAnsi="宋体" w:cs="宋体"/>
                <w:b w:val="0"/>
                <w:i w:val="0"/>
                <w:color w:val="000000"/>
                <w:sz w:val="19"/>
              </w:rPr>
              <w:t xml:space="preserve">3.33</w:t>
            </w:r>
          </w:p>
        </w:tc>
        <w:tc>
          <w:tcPr>
            <w:tcW w:w="1600" w:type="dxa"/>
            <w:tcBorders/>
            <w:vAlign w:val="center"/>
          </w:tcPr>
          <w:p>
            <w:pPr>
              <w:jc w:val="right"/>
            </w:pPr>
            <w:r>
              <w:rPr>
                <w:rFonts w:ascii="宋体" w:eastAsia="宋体" w:hAnsi="宋体" w:cs="宋体"/>
                <w:b w:val="0"/>
                <w:i w:val="0"/>
                <w:color w:val="000000"/>
                <w:sz w:val="19"/>
              </w:rPr>
              <w:t xml:space="preserve">3.33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公务员医疗补助</w:t>
            </w:r>
          </w:p>
        </w:tc>
        <w:tc>
          <w:tcPr>
            <w:tcW w:w="1600" w:type="dxa"/>
            <w:tcBorders/>
            <w:vAlign w:val="center"/>
          </w:tcPr>
          <w:p>
            <w:pPr>
              <w:jc w:val="right"/>
            </w:pPr>
            <w:r>
              <w:rPr>
                <w:rFonts w:ascii="宋体" w:eastAsia="宋体" w:hAnsi="宋体" w:cs="宋体"/>
                <w:b w:val="0"/>
                <w:i w:val="0"/>
                <w:color w:val="000000"/>
                <w:sz w:val="19"/>
              </w:rPr>
              <w:t xml:space="preserve">3.29</w:t>
            </w:r>
          </w:p>
        </w:tc>
        <w:tc>
          <w:tcPr>
            <w:tcW w:w="1600" w:type="dxa"/>
            <w:tcBorders/>
            <w:vAlign w:val="center"/>
          </w:tcPr>
          <w:p>
            <w:pPr>
              <w:jc w:val="right"/>
            </w:pPr>
            <w:r>
              <w:rPr>
                <w:rFonts w:ascii="宋体" w:eastAsia="宋体" w:hAnsi="宋体" w:cs="宋体"/>
                <w:b w:val="0"/>
                <w:i w:val="0"/>
                <w:color w:val="000000"/>
                <w:sz w:val="19"/>
              </w:rPr>
              <w:t xml:space="preserve">3.29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城乡社区支出</w:t>
            </w:r>
          </w:p>
        </w:tc>
        <w:tc>
          <w:tcPr>
            <w:tcW w:w="1600" w:type="dxa"/>
            <w:tcBorders/>
            <w:vAlign w:val="center"/>
          </w:tcPr>
          <w:p>
            <w:pPr>
              <w:jc w:val="right"/>
            </w:pPr>
            <w:r>
              <w:rPr>
                <w:rFonts w:ascii="宋体" w:eastAsia="宋体" w:hAnsi="宋体" w:cs="宋体"/>
                <w:b w:val="0"/>
                <w:i w:val="0"/>
                <w:color w:val="000000"/>
                <w:sz w:val="19"/>
              </w:rPr>
              <w:t xml:space="preserve">97.98</w:t>
            </w:r>
          </w:p>
        </w:tc>
        <w:tc>
          <w:tcPr>
            <w:tcW w:w="1600" w:type="dxa"/>
            <w:tcBorders/>
            <w:vAlign w:val="center"/>
          </w:tcPr>
          <w:p>
            <w:pPr>
              <w:jc w:val="right"/>
            </w:pPr>
            <w:r>
              <w:rPr>
                <w:rFonts w:ascii="宋体" w:eastAsia="宋体" w:hAnsi="宋体" w:cs="宋体"/>
                <w:b w:val="0"/>
                <w:i w:val="0"/>
                <w:color w:val="000000"/>
                <w:sz w:val="19"/>
              </w:rPr>
              <w:t xml:space="preserve">97.98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城乡社区管理事务</w:t>
            </w:r>
          </w:p>
        </w:tc>
        <w:tc>
          <w:tcPr>
            <w:tcW w:w="1600" w:type="dxa"/>
            <w:tcBorders/>
            <w:vAlign w:val="center"/>
          </w:tcPr>
          <w:p>
            <w:pPr>
              <w:jc w:val="right"/>
            </w:pPr>
            <w:r>
              <w:rPr>
                <w:rFonts w:ascii="宋体" w:eastAsia="宋体" w:hAnsi="宋体" w:cs="宋体"/>
                <w:b w:val="0"/>
                <w:i w:val="0"/>
                <w:color w:val="000000"/>
                <w:sz w:val="19"/>
              </w:rPr>
              <w:t xml:space="preserve">97.98</w:t>
            </w:r>
          </w:p>
        </w:tc>
        <w:tc>
          <w:tcPr>
            <w:tcW w:w="1600" w:type="dxa"/>
            <w:tcBorders/>
            <w:vAlign w:val="center"/>
          </w:tcPr>
          <w:p>
            <w:pPr>
              <w:jc w:val="right"/>
            </w:pPr>
            <w:r>
              <w:rPr>
                <w:rFonts w:ascii="宋体" w:eastAsia="宋体" w:hAnsi="宋体" w:cs="宋体"/>
                <w:b w:val="0"/>
                <w:i w:val="0"/>
                <w:color w:val="000000"/>
                <w:sz w:val="19"/>
              </w:rPr>
              <w:t xml:space="preserve">97.98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2120199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其他城乡社区管理事务支出</w:t>
            </w:r>
          </w:p>
        </w:tc>
        <w:tc>
          <w:tcPr>
            <w:tcW w:w="1600" w:type="dxa"/>
            <w:tcBorders/>
            <w:vAlign w:val="center"/>
          </w:tcPr>
          <w:p>
            <w:pPr>
              <w:jc w:val="right"/>
            </w:pPr>
            <w:r>
              <w:rPr>
                <w:rFonts w:ascii="宋体" w:eastAsia="宋体" w:hAnsi="宋体" w:cs="宋体"/>
                <w:b w:val="0"/>
                <w:i w:val="0"/>
                <w:color w:val="000000"/>
                <w:sz w:val="19"/>
              </w:rPr>
              <w:t xml:space="preserve">97.98</w:t>
            </w:r>
          </w:p>
        </w:tc>
        <w:tc>
          <w:tcPr>
            <w:tcW w:w="1600" w:type="dxa"/>
            <w:tcBorders/>
            <w:vAlign w:val="center"/>
          </w:tcPr>
          <w:p>
            <w:pPr>
              <w:jc w:val="right"/>
            </w:pPr>
            <w:r>
              <w:rPr>
                <w:rFonts w:ascii="宋体" w:eastAsia="宋体" w:hAnsi="宋体" w:cs="宋体"/>
                <w:b w:val="0"/>
                <w:i w:val="0"/>
                <w:color w:val="000000"/>
                <w:sz w:val="19"/>
              </w:rPr>
              <w:t xml:space="preserve">97.98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6.17</w:t>
            </w:r>
          </w:p>
        </w:tc>
        <w:tc>
          <w:tcPr>
            <w:tcW w:w="1600" w:type="dxa"/>
            <w:tcBorders/>
            <w:vAlign w:val="center"/>
          </w:tcPr>
          <w:p>
            <w:pPr>
              <w:jc w:val="right"/>
            </w:pPr>
            <w:r>
              <w:rPr>
                <w:rFonts w:ascii="宋体" w:eastAsia="宋体" w:hAnsi="宋体" w:cs="宋体"/>
                <w:b w:val="0"/>
                <w:i w:val="0"/>
                <w:color w:val="000000"/>
                <w:sz w:val="19"/>
              </w:rPr>
              <w:t xml:space="preserve">6.17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6.17</w:t>
            </w:r>
          </w:p>
        </w:tc>
        <w:tc>
          <w:tcPr>
            <w:tcW w:w="1600" w:type="dxa"/>
            <w:tcBorders/>
            <w:vAlign w:val="center"/>
          </w:tcPr>
          <w:p>
            <w:pPr>
              <w:jc w:val="right"/>
            </w:pPr>
            <w:r>
              <w:rPr>
                <w:rFonts w:ascii="宋体" w:eastAsia="宋体" w:hAnsi="宋体" w:cs="宋体"/>
                <w:b w:val="0"/>
                <w:i w:val="0"/>
                <w:color w:val="000000"/>
                <w:sz w:val="19"/>
              </w:rPr>
              <w:t xml:space="preserve">6.17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6.17</w:t>
            </w:r>
          </w:p>
        </w:tc>
        <w:tc>
          <w:tcPr>
            <w:tcW w:w="1600" w:type="dxa"/>
            <w:tcBorders/>
            <w:vAlign w:val="center"/>
          </w:tcPr>
          <w:p>
            <w:pPr>
              <w:jc w:val="right"/>
            </w:pPr>
            <w:r>
              <w:rPr>
                <w:rFonts w:ascii="宋体" w:eastAsia="宋体" w:hAnsi="宋体" w:cs="宋体"/>
                <w:b w:val="0"/>
                <w:i w:val="0"/>
                <w:color w:val="000000"/>
                <w:sz w:val="19"/>
              </w:rPr>
              <w:t xml:space="preserve">6.17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注：本表反映单位本年度各项支出情况。本表金额转换为万元时，因四舍五入可能存在尾差。</w:t>
      </w:r>
    </w:p>
    <w:p>
      <w:pPr>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单位：许昌市国土资源局东城区分局邓庄所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123.72</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5.52</w:t>
            </w:r>
          </w:p>
        </w:tc>
        <w:tc>
          <w:tcPr>
            <w:tcW w:w="1420" w:type="dxa"/>
            <w:tcBorders/>
            <w:vAlign w:val="center"/>
          </w:tcPr>
          <w:p>
            <w:pPr>
              <w:jc w:val="right"/>
            </w:pPr>
            <w:r>
              <w:rPr>
                <w:rFonts w:ascii="宋体" w:eastAsia="宋体" w:hAnsi="宋体" w:cs="宋体"/>
                <w:b w:val="0"/>
                <w:i w:val="0"/>
                <w:color w:val="000000"/>
                <w:sz w:val="18"/>
              </w:rPr>
              <w:t xml:space="preserve">5.52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7.42</w:t>
            </w:r>
          </w:p>
        </w:tc>
        <w:tc>
          <w:tcPr>
            <w:tcW w:w="1420" w:type="dxa"/>
            <w:tcBorders/>
            <w:vAlign w:val="center"/>
          </w:tcPr>
          <w:p>
            <w:pPr>
              <w:jc w:val="right"/>
            </w:pPr>
            <w:r>
              <w:rPr>
                <w:rFonts w:ascii="宋体" w:eastAsia="宋体" w:hAnsi="宋体" w:cs="宋体"/>
                <w:b w:val="0"/>
                <w:i w:val="0"/>
                <w:color w:val="000000"/>
                <w:sz w:val="18"/>
              </w:rPr>
              <w:t xml:space="preserve">7.42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6.62</w:t>
            </w:r>
          </w:p>
        </w:tc>
        <w:tc>
          <w:tcPr>
            <w:tcW w:w="1420" w:type="dxa"/>
            <w:tcBorders/>
            <w:vAlign w:val="center"/>
          </w:tcPr>
          <w:p>
            <w:pPr>
              <w:jc w:val="right"/>
            </w:pPr>
            <w:r>
              <w:rPr>
                <w:rFonts w:ascii="宋体" w:eastAsia="宋体" w:hAnsi="宋体" w:cs="宋体"/>
                <w:b w:val="0"/>
                <w:i w:val="0"/>
                <w:color w:val="000000"/>
                <w:sz w:val="18"/>
              </w:rPr>
              <w:t xml:space="preserve">6.62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97.98</w:t>
            </w:r>
          </w:p>
        </w:tc>
        <w:tc>
          <w:tcPr>
            <w:tcW w:w="1420" w:type="dxa"/>
            <w:tcBorders/>
            <w:vAlign w:val="center"/>
          </w:tcPr>
          <w:p>
            <w:pPr>
              <w:jc w:val="right"/>
            </w:pPr>
            <w:r>
              <w:rPr>
                <w:rFonts w:ascii="宋体" w:eastAsia="宋体" w:hAnsi="宋体" w:cs="宋体"/>
                <w:b w:val="0"/>
                <w:i w:val="0"/>
                <w:color w:val="000000"/>
                <w:sz w:val="18"/>
              </w:rPr>
              <w:t xml:space="preserve">97.98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6.17</w:t>
            </w:r>
          </w:p>
        </w:tc>
        <w:tc>
          <w:tcPr>
            <w:tcW w:w="1420" w:type="dxa"/>
            <w:tcBorders/>
            <w:vAlign w:val="center"/>
          </w:tcPr>
          <w:p>
            <w:pPr>
              <w:jc w:val="right"/>
            </w:pPr>
            <w:r>
              <w:rPr>
                <w:rFonts w:ascii="宋体" w:eastAsia="宋体" w:hAnsi="宋体" w:cs="宋体"/>
                <w:b w:val="0"/>
                <w:i w:val="0"/>
                <w:color w:val="000000"/>
                <w:sz w:val="18"/>
              </w:rPr>
              <w:t xml:space="preserve">6.17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123.72</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123.72</w:t>
            </w:r>
          </w:p>
        </w:tc>
        <w:tc>
          <w:tcPr>
            <w:tcW w:w="1420" w:type="dxa"/>
            <w:tcBorders/>
            <w:vAlign w:val="center"/>
          </w:tcPr>
          <w:p>
            <w:pPr>
              <w:jc w:val="right"/>
            </w:pPr>
            <w:r>
              <w:rPr>
                <w:rFonts w:ascii="宋体" w:eastAsia="宋体" w:hAnsi="宋体" w:cs="宋体"/>
                <w:b w:val="0"/>
                <w:i w:val="0"/>
                <w:color w:val="000000"/>
                <w:sz w:val="18"/>
              </w:rPr>
              <w:t xml:space="preserve">123.72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123.72</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123.72</w:t>
            </w:r>
          </w:p>
        </w:tc>
        <w:tc>
          <w:tcPr>
            <w:tcW w:w="1420" w:type="dxa"/>
            <w:tcBorders/>
            <w:vAlign w:val="center"/>
          </w:tcPr>
          <w:p>
            <w:pPr>
              <w:jc w:val="right"/>
            </w:pPr>
            <w:r>
              <w:rPr>
                <w:rFonts w:ascii="宋体" w:eastAsia="宋体" w:hAnsi="宋体" w:cs="宋体"/>
                <w:b w:val="0"/>
                <w:i w:val="0"/>
                <w:color w:val="000000"/>
                <w:sz w:val="18"/>
              </w:rPr>
              <w:t xml:space="preserve">123.72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单位：许昌市国土资源局东城区分局邓庄所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123.72</w:t>
            </w:r>
          </w:p>
        </w:tc>
        <w:tc>
          <w:tcPr>
            <w:tcW w:w="2700" w:type="dxa"/>
            <w:tcBorders/>
            <w:vAlign w:val="center"/>
          </w:tcPr>
          <w:p>
            <w:pPr>
              <w:jc w:val="right"/>
            </w:pPr>
            <w:r>
              <w:rPr>
                <w:rFonts w:ascii="宋体" w:eastAsia="宋体" w:hAnsi="宋体" w:cs="宋体"/>
                <w:b/>
                <w:i w:val="0"/>
                <w:color w:val="000000"/>
                <w:sz w:val="25"/>
              </w:rPr>
              <w:t xml:space="preserve">123.72</w:t>
            </w:r>
          </w:p>
        </w:tc>
        <w:tc>
          <w:tcPr>
            <w:tcW w:w="2658" w:type="dxa"/>
            <w:tcBorders/>
            <w:vAlign w:val="center"/>
          </w:tcPr>
          <w:p>
            <w:pPr>
              <w:jc w:val="right"/>
            </w:pPr>
            <w:r>
              <w:rPr>
                <w:rFonts w:ascii="宋体" w:eastAsia="宋体" w:hAnsi="宋体" w:cs="宋体"/>
                <w:b/>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5.52</w:t>
            </w:r>
          </w:p>
        </w:tc>
        <w:tc>
          <w:tcPr>
            <w:tcW w:w="2700" w:type="dxa"/>
            <w:tcBorders/>
            <w:vAlign w:val="center"/>
          </w:tcPr>
          <w:p>
            <w:pPr>
              <w:jc w:val="right"/>
            </w:pPr>
            <w:r>
              <w:rPr>
                <w:rFonts w:ascii="宋体" w:eastAsia="宋体" w:hAnsi="宋体" w:cs="宋体"/>
                <w:b w:val="0"/>
                <w:i w:val="0"/>
                <w:color w:val="000000"/>
                <w:sz w:val="25"/>
              </w:rPr>
              <w:t xml:space="preserve">5.52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0.58</w:t>
            </w:r>
          </w:p>
        </w:tc>
        <w:tc>
          <w:tcPr>
            <w:tcW w:w="2700" w:type="dxa"/>
            <w:tcBorders/>
            <w:vAlign w:val="center"/>
          </w:tcPr>
          <w:p>
            <w:pPr>
              <w:jc w:val="right"/>
            </w:pPr>
            <w:r>
              <w:rPr>
                <w:rFonts w:ascii="宋体" w:eastAsia="宋体" w:hAnsi="宋体" w:cs="宋体"/>
                <w:b w:val="0"/>
                <w:i w:val="0"/>
                <w:color w:val="000000"/>
                <w:sz w:val="25"/>
              </w:rPr>
              <w:t xml:space="preserve">0.58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0.58</w:t>
            </w:r>
          </w:p>
        </w:tc>
        <w:tc>
          <w:tcPr>
            <w:tcW w:w="2700" w:type="dxa"/>
            <w:tcBorders/>
            <w:vAlign w:val="center"/>
          </w:tcPr>
          <w:p>
            <w:pPr>
              <w:jc w:val="right"/>
            </w:pPr>
            <w:r>
              <w:rPr>
                <w:rFonts w:ascii="宋体" w:eastAsia="宋体" w:hAnsi="宋体" w:cs="宋体"/>
                <w:b w:val="0"/>
                <w:i w:val="0"/>
                <w:color w:val="000000"/>
                <w:sz w:val="25"/>
              </w:rPr>
              <w:t xml:space="preserve">0.58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4.94</w:t>
            </w:r>
          </w:p>
        </w:tc>
        <w:tc>
          <w:tcPr>
            <w:tcW w:w="2700" w:type="dxa"/>
            <w:tcBorders/>
            <w:vAlign w:val="center"/>
          </w:tcPr>
          <w:p>
            <w:pPr>
              <w:jc w:val="right"/>
            </w:pPr>
            <w:r>
              <w:rPr>
                <w:rFonts w:ascii="宋体" w:eastAsia="宋体" w:hAnsi="宋体" w:cs="宋体"/>
                <w:b w:val="0"/>
                <w:i w:val="0"/>
                <w:color w:val="000000"/>
                <w:sz w:val="25"/>
              </w:rPr>
              <w:t xml:space="preserve">4.94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4.94</w:t>
            </w:r>
          </w:p>
        </w:tc>
        <w:tc>
          <w:tcPr>
            <w:tcW w:w="2700" w:type="dxa"/>
            <w:tcBorders/>
            <w:vAlign w:val="center"/>
          </w:tcPr>
          <w:p>
            <w:pPr>
              <w:jc w:val="right"/>
            </w:pPr>
            <w:r>
              <w:rPr>
                <w:rFonts w:ascii="宋体" w:eastAsia="宋体" w:hAnsi="宋体" w:cs="宋体"/>
                <w:b w:val="0"/>
                <w:i w:val="0"/>
                <w:color w:val="000000"/>
                <w:sz w:val="25"/>
              </w:rPr>
              <w:t xml:space="preserve">4.94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7.42</w:t>
            </w:r>
          </w:p>
        </w:tc>
        <w:tc>
          <w:tcPr>
            <w:tcW w:w="2700" w:type="dxa"/>
            <w:tcBorders/>
            <w:vAlign w:val="center"/>
          </w:tcPr>
          <w:p>
            <w:pPr>
              <w:jc w:val="right"/>
            </w:pPr>
            <w:r>
              <w:rPr>
                <w:rFonts w:ascii="宋体" w:eastAsia="宋体" w:hAnsi="宋体" w:cs="宋体"/>
                <w:b w:val="0"/>
                <w:i w:val="0"/>
                <w:color w:val="000000"/>
                <w:sz w:val="25"/>
              </w:rPr>
              <w:t xml:space="preserve">7.42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7.42</w:t>
            </w:r>
          </w:p>
        </w:tc>
        <w:tc>
          <w:tcPr>
            <w:tcW w:w="2700" w:type="dxa"/>
            <w:tcBorders/>
            <w:vAlign w:val="center"/>
          </w:tcPr>
          <w:p>
            <w:pPr>
              <w:jc w:val="right"/>
            </w:pPr>
            <w:r>
              <w:rPr>
                <w:rFonts w:ascii="宋体" w:eastAsia="宋体" w:hAnsi="宋体" w:cs="宋体"/>
                <w:b w:val="0"/>
                <w:i w:val="0"/>
                <w:color w:val="000000"/>
                <w:sz w:val="25"/>
              </w:rPr>
              <w:t xml:space="preserve">7.42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事业单位离退休</w:t>
            </w:r>
          </w:p>
        </w:tc>
        <w:tc>
          <w:tcPr>
            <w:tcW w:w="2700" w:type="dxa"/>
            <w:tcBorders/>
            <w:vAlign w:val="center"/>
          </w:tcPr>
          <w:p>
            <w:pPr>
              <w:jc w:val="right"/>
            </w:pPr>
            <w:r>
              <w:rPr>
                <w:rFonts w:ascii="宋体" w:eastAsia="宋体" w:hAnsi="宋体" w:cs="宋体"/>
                <w:b w:val="0"/>
                <w:i w:val="0"/>
                <w:color w:val="000000"/>
                <w:sz w:val="25"/>
              </w:rPr>
              <w:t xml:space="preserve">0.55</w:t>
            </w:r>
          </w:p>
        </w:tc>
        <w:tc>
          <w:tcPr>
            <w:tcW w:w="2700" w:type="dxa"/>
            <w:tcBorders/>
            <w:vAlign w:val="center"/>
          </w:tcPr>
          <w:p>
            <w:pPr>
              <w:jc w:val="right"/>
            </w:pPr>
            <w:r>
              <w:rPr>
                <w:rFonts w:ascii="宋体" w:eastAsia="宋体" w:hAnsi="宋体" w:cs="宋体"/>
                <w:b w:val="0"/>
                <w:i w:val="0"/>
                <w:color w:val="000000"/>
                <w:sz w:val="25"/>
              </w:rPr>
              <w:t xml:space="preserve">0.55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6.86</w:t>
            </w:r>
          </w:p>
        </w:tc>
        <w:tc>
          <w:tcPr>
            <w:tcW w:w="2700" w:type="dxa"/>
            <w:tcBorders/>
            <w:vAlign w:val="center"/>
          </w:tcPr>
          <w:p>
            <w:pPr>
              <w:jc w:val="right"/>
            </w:pPr>
            <w:r>
              <w:rPr>
                <w:rFonts w:ascii="宋体" w:eastAsia="宋体" w:hAnsi="宋体" w:cs="宋体"/>
                <w:b w:val="0"/>
                <w:i w:val="0"/>
                <w:color w:val="000000"/>
                <w:sz w:val="25"/>
              </w:rPr>
              <w:t xml:space="preserve">6.86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6.62</w:t>
            </w:r>
          </w:p>
        </w:tc>
        <w:tc>
          <w:tcPr>
            <w:tcW w:w="2700" w:type="dxa"/>
            <w:tcBorders/>
            <w:vAlign w:val="center"/>
          </w:tcPr>
          <w:p>
            <w:pPr>
              <w:jc w:val="right"/>
            </w:pPr>
            <w:r>
              <w:rPr>
                <w:rFonts w:ascii="宋体" w:eastAsia="宋体" w:hAnsi="宋体" w:cs="宋体"/>
                <w:b w:val="0"/>
                <w:i w:val="0"/>
                <w:color w:val="000000"/>
                <w:sz w:val="25"/>
              </w:rPr>
              <w:t xml:space="preserve">6.62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6.62</w:t>
            </w:r>
          </w:p>
        </w:tc>
        <w:tc>
          <w:tcPr>
            <w:tcW w:w="2700" w:type="dxa"/>
            <w:tcBorders/>
            <w:vAlign w:val="center"/>
          </w:tcPr>
          <w:p>
            <w:pPr>
              <w:jc w:val="right"/>
            </w:pPr>
            <w:r>
              <w:rPr>
                <w:rFonts w:ascii="宋体" w:eastAsia="宋体" w:hAnsi="宋体" w:cs="宋体"/>
                <w:b w:val="0"/>
                <w:i w:val="0"/>
                <w:color w:val="000000"/>
                <w:sz w:val="25"/>
              </w:rPr>
              <w:t xml:space="preserve">6.62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事业单位医疗</w:t>
            </w:r>
          </w:p>
        </w:tc>
        <w:tc>
          <w:tcPr>
            <w:tcW w:w="2700" w:type="dxa"/>
            <w:tcBorders/>
            <w:vAlign w:val="center"/>
          </w:tcPr>
          <w:p>
            <w:pPr>
              <w:jc w:val="right"/>
            </w:pPr>
            <w:r>
              <w:rPr>
                <w:rFonts w:ascii="宋体" w:eastAsia="宋体" w:hAnsi="宋体" w:cs="宋体"/>
                <w:b w:val="0"/>
                <w:i w:val="0"/>
                <w:color w:val="000000"/>
                <w:sz w:val="25"/>
              </w:rPr>
              <w:t xml:space="preserve">3.33</w:t>
            </w:r>
          </w:p>
        </w:tc>
        <w:tc>
          <w:tcPr>
            <w:tcW w:w="2700" w:type="dxa"/>
            <w:tcBorders/>
            <w:vAlign w:val="center"/>
          </w:tcPr>
          <w:p>
            <w:pPr>
              <w:jc w:val="right"/>
            </w:pPr>
            <w:r>
              <w:rPr>
                <w:rFonts w:ascii="宋体" w:eastAsia="宋体" w:hAnsi="宋体" w:cs="宋体"/>
                <w:b w:val="0"/>
                <w:i w:val="0"/>
                <w:color w:val="000000"/>
                <w:sz w:val="25"/>
              </w:rPr>
              <w:t xml:space="preserve">3.33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公务员医疗补助</w:t>
            </w:r>
          </w:p>
        </w:tc>
        <w:tc>
          <w:tcPr>
            <w:tcW w:w="2700" w:type="dxa"/>
            <w:tcBorders/>
            <w:vAlign w:val="center"/>
          </w:tcPr>
          <w:p>
            <w:pPr>
              <w:jc w:val="right"/>
            </w:pPr>
            <w:r>
              <w:rPr>
                <w:rFonts w:ascii="宋体" w:eastAsia="宋体" w:hAnsi="宋体" w:cs="宋体"/>
                <w:b w:val="0"/>
                <w:i w:val="0"/>
                <w:color w:val="000000"/>
                <w:sz w:val="25"/>
              </w:rPr>
              <w:t xml:space="preserve">3.29</w:t>
            </w:r>
          </w:p>
        </w:tc>
        <w:tc>
          <w:tcPr>
            <w:tcW w:w="2700" w:type="dxa"/>
            <w:tcBorders/>
            <w:vAlign w:val="center"/>
          </w:tcPr>
          <w:p>
            <w:pPr>
              <w:jc w:val="right"/>
            </w:pPr>
            <w:r>
              <w:rPr>
                <w:rFonts w:ascii="宋体" w:eastAsia="宋体" w:hAnsi="宋体" w:cs="宋体"/>
                <w:b w:val="0"/>
                <w:i w:val="0"/>
                <w:color w:val="000000"/>
                <w:sz w:val="25"/>
              </w:rPr>
              <w:t xml:space="preserve">3.29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城乡社区支出</w:t>
            </w:r>
          </w:p>
        </w:tc>
        <w:tc>
          <w:tcPr>
            <w:tcW w:w="2700" w:type="dxa"/>
            <w:tcBorders/>
            <w:vAlign w:val="center"/>
          </w:tcPr>
          <w:p>
            <w:pPr>
              <w:jc w:val="right"/>
            </w:pPr>
            <w:r>
              <w:rPr>
                <w:rFonts w:ascii="宋体" w:eastAsia="宋体" w:hAnsi="宋体" w:cs="宋体"/>
                <w:b w:val="0"/>
                <w:i w:val="0"/>
                <w:color w:val="000000"/>
                <w:sz w:val="25"/>
              </w:rPr>
              <w:t xml:space="preserve">97.98</w:t>
            </w:r>
          </w:p>
        </w:tc>
        <w:tc>
          <w:tcPr>
            <w:tcW w:w="2700" w:type="dxa"/>
            <w:tcBorders/>
            <w:vAlign w:val="center"/>
          </w:tcPr>
          <w:p>
            <w:pPr>
              <w:jc w:val="right"/>
            </w:pPr>
            <w:r>
              <w:rPr>
                <w:rFonts w:ascii="宋体" w:eastAsia="宋体" w:hAnsi="宋体" w:cs="宋体"/>
                <w:b w:val="0"/>
                <w:i w:val="0"/>
                <w:color w:val="000000"/>
                <w:sz w:val="25"/>
              </w:rPr>
              <w:t xml:space="preserve">97.98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城乡社区管理事务</w:t>
            </w:r>
          </w:p>
        </w:tc>
        <w:tc>
          <w:tcPr>
            <w:tcW w:w="2700" w:type="dxa"/>
            <w:tcBorders/>
            <w:vAlign w:val="center"/>
          </w:tcPr>
          <w:p>
            <w:pPr>
              <w:jc w:val="right"/>
            </w:pPr>
            <w:r>
              <w:rPr>
                <w:rFonts w:ascii="宋体" w:eastAsia="宋体" w:hAnsi="宋体" w:cs="宋体"/>
                <w:b w:val="0"/>
                <w:i w:val="0"/>
                <w:color w:val="000000"/>
                <w:sz w:val="25"/>
              </w:rPr>
              <w:t xml:space="preserve">97.98</w:t>
            </w:r>
          </w:p>
        </w:tc>
        <w:tc>
          <w:tcPr>
            <w:tcW w:w="2700" w:type="dxa"/>
            <w:tcBorders/>
            <w:vAlign w:val="center"/>
          </w:tcPr>
          <w:p>
            <w:pPr>
              <w:jc w:val="right"/>
            </w:pPr>
            <w:r>
              <w:rPr>
                <w:rFonts w:ascii="宋体" w:eastAsia="宋体" w:hAnsi="宋体" w:cs="宋体"/>
                <w:b w:val="0"/>
                <w:i w:val="0"/>
                <w:color w:val="000000"/>
                <w:sz w:val="25"/>
              </w:rPr>
              <w:t xml:space="preserve">97.98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2120199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其他城乡社区管理事务支出</w:t>
            </w:r>
          </w:p>
        </w:tc>
        <w:tc>
          <w:tcPr>
            <w:tcW w:w="2700" w:type="dxa"/>
            <w:tcBorders/>
            <w:vAlign w:val="center"/>
          </w:tcPr>
          <w:p>
            <w:pPr>
              <w:jc w:val="right"/>
            </w:pPr>
            <w:r>
              <w:rPr>
                <w:rFonts w:ascii="宋体" w:eastAsia="宋体" w:hAnsi="宋体" w:cs="宋体"/>
                <w:b w:val="0"/>
                <w:i w:val="0"/>
                <w:color w:val="000000"/>
                <w:sz w:val="25"/>
              </w:rPr>
              <w:t xml:space="preserve">97.98</w:t>
            </w:r>
          </w:p>
        </w:tc>
        <w:tc>
          <w:tcPr>
            <w:tcW w:w="2700" w:type="dxa"/>
            <w:tcBorders/>
            <w:vAlign w:val="center"/>
          </w:tcPr>
          <w:p>
            <w:pPr>
              <w:jc w:val="right"/>
            </w:pPr>
            <w:r>
              <w:rPr>
                <w:rFonts w:ascii="宋体" w:eastAsia="宋体" w:hAnsi="宋体" w:cs="宋体"/>
                <w:b w:val="0"/>
                <w:i w:val="0"/>
                <w:color w:val="000000"/>
                <w:sz w:val="25"/>
              </w:rPr>
              <w:t xml:space="preserve">97.98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6.17</w:t>
            </w:r>
          </w:p>
        </w:tc>
        <w:tc>
          <w:tcPr>
            <w:tcW w:w="2700" w:type="dxa"/>
            <w:tcBorders/>
            <w:vAlign w:val="center"/>
          </w:tcPr>
          <w:p>
            <w:pPr>
              <w:jc w:val="right"/>
            </w:pPr>
            <w:r>
              <w:rPr>
                <w:rFonts w:ascii="宋体" w:eastAsia="宋体" w:hAnsi="宋体" w:cs="宋体"/>
                <w:b w:val="0"/>
                <w:i w:val="0"/>
                <w:color w:val="000000"/>
                <w:sz w:val="25"/>
              </w:rPr>
              <w:t xml:space="preserve">6.17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6.17</w:t>
            </w:r>
          </w:p>
        </w:tc>
        <w:tc>
          <w:tcPr>
            <w:tcW w:w="2700" w:type="dxa"/>
            <w:tcBorders/>
            <w:vAlign w:val="center"/>
          </w:tcPr>
          <w:p>
            <w:pPr>
              <w:jc w:val="right"/>
            </w:pPr>
            <w:r>
              <w:rPr>
                <w:rFonts w:ascii="宋体" w:eastAsia="宋体" w:hAnsi="宋体" w:cs="宋体"/>
                <w:b w:val="0"/>
                <w:i w:val="0"/>
                <w:color w:val="000000"/>
                <w:sz w:val="25"/>
              </w:rPr>
              <w:t xml:space="preserve">6.17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6.17</w:t>
            </w:r>
          </w:p>
        </w:tc>
        <w:tc>
          <w:tcPr>
            <w:tcW w:w="2700" w:type="dxa"/>
            <w:tcBorders/>
            <w:vAlign w:val="center"/>
          </w:tcPr>
          <w:p>
            <w:pPr>
              <w:jc w:val="right"/>
            </w:pPr>
            <w:r>
              <w:rPr>
                <w:rFonts w:ascii="宋体" w:eastAsia="宋体" w:hAnsi="宋体" w:cs="宋体"/>
                <w:b w:val="0"/>
                <w:i w:val="0"/>
                <w:color w:val="000000"/>
                <w:sz w:val="25"/>
              </w:rPr>
              <w:t xml:space="preserve">6.17</w:t>
            </w:r>
          </w:p>
        </w:tc>
        <w:tc>
          <w:tcPr>
            <w:tcW w:w="2658" w:type="dxa"/>
            <w:tcBorders/>
            <w:vAlign w:val="center"/>
          </w:tcPr>
          <w:p>
            <w:pPr>
              <w:jc w:val="right"/>
            </w:pPr>
            <w:r>
              <w:rPr>
                <w:rFonts w:ascii="宋体" w:eastAsia="宋体" w:hAnsi="宋体" w:cs="宋体"/>
                <w:b w:val="0"/>
                <w:i w:val="0"/>
                <w:color w:val="000000"/>
                <w:sz w:val="25"/>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注：本表反映单位本年度一般公共预算财政拨款支出情况。本表金额转换为万元时，因四舍五入可能存在尾差。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单位：许昌市国土资源局东城区分局邓庄所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116.29</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6.59</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32.61</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1.95</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32.58</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1.54</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31.22</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0.29</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0.29</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6.86</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3.33</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3.29</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0.11</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1.36</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6.17</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0.11</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0.55</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0.50</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0.55</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0.58</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0.67</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116.84</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6.88</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注：本表反映单位本年度一般公共预算财政拨款基本支出明细情况。本表金额转换为万元时，因四舍五入可能存在尾差。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单位：许昌市国土资源局东城区分局邓庄所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628"/>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注：本表反映单位本年度政府性基金预算财政拨款收入、支出及结转和结余情况。本表金额转换为万元时，因四舍五入可能存在尾差。</w:t>
      </w:r>
    </w:p>
    <w:p>
      <w:pPr>
        <w:jc w:val="left"/>
        <w:rPr>
          <w:rFonts w:ascii="华文中宋" w:eastAsia="华文中宋" w:hAnsi="华文中宋" w:cs="华文中宋" w:hint="default"/>
          <w:color w:val="000000"/>
          <w:kern w:val="0"/>
          <w:sz w:val="32"/>
          <w:szCs w:val="32"/>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说明：我单位没有政府性基金收入，也没有使用政府性基金安排的支出，故本表无数据。</w:t>
      </w: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单位：许昌市国土资源局东城区分局邓庄所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单位：许昌市国土资源局东城区分局邓庄所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说明：我单位没有预算安排的三公经费，也没有预算安排的三公支出，故本表无数据。</w:t>
      </w: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123.72</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增加13.39万元，增长12.14%</w:t>
      </w:r>
      <w:r>
        <w:rPr>
          <w:rFonts w:ascii="仿宋" w:eastAsia="仿宋" w:hAnsi="仿宋" w:cs="仿宋" w:hint="eastAsia"/>
          <w:kern w:val="0"/>
          <w:sz w:val="32"/>
          <w:szCs w:val="32"/>
          <w:lang w:val="en-US" w:eastAsia="zh-CN"/>
        </w:rPr>
        <w:t xml:space="preserve">。主要原因是在职人员工资调标，人员经费增加，发放以前年度津补贴与奖金。</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123.72</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财政拨款收入123.72万元，占100.00%；上级补助收入0.00万元，占0.00%；事业收入0.00万元，占0.00%；经营收入0.00万元，占0.00%；附属单位上缴收入0.00万元，占0.00%；其他收入0.00万元，占0.00%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123.72</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基本支出123.72万元，占100.00%；项目支出0.00万元，占0.00%；上缴上级支出0.00万元，占0.00%；经营支出0.00万元，占0.00%；对附属单位补助支出0.00万元，占0.00%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123.72</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增加13.39万元，增长12.14%</w:t>
      </w:r>
      <w:r>
        <w:rPr>
          <w:rFonts w:ascii="仿宋" w:eastAsia="仿宋" w:hAnsi="仿宋" w:cs="仿宋" w:hint="eastAsia"/>
          <w:kern w:val="0"/>
          <w:sz w:val="32"/>
          <w:szCs w:val="32"/>
          <w:lang w:val="en-US" w:eastAsia="zh-CN"/>
        </w:rPr>
        <w:t xml:space="preserve">。主要原因是在职人员工资调标，人员经费增加，发放以前年度津补贴与奖金。</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123.72</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增加13.39万元，增长12.14%</w:t>
      </w:r>
      <w:r>
        <w:rPr>
          <w:rFonts w:ascii="仿宋" w:eastAsia="仿宋" w:hAnsi="仿宋" w:cs="仿宋" w:hint="eastAsia"/>
          <w:kern w:val="0"/>
          <w:sz w:val="32"/>
          <w:szCs w:val="32"/>
          <w:lang w:val="en-US" w:eastAsia="zh-CN"/>
        </w:rPr>
        <w:t xml:space="preserve">。主要原因是在职人员工资调标，人员经费增加，发放以前年度津补贴与奖金。</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123.72</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一般公共服务支出（类）5.52万元，占4.46%；社会保障和就业支出（类）7.42万元，占6.00%；卫生健康支出（类）6.62万元，占5.35%；城乡社区支出（类）97.98万元，占79.19%；住房保障支出（类）6.17万元，占5.00%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115.50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123.72</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107.12</w:t>
      </w:r>
      <w:r>
        <w:rPr>
          <w:rFonts w:ascii="仿宋" w:eastAsia="仿宋" w:hAnsi="仿宋" w:cs="仿宋" w:hint="eastAsia"/>
          <w:kern w:val="0"/>
          <w:sz w:val="32"/>
          <w:szCs w:val="32"/>
          <w:lang w:val="en-US" w:eastAsia="zh-CN"/>
        </w:rPr>
        <w:t xml:space="preserve">%。其中：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1.一般公共服务支出（类）群众团体事务（款）工会事务（项）</w:t>
      </w:r>
      <w:r>
        <w:rPr>
          <w:rFonts w:ascii="仿宋" w:eastAsia="仿宋" w:hAnsi="仿宋" w:cs="仿宋" w:hint="default"/>
          <w:kern w:val="2"/>
          <w:sz w:val="32"/>
          <w:szCs w:val="32"/>
          <w:lang w:val="en-US" w:eastAsia="zh-CN"/>
        </w:rPr>
        <w:t xml:space="preserve">年初预算数为0.58万元，决算数0.58万元,完成年初预算的100.00%，决算数与年初预算数不存在差异。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2.一般公共服务支出（类）其他一般公共服务支出（款）其他一般公共服务支出（项）</w:t>
      </w:r>
      <w:r>
        <w:rPr>
          <w:rFonts w:ascii="仿宋" w:eastAsia="仿宋" w:hAnsi="仿宋" w:cs="仿宋" w:hint="default"/>
          <w:kern w:val="2"/>
          <w:sz w:val="32"/>
          <w:szCs w:val="32"/>
          <w:lang w:val="en-US" w:eastAsia="zh-CN"/>
        </w:rPr>
        <w:t xml:space="preserve">年初预算数为0.00万元，决算数4.94万元,决算数与年初预算数存在差异的主要原因是发放在职人员2021年度平安建设奖。</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3.社会保障和就业支出（类）行政事业单位养老支出（款）事业单位离退休（项）</w:t>
      </w:r>
      <w:r>
        <w:rPr>
          <w:rFonts w:ascii="仿宋" w:eastAsia="仿宋" w:hAnsi="仿宋" w:cs="仿宋" w:hint="default"/>
          <w:kern w:val="2"/>
          <w:sz w:val="32"/>
          <w:szCs w:val="32"/>
          <w:lang w:val="en-US" w:eastAsia="zh-CN"/>
        </w:rPr>
        <w:t xml:space="preserve">年初预算数为0.00万元，决算数0.55万元,决算数与年初预算数存在差异的主要原因是2023年一名在职人员到龄退休，追加经费。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4.社会保障和就业支出（类）行政事业单位养老支出（款）机关事业单位基本养老保险缴费支出（项）</w:t>
      </w:r>
      <w:r>
        <w:rPr>
          <w:rFonts w:ascii="仿宋" w:eastAsia="仿宋" w:hAnsi="仿宋" w:cs="仿宋" w:hint="default"/>
          <w:kern w:val="2"/>
          <w:sz w:val="32"/>
          <w:szCs w:val="32"/>
          <w:lang w:val="en-US" w:eastAsia="zh-CN"/>
        </w:rPr>
        <w:t xml:space="preserve">年初预算数为7.06万元，决算数6.86万元,完成年初预算的97.17%，决算数与年初预算数存在差异的主要原因是2023年一名在职人员到龄退休，不在缴纳。</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5.卫生健康支出（类）行政事业单位医疗（款）事业单位医疗（项）</w:t>
      </w:r>
      <w:r>
        <w:rPr>
          <w:rFonts w:ascii="仿宋" w:eastAsia="仿宋" w:hAnsi="仿宋" w:cs="仿宋" w:hint="default"/>
          <w:kern w:val="2"/>
          <w:sz w:val="32"/>
          <w:szCs w:val="32"/>
          <w:lang w:val="en-US" w:eastAsia="zh-CN"/>
        </w:rPr>
        <w:t xml:space="preserve">年初预算数为3.46万元，决算数3.33万元,完成年初预算的96.24%，决算数与年初预算数存在差异的主要原因是2023年一名在职人员到龄退休，不在缴纳。</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6.卫生健康支出（类）行政事业单位医疗（款）公务员医疗补助（项）</w:t>
      </w:r>
      <w:r>
        <w:rPr>
          <w:rFonts w:ascii="仿宋" w:eastAsia="仿宋" w:hAnsi="仿宋" w:cs="仿宋" w:hint="default"/>
          <w:kern w:val="2"/>
          <w:sz w:val="32"/>
          <w:szCs w:val="32"/>
          <w:lang w:val="en-US" w:eastAsia="zh-CN"/>
        </w:rPr>
        <w:t xml:space="preserve">年初预算数为3.29万元，决算数3.29万元,完成年初预算的100.00%，决算数与年初预算数不存在差异。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7.城乡社区支出（类）城乡社区管理事务（款）其他城乡社区管理事务支出（项）</w:t>
      </w:r>
      <w:r>
        <w:rPr>
          <w:rFonts w:ascii="仿宋" w:eastAsia="仿宋" w:hAnsi="仿宋" w:cs="仿宋" w:hint="default"/>
          <w:kern w:val="2"/>
          <w:sz w:val="32"/>
          <w:szCs w:val="32"/>
          <w:lang w:val="en-US" w:eastAsia="zh-CN"/>
        </w:rPr>
        <w:t xml:space="preserve">年初预算数为94.51万元，决算数97.98万元,完成年初预算的103.67%，决算数与年初预算数存在差异的主要原因是在职人员工资调标，人员经费增加，发放以前年度津补贴及奖金。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8.住房保障支出（类）住房改革支出（款）住房公积金（项）</w:t>
      </w:r>
      <w:r>
        <w:rPr>
          <w:rFonts w:ascii="仿宋" w:eastAsia="仿宋" w:hAnsi="仿宋" w:cs="仿宋" w:hint="default"/>
          <w:kern w:val="2"/>
          <w:sz w:val="32"/>
          <w:szCs w:val="32"/>
          <w:lang w:val="en-US" w:eastAsia="zh-CN"/>
        </w:rPr>
        <w:t xml:space="preserve">年初预算数为6.59万元，决算数6.17万元,完成年初预算的93.63%，决算数与年初预算数存在差异的主要原因是2023年一名在职人员到龄退休，不在缴纳。</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123.72</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其中：人员经费116.84万元，主要包括：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、公务员医疗补助缴费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、其他工资福利支出</w:t>
      </w:r>
      <w:r>
        <w:rPr>
          <w:rFonts w:ascii="仿宋" w:eastAsia="仿宋" w:hAnsi="仿宋" w:cs="仿宋" w:hint="eastAsia"/>
          <w:kern w:val="0"/>
          <w:sz w:val="32"/>
          <w:szCs w:val="32"/>
          <w:lang w:val="en-US" w:eastAsia="zh-CN"/>
        </w:rPr>
        <w:t xml:space="preserve">、退休费</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公用经费6.88万元，主要包括：</w:t>
      </w:r>
      <w:bookmarkStart w:id="0" w:name="_GoBack"/>
      <w:bookmarkEnd w:id="0"/>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、印刷费</w:t>
      </w:r>
      <w:r>
        <w:rPr>
          <w:rFonts w:ascii="仿宋" w:eastAsia="仿宋" w:hAnsi="仿宋" w:cs="仿宋" w:hint="eastAsia"/>
          <w:kern w:val="0"/>
          <w:sz w:val="32"/>
          <w:szCs w:val="32"/>
          <w:lang w:val="en-US" w:eastAsia="zh-CN"/>
        </w:rPr>
        <w:t xml:space="preserve">、差旅费</w:t>
      </w:r>
      <w:r>
        <w:rPr>
          <w:rFonts w:ascii="仿宋" w:eastAsia="仿宋" w:hAnsi="仿宋" w:cs="仿宋" w:hint="eastAsia"/>
          <w:kern w:val="0"/>
          <w:sz w:val="32"/>
          <w:szCs w:val="32"/>
          <w:lang w:val="en-US" w:eastAsia="zh-CN"/>
        </w:rPr>
        <w:t xml:space="preserve">、培训费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、办公设备购置</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2023年度“三公”经费支出决算数与预算数无差异。</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2023年期末，单位开支财政拨款的公务用车保有量为</w:t>
      </w:r>
      <w:r>
        <w:rPr>
          <w:rFonts w:ascii="仿宋" w:eastAsia="仿宋" w:hAnsi="仿宋" w:cs="仿宋" w:hint="eastAsia"/>
          <w:kern w:val="2"/>
          <w:sz w:val="32"/>
          <w:szCs w:val="32"/>
          <w:lang w:val="en-US" w:eastAsia="zh-CN"/>
        </w:rPr>
        <w:t xml:space="preserve">0</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决算数与预算数无差异。</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人次（不包括陪同人员）</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2023年期末，本单位共有车辆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1.单位整体绩效自评。</w:t>
      </w:r>
      <w:r>
        <w:rPr>
          <w:rFonts w:ascii="仿宋" w:eastAsia="仿宋" w:hAnsi="仿宋" w:cs="仿宋" w:hint="eastAsia"/>
          <w:kern w:val="2"/>
          <w:sz w:val="32"/>
          <w:szCs w:val="32"/>
          <w:lang w:val="en-US" w:eastAsia="zh-CN"/>
        </w:rPr>
        <w:t xml:space="preserve">涉及预算资金</w:t>
      </w:r>
      <w:r>
        <w:rPr>
          <w:rFonts w:ascii="仿宋" w:eastAsia="仿宋" w:hAnsi="仿宋" w:cs="仿宋" w:hint="eastAsia"/>
          <w:kern w:val="2"/>
          <w:sz w:val="32"/>
          <w:szCs w:val="32"/>
          <w:lang w:val="en-US" w:eastAsia="zh-CN"/>
        </w:rPr>
        <w:t xml:space="preserve">123.72</w:t>
      </w:r>
      <w:r>
        <w:rPr>
          <w:rFonts w:ascii="仿宋" w:eastAsia="仿宋" w:hAnsi="仿宋" w:cs="仿宋" w:hint="eastAsia"/>
          <w:kern w:val="2"/>
          <w:sz w:val="32"/>
          <w:szCs w:val="32"/>
          <w:lang w:val="en-US" w:eastAsia="zh-CN"/>
        </w:rPr>
        <w:t xml:space="preserve">万元。自评得分为</w:t>
      </w:r>
      <w:r>
        <w:rPr>
          <w:rFonts w:ascii="仿宋" w:eastAsia="仿宋" w:hAnsi="仿宋" w:cs="仿宋" w:hint="eastAsia"/>
          <w:kern w:val="2"/>
          <w:sz w:val="32"/>
          <w:szCs w:val="32"/>
          <w:lang w:val="en-US" w:eastAsia="zh-CN"/>
        </w:rPr>
        <w:t xml:space="preserve">98.8</w:t>
      </w:r>
      <w:r>
        <w:rPr>
          <w:rFonts w:ascii="仿宋" w:eastAsia="仿宋" w:hAnsi="仿宋" w:cs="仿宋" w:hint="eastAsia"/>
          <w:kern w:val="2"/>
          <w:sz w:val="32"/>
          <w:szCs w:val="32"/>
          <w:lang w:val="en-US" w:eastAsia="zh-CN"/>
        </w:rPr>
        <w:t xml:space="preserve">分，等级为“</w:t>
      </w:r>
      <w:r>
        <w:rPr>
          <w:rFonts w:ascii="仿宋" w:eastAsia="仿宋" w:hAnsi="仿宋" w:cs="仿宋" w:hint="eastAsia"/>
          <w:kern w:val="2"/>
          <w:sz w:val="32"/>
          <w:szCs w:val="32"/>
          <w:lang w:val="en-US" w:eastAsia="zh-CN"/>
        </w:rPr>
        <w:t xml:space="preserve">优</w:t>
      </w:r>
      <w:r>
        <w:rPr>
          <w:rFonts w:ascii="仿宋" w:eastAsia="仿宋" w:hAnsi="仿宋" w:cs="仿宋" w:hint="eastAsia"/>
          <w:kern w:val="2"/>
          <w:sz w:val="32"/>
          <w:szCs w:val="32"/>
          <w:lang w:val="en-US" w:eastAsia="zh-CN"/>
        </w:rPr>
        <w:t xml:space="preserve">”。从单位整体自评情况来看，</w:t>
      </w:r>
      <w:r>
        <w:rPr>
          <w:rFonts w:ascii="仿宋" w:eastAsia="仿宋" w:hAnsi="仿宋" w:cs="仿宋" w:hint="eastAsia"/>
          <w:kern w:val="2"/>
          <w:sz w:val="32"/>
          <w:szCs w:val="32"/>
          <w:lang w:val="en-US" w:eastAsia="zh-CN"/>
        </w:rPr>
        <w:t xml:space="preserve">2023年度单位主要工作任务和目标是加强对本区域内国土资源开发、利用情况的监督检查，调查处理国土资源违法案件和权属纠纷案件。组织实施本区域内土地资源调查，土地统计和对国土资源的动态监测，根据2023年年初设定的绩效目标，单位整体绩效自评优，达到年初预期目标。</w:t>
      </w:r>
      <w:r>
        <w:rPr>
          <w:rFonts w:ascii="仿宋" w:eastAsia="仿宋" w:hAnsi="仿宋" w:cs="仿宋" w:hint="eastAsia"/>
          <w:kern w:val="2"/>
          <w:sz w:val="32"/>
          <w:szCs w:val="32"/>
          <w:lang w:val="en-US" w:eastAsia="zh-CN"/>
        </w:rPr>
        <w:t xml:space="preserve">。</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2.项目绩效自评。</w:t>
      </w:r>
      <w:r>
        <w:rPr>
          <w:rFonts w:ascii="仿宋" w:eastAsia="仿宋" w:hAnsi="仿宋" w:cs="仿宋" w:hint="eastAsia"/>
          <w:kern w:val="2"/>
          <w:sz w:val="32"/>
          <w:szCs w:val="32"/>
          <w:lang w:val="en-US" w:eastAsia="zh-CN"/>
        </w:rPr>
        <w:t xml:space="preserve">根据工作实际，我单位没有项目需要开展项目绩效自评。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仿宋" w:eastAsia="仿宋" w:hAnsi="仿宋" w:cs="仿宋" w:hint="default"/>
          <w:kern w:val="2"/>
          <w:sz w:val="32"/>
          <w:szCs w:val="32"/>
          <w:lang w:val="en-US" w:eastAsia="zh-CN"/>
        </w:rPr>
        <w:t xml:space="preserve">根据工作实际，主管部门未选取我单位项目开展重点绩效评价。</w:t>
      </w:r>
    </w:p>
    <w:tbl>
      <w:tblPr>
        <w:tblStyle w:val="NormalTable0"/>
        <w:tblW w:w="5000" w:type="pct"/>
        <w:tblInd w:w="0" w:type="dxa"/>
        <w:tblCellMar>
          <w:top w:w="0" w:type="dxa"/>
          <w:left w:w="108" w:type="dxa"/>
          <w:bottom w:w="0" w:type="dxa"/>
          <w:right w:w="108" w:type="dxa"/>
        </w:tblCellMar>
        <w:tblLook w:val="0000" w:firstRow="0" w:lastRow="0" w:firstColumn="0" w:lastColumn="0" w:noHBand="0" w:noVBand="0"/>
      </w:tblPr>
      <w:tblGrid>
        <w:gridCol w:w="1316"/>
        <w:gridCol w:w="3054"/>
        <w:gridCol w:w="1334"/>
        <w:gridCol w:w="1083"/>
        <w:gridCol w:w="4174"/>
        <w:gridCol w:w="4174"/>
        <w:gridCol w:w="1136"/>
        <w:gridCol w:w="596"/>
        <w:gridCol w:w="596"/>
        <w:gridCol w:w="776"/>
        <w:gridCol w:w="606"/>
        <w:gridCol w:w="807"/>
        <w:gridCol w:w="844"/>
      </w:tblGrid>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53"/>
        </w:trPr>
        <w:tc>
          <w:tcPr>
            <w:tcW w:type="auto" w:w="0"/>
            <w:gridSpan w:val="13"/>
            <w:tcBorders>
              <w:top w:val="nil"/>
              <w:left w:val="nil"/>
              <w:bottom w:val="nil"/>
              <w:right w:val="nil"/>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hAnsi="宋体" w:cs="宋体" w:hint="eastAsia"/>
                <w:b/>
                <w:bCs/>
                <w:i w:val="0"/>
                <w:iCs w:val="0"/>
                <w:color w:val="000000"/>
                <w:kern w:val="0"/>
                <w:sz w:val="38"/>
                <w:szCs w:val="38"/>
                <w:u w:val="none"/>
                <w:lang w:val="en-US" w:eastAsia="zh-CN" w:bidi="en-AU"/>
              </w:rPr>
              <w:t xml:space="preserve">单位</w:t>
            </w:r>
            <w:r>
              <w:rPr>
                <w:rFonts w:ascii="宋体" w:eastAsia="宋体" w:hAnsi="宋体" w:cs="宋体"/>
                <w:b/>
                <w:bCs/>
                <w:i w:val="0"/>
                <w:iCs w:val="0"/>
                <w:color w:val="000000"/>
                <w:kern w:val="0"/>
                <w:sz w:val="38"/>
                <w:szCs w:val="38"/>
                <w:u w:val="none"/>
                <w:lang w:val="en-US" w:eastAsia="zh-CN" w:bidi="en-AU"/>
              </w:rPr>
              <w:t xml:space="preserve">整体自评表</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单位名称</w:t>
            </w:r>
          </w:p>
        </w:tc>
        <w:tc>
          <w:tcPr>
            <w:tcW w:type="auto" w:w="0"/>
            <w:gridSpan w:val="9"/>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许昌市国土资源局</w:t>
            </w:r>
            <w:r>
              <w:rPr>
                <w:rFonts w:ascii="宋体" w:hAnsi="宋体" w:cs="宋体" w:hint="eastAsia"/>
                <w:i w:val="0"/>
                <w:iCs w:val="0"/>
                <w:color w:val="000000"/>
                <w:kern w:val="0"/>
                <w:sz w:val="18"/>
                <w:szCs w:val="18"/>
                <w:u w:val="none"/>
                <w:lang w:val="en-US" w:eastAsia="zh-CN" w:bidi="en-AU"/>
              </w:rPr>
              <w:t xml:space="preserve">东城区分局邓庄</w:t>
            </w:r>
            <w:r>
              <w:rPr>
                <w:rFonts w:ascii="宋体" w:eastAsia="宋体" w:hAnsi="宋体" w:cs="宋体"/>
                <w:i w:val="0"/>
                <w:iCs w:val="0"/>
                <w:color w:val="000000"/>
                <w:kern w:val="0"/>
                <w:sz w:val="18"/>
                <w:szCs w:val="18"/>
                <w:u w:val="none"/>
                <w:lang w:val="en-US" w:eastAsia="zh-CN" w:bidi="en-AU"/>
              </w:rPr>
              <w:t xml:space="preserve">所</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hAnsi="宋体" w:cs="宋体" w:hint="eastAsia"/>
                <w:i w:val="0"/>
                <w:iCs w:val="0"/>
                <w:color w:val="000000"/>
                <w:kern w:val="0"/>
                <w:sz w:val="18"/>
                <w:szCs w:val="18"/>
                <w:u w:val="none"/>
                <w:lang w:val="en-US" w:eastAsia="zh-CN" w:bidi="en-AU"/>
              </w:rPr>
              <w:t xml:space="preserve">单位</w:t>
            </w:r>
            <w:r>
              <w:rPr>
                <w:rFonts w:ascii="宋体" w:eastAsia="宋体" w:hAnsi="宋体" w:cs="宋体"/>
                <w:i w:val="0"/>
                <w:iCs w:val="0"/>
                <w:color w:val="000000"/>
                <w:kern w:val="0"/>
                <w:sz w:val="18"/>
                <w:szCs w:val="18"/>
                <w:u w:val="none"/>
                <w:lang w:val="en-US" w:eastAsia="zh-CN" w:bidi="en-AU"/>
              </w:rPr>
              <w:t xml:space="preserve">整体支出情况</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年初预算数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全年预算数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全年执行数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分值</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执行率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得分</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54"/>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hAnsi="宋体" w:cs="宋体" w:hint="eastAsia"/>
                <w:i w:val="0"/>
                <w:iCs w:val="0"/>
                <w:color w:val="000000"/>
                <w:kern w:val="0"/>
                <w:sz w:val="18"/>
                <w:szCs w:val="18"/>
                <w:u w:val="none"/>
                <w:lang w:val="en-US" w:eastAsia="zh-CN" w:bidi="en-AU"/>
              </w:rPr>
              <w:t xml:space="preserve">单位</w:t>
            </w:r>
            <w:r>
              <w:rPr>
                <w:rFonts w:ascii="宋体" w:eastAsia="宋体" w:hAnsi="宋体" w:cs="宋体"/>
                <w:i w:val="0"/>
                <w:iCs w:val="0"/>
                <w:color w:val="000000"/>
                <w:kern w:val="0"/>
                <w:sz w:val="18"/>
                <w:szCs w:val="18"/>
                <w:u w:val="none"/>
                <w:lang w:val="en-US" w:eastAsia="zh-CN" w:bidi="en-AU"/>
              </w:rPr>
              <w:t xml:space="preserve">预算总额（万元）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hAnsi="宋体" w:cs="宋体" w:hint="eastAsia"/>
                <w:i w:val="0"/>
                <w:iCs w:val="0"/>
                <w:color w:val="000000"/>
                <w:kern w:val="0"/>
                <w:sz w:val="18"/>
                <w:szCs w:val="18"/>
                <w:u w:val="none"/>
                <w:lang w:val="en-US" w:eastAsia="zh-CN" w:bidi="en-AU"/>
              </w:rPr>
              <w:t xml:space="preserve">115.50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hAnsi="宋体" w:cs="宋体" w:hint="eastAsia"/>
                <w:i w:val="0"/>
                <w:iCs w:val="0"/>
                <w:color w:val="000000"/>
                <w:kern w:val="0"/>
                <w:sz w:val="18"/>
                <w:szCs w:val="18"/>
                <w:u w:val="none"/>
                <w:lang w:val="en-US" w:eastAsia="zh-CN" w:bidi="en-AU"/>
              </w:rPr>
              <w:t xml:space="preserve">123.72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hAnsi="宋体" w:cs="宋体" w:hint="eastAsia"/>
                <w:i w:val="0"/>
                <w:iCs w:val="0"/>
                <w:color w:val="000000"/>
                <w:kern w:val="0"/>
                <w:sz w:val="18"/>
                <w:szCs w:val="18"/>
                <w:u w:val="none"/>
                <w:lang w:val="en-US" w:eastAsia="zh-CN" w:bidi="en-AU"/>
              </w:rPr>
              <w:t xml:space="preserve">123.72</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资金来源：</w:t>
            </w: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1</w:t>
            </w:r>
            <w:r>
              <w:rPr>
                <w:rFonts w:ascii="宋体" w:eastAsia="宋体" w:hAnsi="宋体" w:cs="宋体"/>
                <w:i w:val="0"/>
                <w:iCs w:val="0"/>
                <w:color w:val="000000"/>
                <w:kern w:val="0"/>
                <w:sz w:val="18"/>
                <w:szCs w:val="18"/>
                <w:u w:val="none"/>
                <w:lang w:val="en-US" w:eastAsia="zh-CN" w:bidi="en-AU"/>
              </w:rPr>
              <w:t xml:space="preserve">）政府预算资金</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eastAsia="zh-CN"/>
              </w:rPr>
            </w:pPr>
            <w:r>
              <w:rPr>
                <w:rFonts w:ascii="宋体" w:hAnsi="宋体" w:cs="宋体" w:hint="eastAsia"/>
                <w:i w:val="0"/>
                <w:iCs w:val="0"/>
                <w:color w:val="000000"/>
                <w:sz w:val="18"/>
                <w:szCs w:val="18"/>
                <w:u w:val="none"/>
                <w:lang w:val="en-US" w:eastAsia="zh-CN"/>
              </w:rPr>
              <w:t xml:space="preserve">115.50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hAnsi="宋体" w:cs="宋体" w:hint="eastAsia"/>
                <w:i w:val="0"/>
                <w:iCs w:val="0"/>
                <w:color w:val="000000"/>
                <w:sz w:val="18"/>
                <w:szCs w:val="18"/>
                <w:u w:val="none"/>
                <w:lang w:val="en-US" w:eastAsia="zh-CN"/>
              </w:rPr>
              <w:t xml:space="preserve">123.72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hAnsi="宋体" w:cs="宋体" w:hint="eastAsia"/>
                <w:i w:val="0"/>
                <w:iCs w:val="0"/>
                <w:color w:val="000000"/>
                <w:sz w:val="18"/>
                <w:szCs w:val="18"/>
                <w:u w:val="none"/>
                <w:lang w:val="en-US" w:eastAsia="zh-CN"/>
              </w:rPr>
              <w:t xml:space="preserve">123.72</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    </w:t>
            </w:r>
            <w:r>
              <w:rPr>
                <w:rFonts w:ascii="宋体" w:eastAsia="宋体" w:hAnsi="宋体" w:cs="宋体"/>
                <w:i w:val="0"/>
                <w:iCs w:val="0"/>
                <w:color w:val="000000"/>
                <w:kern w:val="0"/>
                <w:sz w:val="18"/>
                <w:szCs w:val="18"/>
                <w:u w:val="none"/>
                <w:lang w:val="en-US" w:eastAsia="zh-CN" w:bidi="en-AU"/>
              </w:rPr>
              <w:t xml:space="preserve"> </w:t>
            </w: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2</w:t>
            </w:r>
            <w:r>
              <w:rPr>
                <w:rFonts w:ascii="宋体" w:eastAsia="宋体" w:hAnsi="宋体" w:cs="宋体"/>
                <w:i w:val="0"/>
                <w:iCs w:val="0"/>
                <w:color w:val="000000"/>
                <w:kern w:val="0"/>
                <w:sz w:val="18"/>
                <w:szCs w:val="18"/>
                <w:u w:val="none"/>
                <w:lang w:val="en-US" w:eastAsia="zh-CN" w:bidi="en-AU"/>
              </w:rPr>
              <w:t xml:space="preserve">）财政专户管理资金</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nil"/>
              <w:right w:val="single" w:sz="4" w:space="0" w:color="000000"/>
            </w:tcBorders>
            <w:noWrap w:val="0"/>
            <w:vAlign w:val="center"/>
          </w:tcPr>
          <w:p>
            <w:pPr>
              <w:pStyle w:val="Normal_dd7fa925-5ffc-4ffe-a556-ee8ba81805f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    </w:t>
            </w:r>
            <w:r>
              <w:rPr>
                <w:rFonts w:ascii="宋体" w:eastAsia="宋体" w:hAnsi="宋体" w:cs="宋体"/>
                <w:i w:val="0"/>
                <w:iCs w:val="0"/>
                <w:color w:val="000000"/>
                <w:kern w:val="0"/>
                <w:sz w:val="18"/>
                <w:szCs w:val="18"/>
                <w:u w:val="none"/>
                <w:lang w:val="en-US" w:eastAsia="zh-CN" w:bidi="en-AU"/>
              </w:rPr>
              <w:t xml:space="preserve"> </w:t>
            </w: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3</w:t>
            </w:r>
            <w:r>
              <w:rPr>
                <w:rFonts w:ascii="宋体" w:eastAsia="宋体" w:hAnsi="宋体" w:cs="宋体"/>
                <w:i w:val="0"/>
                <w:iCs w:val="0"/>
                <w:color w:val="000000"/>
                <w:kern w:val="0"/>
                <w:sz w:val="18"/>
                <w:szCs w:val="18"/>
                <w:u w:val="none"/>
                <w:lang w:val="en-US" w:eastAsia="zh-CN" w:bidi="en-AU"/>
              </w:rPr>
              <w:t xml:space="preserve">）单位资金</w:t>
            </w:r>
          </w:p>
        </w:tc>
        <w:tc>
          <w:tcPr>
            <w:tcW w:type="auto" w:w="0"/>
            <w:tcBorders>
              <w:top w:val="single" w:sz="4" w:space="0" w:color="000000"/>
              <w:left w:val="single" w:sz="4" w:space="0" w:color="000000"/>
              <w:bottom w:val="nil"/>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nil"/>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年度履职目标</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预期目标</w:t>
            </w: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58"/>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贯彻执行国土资源管理法律、法规、政策；划定和管理基本农田保护区。加强对本区域内国土资源开发、利用情况的监督检查，调查处理国土资源违法案件和权属纠纷案件</w:t>
            </w: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 </w:t>
            </w:r>
            <w:r>
              <w:rPr>
                <w:rFonts w:ascii="宋体" w:eastAsia="宋体" w:hAnsi="宋体" w:cs="宋体"/>
                <w:i w:val="0"/>
                <w:iCs w:val="0"/>
                <w:color w:val="000000"/>
                <w:kern w:val="0"/>
                <w:sz w:val="18"/>
                <w:szCs w:val="18"/>
                <w:u w:val="none"/>
                <w:lang w:val="en-US" w:eastAsia="zh-CN" w:bidi="en-AU"/>
              </w:rPr>
              <w:t xml:space="preserve">组织实施本区域内土地资源调查、土地统计和对国土资源的动态监测</w:t>
            </w: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   </w:t>
            </w: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达</w:t>
            </w:r>
            <w:r>
              <w:rPr>
                <w:rFonts w:ascii="宋体" w:eastAsia="宋体" w:hAnsi="宋体" w:cs="宋体"/>
                <w:i w:val="0"/>
                <w:iCs w:val="0"/>
                <w:color w:val="000000"/>
                <w:kern w:val="0"/>
                <w:sz w:val="18"/>
                <w:szCs w:val="18"/>
                <w:u w:val="none"/>
                <w:lang w:val="en-US" w:eastAsia="zh-CN" w:bidi="en-AU"/>
              </w:rPr>
              <w:t xml:space="preserve">到</w:t>
            </w:r>
            <w:r>
              <w:rPr>
                <w:rFonts w:ascii="宋体" w:eastAsia="宋体" w:hAnsi="宋体" w:cs="宋体"/>
                <w:i w:val="0"/>
                <w:iCs w:val="0"/>
                <w:color w:val="000000"/>
                <w:kern w:val="0"/>
                <w:sz w:val="18"/>
                <w:szCs w:val="18"/>
                <w:u w:val="none"/>
                <w:lang w:val="en-US" w:eastAsia="zh-CN" w:bidi="en-AU"/>
              </w:rPr>
              <w:t xml:space="preserve">95</w:t>
            </w: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以上</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40"/>
        </w:trPr>
        <w:tc>
          <w:tcPr>
            <w:tcW w:type="auto" w:w="0"/>
            <w:vMerge w:val="restart"/>
            <w:tcBorders>
              <w:top w:val="single" w:sz="4" w:space="0" w:color="000000"/>
              <w:left w:val="single" w:sz="4" w:space="0" w:color="000000"/>
              <w:bottom w:val="nil"/>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年度主要任务</w:t>
            </w:r>
          </w:p>
        </w:tc>
        <w:tc>
          <w:tcPr>
            <w:tcW w:type="auto" w:w="0"/>
            <w:gridSpan w:val="2"/>
            <w:tcBorders>
              <w:top w:val="nil"/>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任务名称</w:t>
            </w:r>
          </w:p>
        </w:tc>
        <w:tc>
          <w:tcPr>
            <w:tcW w:type="auto" w:w="0"/>
            <w:gridSpan w:val="3"/>
            <w:tcBorders>
              <w:top w:val="nil"/>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主要内容</w:t>
            </w: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80"/>
        </w:trPr>
        <w:tc>
          <w:tcPr>
            <w:vMerge/>
            <w:tcBorders>
              <w:top w:val="single" w:sz="4" w:space="0" w:color="000000"/>
              <w:left w:val="single" w:sz="4" w:space="0" w:color="000000"/>
              <w:bottom w:val="nil"/>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基本农田保护和土地行政执法</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hint="eastAsia"/>
                <w:i w:val="0"/>
                <w:iCs w:val="0"/>
                <w:color w:val="000000"/>
                <w:sz w:val="18"/>
                <w:szCs w:val="18"/>
                <w:u w:val="none"/>
                <w:lang w:val="en-US" w:eastAsia="zh-CN"/>
              </w:rPr>
            </w:pPr>
            <w:r>
              <w:rPr>
                <w:rFonts w:ascii="宋体" w:eastAsia="宋体" w:hAnsi="宋体" w:cs="宋体"/>
                <w:i w:val="0"/>
                <w:iCs w:val="0"/>
                <w:color w:val="000000"/>
                <w:kern w:val="0"/>
                <w:sz w:val="18"/>
                <w:szCs w:val="18"/>
                <w:u w:val="none"/>
                <w:lang w:val="en-US" w:eastAsia="zh-CN" w:bidi="en-AU"/>
              </w:rPr>
              <w:t xml:space="preserve">做好辖区内的基本农田和耕地保护</w:t>
            </w: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 </w:t>
            </w:r>
            <w:r>
              <w:rPr>
                <w:rFonts w:ascii="宋体" w:eastAsia="宋体" w:hAnsi="宋体" w:cs="宋体"/>
                <w:i w:val="0"/>
                <w:iCs w:val="0"/>
                <w:color w:val="000000"/>
                <w:kern w:val="0"/>
                <w:sz w:val="18"/>
                <w:szCs w:val="18"/>
                <w:u w:val="none"/>
                <w:lang w:val="en-US" w:eastAsia="zh-CN" w:bidi="en-AU"/>
              </w:rPr>
              <w:t xml:space="preserve">日常动态巡查，对违法案件进行处理、制止调查取证工作</w:t>
            </w:r>
            <w:r>
              <w:rPr>
                <w:rFonts w:ascii="宋体" w:hAnsi="宋体" w:cs="宋体" w:hint="eastAsia"/>
                <w:i w:val="0"/>
                <w:iCs w:val="0"/>
                <w:color w:val="000000"/>
                <w:kern w:val="0"/>
                <w:sz w:val="18"/>
                <w:szCs w:val="18"/>
                <w:u w:val="none"/>
                <w:lang w:val="en-US" w:eastAsia="zh-CN" w:bidi="en-AU"/>
              </w:rPr>
              <w:t xml:space="preserve">。</w:t>
            </w: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达</w:t>
            </w:r>
            <w:r>
              <w:rPr>
                <w:rFonts w:ascii="宋体" w:eastAsia="宋体" w:hAnsi="宋体" w:cs="宋体"/>
                <w:i w:val="0"/>
                <w:iCs w:val="0"/>
                <w:color w:val="000000"/>
                <w:kern w:val="0"/>
                <w:sz w:val="18"/>
                <w:szCs w:val="18"/>
                <w:u w:val="none"/>
                <w:lang w:val="en-US" w:eastAsia="zh-CN" w:bidi="en-AU"/>
              </w:rPr>
              <w:t xml:space="preserve">到</w:t>
            </w:r>
            <w:r>
              <w:rPr>
                <w:rFonts w:ascii="宋体" w:eastAsia="宋体" w:hAnsi="宋体" w:cs="宋体"/>
                <w:i w:val="0"/>
                <w:iCs w:val="0"/>
                <w:color w:val="000000"/>
                <w:kern w:val="0"/>
                <w:sz w:val="18"/>
                <w:szCs w:val="18"/>
                <w:u w:val="none"/>
                <w:lang w:val="en-US" w:eastAsia="zh-CN" w:bidi="en-AU"/>
              </w:rPr>
              <w:t xml:space="preserve">95</w:t>
            </w: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以上</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00"/>
        </w:trPr>
        <w:tc>
          <w:tcPr>
            <w:vMerge/>
            <w:tcBorders>
              <w:top w:val="single" w:sz="4" w:space="0" w:color="000000"/>
              <w:left w:val="single" w:sz="4" w:space="0" w:color="000000"/>
              <w:bottom w:val="nil"/>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土地管理</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hint="eastAsia"/>
                <w:i w:val="0"/>
                <w:iCs w:val="0"/>
                <w:color w:val="000000"/>
                <w:sz w:val="18"/>
                <w:szCs w:val="18"/>
                <w:u w:val="none"/>
                <w:lang w:val="en-US" w:eastAsia="zh-CN"/>
              </w:rPr>
            </w:pPr>
            <w:r>
              <w:rPr>
                <w:rFonts w:ascii="宋体" w:eastAsia="宋体" w:hAnsi="宋体" w:cs="宋体"/>
                <w:i w:val="0"/>
                <w:iCs w:val="0"/>
                <w:color w:val="000000"/>
                <w:kern w:val="0"/>
                <w:sz w:val="18"/>
                <w:szCs w:val="18"/>
                <w:u w:val="none"/>
                <w:lang w:val="en-US" w:eastAsia="zh-CN" w:bidi="en-AU"/>
              </w:rPr>
              <w:t xml:space="preserve">配合上级做好辖区土地调查统计、土地权属纠纷调解等工作</w:t>
            </w:r>
            <w:r>
              <w:rPr>
                <w:rFonts w:ascii="宋体" w:hAnsi="宋体" w:cs="宋体" w:hint="eastAsia"/>
                <w:i w:val="0"/>
                <w:iCs w:val="0"/>
                <w:color w:val="000000"/>
                <w:kern w:val="0"/>
                <w:sz w:val="18"/>
                <w:szCs w:val="18"/>
                <w:u w:val="none"/>
                <w:lang w:val="en-US" w:eastAsia="zh-CN" w:bidi="en-AU"/>
              </w:rPr>
              <w:t xml:space="preserve">。</w:t>
            </w: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达</w:t>
            </w:r>
            <w:r>
              <w:rPr>
                <w:rFonts w:ascii="宋体" w:eastAsia="宋体" w:hAnsi="宋体" w:cs="宋体"/>
                <w:i w:val="0"/>
                <w:iCs w:val="0"/>
                <w:color w:val="000000"/>
                <w:kern w:val="0"/>
                <w:sz w:val="18"/>
                <w:szCs w:val="18"/>
                <w:u w:val="none"/>
                <w:lang w:val="en-US" w:eastAsia="zh-CN" w:bidi="en-AU"/>
              </w:rPr>
              <w:t xml:space="preserve">到</w:t>
            </w:r>
            <w:r>
              <w:rPr>
                <w:rFonts w:ascii="宋体" w:eastAsia="宋体" w:hAnsi="宋体" w:cs="宋体"/>
                <w:i w:val="0"/>
                <w:iCs w:val="0"/>
                <w:color w:val="000000"/>
                <w:kern w:val="0"/>
                <w:sz w:val="18"/>
                <w:szCs w:val="18"/>
                <w:u w:val="none"/>
                <w:lang w:val="en-US" w:eastAsia="zh-CN" w:bidi="en-AU"/>
              </w:rPr>
              <w:t xml:space="preserve">95</w:t>
            </w: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以上</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一级指标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二级指标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三级指标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年度指标值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实际完成值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得分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偏差度</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偏差原因分析及改进措施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绩效指标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投入管理指标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工作目标管理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年度履职目标相关性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目标充分、内容合法合规</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工作任务科学性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科学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绩效指标合理性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合理、清晰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预算和财务管理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预算编制完整性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完整</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专项资金细化率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预算执行率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预算调整率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结转结余率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三公经</w:t>
            </w:r>
            <w:r>
              <w:rPr>
                <w:rFonts w:ascii="宋体" w:eastAsia="宋体" w:hAnsi="宋体" w:cs="宋体"/>
                <w:i w:val="0"/>
                <w:iCs w:val="0"/>
                <w:color w:val="000000"/>
                <w:kern w:val="0"/>
                <w:sz w:val="18"/>
                <w:szCs w:val="18"/>
                <w:u w:val="none"/>
                <w:lang w:val="en-US" w:eastAsia="zh-CN" w:bidi="en-AU"/>
              </w:rPr>
              <w:t xml:space="preserve">费</w:t>
            </w: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控制率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无三公经费预算</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政府采购执行率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决算真实性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真实</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资金使用合规性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合规</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管理制度健全性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健全</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9</w:t>
            </w:r>
            <w:r>
              <w:rPr>
                <w:rFonts w:ascii="宋体" w:hAnsi="宋体" w:cs="宋体" w:hint="eastAsia"/>
                <w:i w:val="0"/>
                <w:iCs w:val="0"/>
                <w:color w:val="000000"/>
                <w:kern w:val="0"/>
                <w:sz w:val="18"/>
                <w:szCs w:val="18"/>
                <w:u w:val="none"/>
                <w:lang w:val="en-US" w:eastAsia="zh-CN" w:bidi="en-AU"/>
              </w:rPr>
              <w:t xml:space="preserve">5</w:t>
            </w:r>
            <w:r>
              <w:rPr>
                <w:rFonts w:ascii="宋体" w:eastAsia="宋体" w:hAnsi="宋体" w:cs="宋体"/>
                <w:i w:val="0"/>
                <w:iCs w:val="0"/>
                <w:color w:val="000000"/>
                <w:kern w:val="0"/>
                <w:sz w:val="18"/>
                <w:szCs w:val="18"/>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hAnsi="宋体" w:cs="宋体" w:hint="eastAsia"/>
                <w:i w:val="0"/>
                <w:iCs w:val="0"/>
                <w:color w:val="000000"/>
                <w:kern w:val="0"/>
                <w:sz w:val="18"/>
                <w:szCs w:val="18"/>
                <w:u w:val="none"/>
                <w:lang w:val="en-US" w:eastAsia="zh-CN" w:bidi="en-AU"/>
              </w:rPr>
              <w:t xml:space="preserve">5</w:t>
            </w:r>
            <w:r>
              <w:rPr>
                <w:rFonts w:ascii="宋体" w:eastAsia="宋体" w:hAnsi="宋体" w:cs="宋体"/>
                <w:i w:val="0"/>
                <w:iCs w:val="0"/>
                <w:color w:val="000000"/>
                <w:kern w:val="0"/>
                <w:sz w:val="18"/>
                <w:szCs w:val="18"/>
                <w:u w:val="none"/>
                <w:lang w:val="en-US" w:eastAsia="zh-CN" w:bidi="en-AU"/>
              </w:rPr>
              <w:t xml:space="preserve">%</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完善财务制度</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预决算信息公开性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真实</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49"/>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nil"/>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资产管理规范性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规范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c>
          <w:tcPr>
            <w:tcW w:type="auto" w:w="0"/>
            <w:gridSpan w:val="2"/>
            <w:vMerge w:val="restart"/>
            <w:tcBorders>
              <w:top w:val="nil"/>
              <w:left w:val="single" w:sz="4" w:space="0" w:color="000000"/>
              <w:bottom w:val="single" w:sz="4" w:space="0" w:color="000000"/>
              <w:right w:val="nil"/>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绩效管理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绩效目标编制完成率</w:t>
            </w:r>
          </w:p>
        </w:tc>
        <w:tc>
          <w:tcPr>
            <w:tcW w:type="auto" w:w="0"/>
            <w:tcBorders>
              <w:top w:val="single" w:sz="4" w:space="0" w:color="000000"/>
              <w:left w:val="nil"/>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49"/>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c>
          <w:tcPr>
            <w:gridSpan w:val="2"/>
            <w:vMerge/>
            <w:tcBorders>
              <w:top w:val="nil"/>
              <w:left w:val="single" w:sz="4" w:space="0" w:color="000000"/>
              <w:bottom w:val="single" w:sz="4" w:space="0" w:color="000000"/>
              <w:right w:val="nil"/>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绩效监控完成率</w:t>
            </w:r>
          </w:p>
        </w:tc>
        <w:tc>
          <w:tcPr>
            <w:tcW w:type="auto" w:w="0"/>
            <w:tcBorders>
              <w:top w:val="single" w:sz="4" w:space="0" w:color="000000"/>
              <w:left w:val="nil"/>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c>
          <w:tcPr>
            <w:gridSpan w:val="2"/>
            <w:vMerge/>
            <w:tcBorders>
              <w:top w:val="nil"/>
              <w:left w:val="single" w:sz="4" w:space="0" w:color="000000"/>
              <w:bottom w:val="single" w:sz="4" w:space="0" w:color="000000"/>
              <w:right w:val="nil"/>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绩效自评完成率</w:t>
            </w:r>
          </w:p>
        </w:tc>
        <w:tc>
          <w:tcPr>
            <w:tcW w:type="auto" w:w="0"/>
            <w:tcBorders>
              <w:top w:val="single" w:sz="4" w:space="0" w:color="000000"/>
              <w:left w:val="nil"/>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c>
          <w:tcPr>
            <w:gridSpan w:val="2"/>
            <w:vMerge/>
            <w:tcBorders>
              <w:top w:val="nil"/>
              <w:left w:val="single" w:sz="4" w:space="0" w:color="000000"/>
              <w:bottom w:val="single" w:sz="4" w:space="0" w:color="000000"/>
              <w:right w:val="nil"/>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部门绩效评价完成率</w:t>
            </w:r>
          </w:p>
        </w:tc>
        <w:tc>
          <w:tcPr>
            <w:tcW w:type="auto" w:w="0"/>
            <w:tcBorders>
              <w:top w:val="single" w:sz="4" w:space="0" w:color="000000"/>
              <w:left w:val="nil"/>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加强绩效评价工作</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c>
          <w:tcPr>
            <w:gridSpan w:val="2"/>
            <w:vMerge/>
            <w:tcBorders>
              <w:top w:val="nil"/>
              <w:left w:val="single" w:sz="4" w:space="0" w:color="000000"/>
              <w:bottom w:val="single" w:sz="4" w:space="0" w:color="000000"/>
              <w:right w:val="nil"/>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评价结果应用率</w:t>
            </w:r>
          </w:p>
        </w:tc>
        <w:tc>
          <w:tcPr>
            <w:tcW w:type="auto" w:w="0"/>
            <w:tcBorders>
              <w:top w:val="single" w:sz="4" w:space="0" w:color="000000"/>
              <w:left w:val="nil"/>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加强评价结果应用</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产出指标</w:t>
            </w:r>
          </w:p>
        </w:tc>
        <w:tc>
          <w:tcPr>
            <w:tcW w:type="auto" w:w="0"/>
            <w:gridSpan w:val="2"/>
            <w:vMerge w:val="restart"/>
            <w:tcBorders>
              <w:top w:val="single" w:sz="4" w:space="0" w:color="000000"/>
              <w:left w:val="single" w:sz="4" w:space="0" w:color="000000"/>
              <w:bottom w:val="nil"/>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重点工作任务完成</w:t>
            </w:r>
          </w:p>
        </w:tc>
        <w:tc>
          <w:tcPr>
            <w:tcW w:type="auto" w:w="0"/>
            <w:tcBorders>
              <w:top w:val="single" w:sz="4" w:space="0" w:color="000000"/>
              <w:left w:val="single" w:sz="4" w:space="0" w:color="000000"/>
              <w:bottom w:val="nil"/>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基本农田保护完成率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nil"/>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土地管理监测计划完成率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履职目标实现</w:t>
            </w:r>
          </w:p>
        </w:tc>
        <w:tc>
          <w:tcPr>
            <w:tcW w:type="auto" w:w="0"/>
            <w:tcBorders>
              <w:top w:val="single" w:sz="4" w:space="0" w:color="000000"/>
              <w:left w:val="single" w:sz="4" w:space="0" w:color="000000"/>
              <w:bottom w:val="nil"/>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基本农田保护完成率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土地管理监测计划完成率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nil"/>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c>
          <w:tcPr>
            <w:tcW w:type="auto" w:w="0"/>
            <w:tcBorders>
              <w:top w:val="single" w:sz="4" w:space="0" w:color="000000"/>
              <w:left w:val="nil"/>
              <w:bottom w:val="single" w:sz="4" w:space="0" w:color="000000"/>
              <w:right w:val="nil"/>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c>
          <w:tcPr>
            <w:tcW w:type="auto" w:w="0"/>
            <w:tcBorders>
              <w:top w:val="single" w:sz="4" w:space="0" w:color="000000"/>
              <w:left w:val="nil"/>
              <w:bottom w:val="single" w:sz="4" w:space="0" w:color="000000"/>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履职效益</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社会效益</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满意度</w:t>
            </w:r>
          </w:p>
        </w:tc>
        <w:tc>
          <w:tcPr>
            <w:tcW w:type="auto" w:w="0"/>
            <w:tcBorders>
              <w:top w:val="single" w:sz="4" w:space="0" w:color="000000"/>
              <w:left w:val="single" w:sz="4" w:space="0" w:color="000000"/>
              <w:bottom w:val="nil"/>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bidi="en-AU"/>
              </w:rPr>
              <w:t xml:space="preserve">群众满意度</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9</w:t>
            </w:r>
            <w:r>
              <w:rPr>
                <w:rFonts w:ascii="宋体" w:hAnsi="宋体" w:cs="宋体" w:hint="eastAsia"/>
                <w:i w:val="0"/>
                <w:iCs w:val="0"/>
                <w:color w:val="000000"/>
                <w:kern w:val="0"/>
                <w:sz w:val="18"/>
                <w:szCs w:val="18"/>
                <w:u w:val="none"/>
                <w:lang w:val="en-US" w:eastAsia="zh-CN" w:bidi="en-AU"/>
              </w:rPr>
              <w:t xml:space="preserve">5</w:t>
            </w:r>
            <w:r>
              <w:rPr>
                <w:rFonts w:ascii="宋体" w:eastAsia="宋体" w:hAnsi="宋体" w:cs="宋体"/>
                <w:i w:val="0"/>
                <w:iCs w:val="0"/>
                <w:color w:val="000000"/>
                <w:kern w:val="0"/>
                <w:sz w:val="18"/>
                <w:szCs w:val="18"/>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9.</w:t>
            </w:r>
            <w:r>
              <w:rPr>
                <w:rFonts w:ascii="宋体" w:hAnsi="宋体" w:cs="宋体" w:hint="eastAsia"/>
                <w:i w:val="0"/>
                <w:iCs w:val="0"/>
                <w:color w:val="000000"/>
                <w:kern w:val="0"/>
                <w:sz w:val="18"/>
                <w:szCs w:val="18"/>
                <w:u w:val="none"/>
                <w:lang w:val="en-US" w:eastAsia="zh-CN" w:bidi="en-AU"/>
              </w:rPr>
              <w:t xml:space="preserve">7</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加强满意度</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bidi="en-AU"/>
              </w:rPr>
              <w:t xml:space="preserve">服务对象满意度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9</w:t>
            </w:r>
            <w:r>
              <w:rPr>
                <w:rFonts w:ascii="宋体" w:hAnsi="宋体" w:cs="宋体" w:hint="eastAsia"/>
                <w:i w:val="0"/>
                <w:iCs w:val="0"/>
                <w:color w:val="000000"/>
                <w:kern w:val="0"/>
                <w:sz w:val="18"/>
                <w:szCs w:val="18"/>
                <w:u w:val="none"/>
                <w:lang w:val="en-US" w:eastAsia="zh-CN" w:bidi="en-AU"/>
              </w:rPr>
              <w:t xml:space="preserve">5</w:t>
            </w:r>
            <w:r>
              <w:rPr>
                <w:rFonts w:ascii="宋体" w:eastAsia="宋体" w:hAnsi="宋体" w:cs="宋体"/>
                <w:i w:val="0"/>
                <w:iCs w:val="0"/>
                <w:color w:val="000000"/>
                <w:kern w:val="0"/>
                <w:sz w:val="18"/>
                <w:szCs w:val="18"/>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9.</w:t>
            </w:r>
            <w:r>
              <w:rPr>
                <w:rFonts w:ascii="宋体" w:hAnsi="宋体" w:cs="宋体" w:hint="eastAsia"/>
                <w:i w:val="0"/>
                <w:iCs w:val="0"/>
                <w:color w:val="000000"/>
                <w:kern w:val="0"/>
                <w:sz w:val="18"/>
                <w:szCs w:val="18"/>
                <w:u w:val="none"/>
                <w:lang w:val="en-US" w:eastAsia="zh-CN" w:bidi="en-AU"/>
              </w:rPr>
              <w:t xml:space="preserve">7</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加强满意度</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jc w:val="center"/>
              <w:rPr>
                <w:rFonts w:ascii="宋体" w:eastAsia="宋体" w:hAnsi="宋体" w:cs="宋体" w:hint="eastAsia"/>
                <w:i w:val="0"/>
                <w:iCs w:val="0"/>
                <w:color w:val="000000"/>
                <w:sz w:val="18"/>
                <w:szCs w:val="18"/>
                <w:u w:val="none"/>
              </w:rPr>
            </w:pP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98.</w:t>
            </w:r>
            <w:r>
              <w:rPr>
                <w:rFonts w:ascii="宋体" w:hAnsi="宋体" w:cs="宋体" w:hint="eastAsia"/>
                <w:i w:val="0"/>
                <w:iCs w:val="0"/>
                <w:color w:val="000000"/>
                <w:kern w:val="0"/>
                <w:sz w:val="18"/>
                <w:szCs w:val="18"/>
                <w:u w:val="none"/>
                <w:lang w:val="en-US" w:eastAsia="zh-CN" w:bidi="en-AU"/>
              </w:rPr>
              <w:t xml:space="preserve">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d7fa925-5ffc-4ffe-a556-ee8ba81805f8"/>
              <w:rPr>
                <w:rFonts w:ascii="宋体" w:eastAsia="宋体" w:hAnsi="宋体" w:cs="宋体" w:hint="eastAsia"/>
                <w:i w:val="0"/>
                <w:iCs w:val="0"/>
                <w:color w:val="000000"/>
                <w:sz w:val="18"/>
                <w:szCs w:val="18"/>
                <w:u w:val="none"/>
              </w:rPr>
            </w:pPr>
          </w:p>
        </w:tc>
      </w:tr>
    </w:tbl>
    <w:p>
      <w:pPr>
        <w:pStyle w:val="Normal_dd7fa925-5ffc-4ffe-a556-ee8ba81805f8"/>
        <w:sectPr>
          <w:pgSz w:w="11906" w:h="16838"/>
          <w:pgMar w:top="1440" w:right="1800" w:bottom="1440" w:left="1800" w:header="851" w:footer="992" w:gutter="0"/>
          <w:docGrid w:type="lines" w:linePitch="312"/>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45"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9533"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9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paragraph" w:styleId="Normal_dd7fa925-5ffc-4ffe-a556-ee8ba81805f8">
    <w:name w:val="Normal_dd7fa925-5ffc-4ffe-a556-ee8ba81805f8"/>
    <w:qFormat/>
    <w:pPr>
      <w:widowControl w:val="0"/>
      <w:jc w:val="both"/>
    </w:pPr>
    <w:rPr>
      <w:rFonts w:ascii="Calibri" w:eastAsia="宋体" w:hAnsi="Calibri" w:cs="Times New Roman"/>
      <w:kern w:val="2"/>
      <w:sz w:val="21"/>
      <w:szCs w:val="24"/>
      <w:lang w:val="en-US" w:eastAsia="zh-CN" w:bidi="ar-SA"/>
    </w:rPr>
  </w:style>
  <w:style w:type="table" w:styleId="NormalTable0">
    <w:name w:val="普通表格"/>
    <w:next w:val="NormalTable"/>
    <w:semiHidden/>
    <w:rPr/>
    <w:tblPr>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2024-10-10T08:30:31Z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0</TotalTime>
  <ScaleCrop>false</ScaleCrop>
  <LinksUpToDate>false</LinksUpToDate>
  <CharactersWithSpaces>19414</CharactersWithSpaces>
  <Application>WPS Office_12.1.0.18276_F1E327BC-269C-435d-A152-05C5408002CA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44</Pages>
  <Words>6695</Words>
  <Characters>19169</Characters>
  <Application>WPS Office_12.1.0.18276_F1E327BC-269C-435d-A152-05C5408002CA</Application>
  <DocSecurity>0</DocSecurity>
  <Lines>1</Lines>
  <Paragraphs>1</Paragraphs>
  <CharactersWithSpaces>19414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2024-10-10T09:21:17Z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2052-12.1.0.18276</vt:lpwstr>
  </property>
  <property fmtid="{D5CDD505-2E9C-101B-9397-08002B2CF9AE}" pid="3" name="ICV">
    <vt:lpwstr>DF94CE1DC53D4C5F990C8EECCB3F5EB2_13</vt:lpwstr>
  </property>
</Properties>
</file>