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许昌市固体废物和辐射管理中心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许昌市固体废物和辐射管理中心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许昌市固体废物和辐射管理中心概况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（一）受许昌市生态环境局委托，负责对许昌市辖区内（以下简称全市）固体废物的产生、收集、运输、贮存、利用、处置进行日常管理并协助市局依法开展现场检查；</w:t>
        <w:br/>
        <w:t xml:space="preserve">    （二）宣传、贯彻固体废物法律、法规，参与拟定危险废物污染防治等地方性法规和管理办法；</w:t>
        <w:br/>
        <w:t xml:space="preserve">    （三）协助有关部门对全市固体废物环境污染事故、污染纠纷、污染投诉、群众信访的调查与处理；</w:t>
        <w:br/>
        <w:t xml:space="preserve">    （四）协助开展全市固体废物各类违反环境保护法律、法规行为的调查与取证工作；</w:t>
        <w:br/>
        <w:t xml:space="preserve">    （五）组织开展固体废物专项调查和申报登记工作；</w:t>
        <w:br/>
        <w:t xml:space="preserve">    （六）承担全市危险废物转移计划表审核和危险废物管理计划备案工作；</w:t>
        <w:br/>
        <w:t xml:space="preserve">    （七）负责全市危险废物管理人员和操作人员的专业培训；</w:t>
        <w:br/>
        <w:t xml:space="preserve">    （八）组织开展固体废物综合利用调研工作，推广固体废物资源化，减量化，无害化处理处置先进防治技术和设备；</w:t>
        <w:br/>
        <w:t xml:space="preserve">    （九）承担上级环境保护行政主管部门委托的其他工作。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许昌市固体废物和辐射管理中心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综合办公室、危废管理办公室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许昌市固体废物和辐射管理中心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许昌市固体废物和辐射管理中心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单位：许昌市固体废物和辐射管理中心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167.31</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5.45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13.35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2.91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140.29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5.32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167.31</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167.31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0.01</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0.01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167.32</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167.32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单位：许昌市固体废物和辐射管理中心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167.31</w:t>
            </w:r>
          </w:p>
        </w:tc>
        <w:tc>
          <w:tcPr>
            <w:tcW w:w="1440" w:type="dxa"/>
            <w:tcBorders/>
            <w:vAlign w:val="center"/>
          </w:tcPr>
          <w:p>
            <w:pPr>
              <w:jc w:val="right"/>
            </w:pPr>
            <w:r>
              <w:rPr>
                <w:rFonts w:ascii="宋体" w:eastAsia="宋体" w:hAnsi="宋体" w:cs="宋体"/>
                <w:b/>
                <w:i w:val="0"/>
                <w:color w:val="000000"/>
                <w:sz w:val="17"/>
              </w:rPr>
              <w:t xml:space="preserve">167.31</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5.45</w:t>
            </w:r>
          </w:p>
        </w:tc>
        <w:tc>
          <w:tcPr>
            <w:tcW w:w="1440" w:type="dxa"/>
            <w:tcBorders/>
            <w:vAlign w:val="center"/>
          </w:tcPr>
          <w:p>
            <w:pPr>
              <w:jc w:val="right"/>
            </w:pPr>
            <w:r>
              <w:rPr>
                <w:rFonts w:ascii="宋体" w:eastAsia="宋体" w:hAnsi="宋体" w:cs="宋体"/>
                <w:b w:val="0"/>
                <w:i w:val="0"/>
                <w:color w:val="000000"/>
                <w:sz w:val="17"/>
              </w:rPr>
              <w:t xml:space="preserve">5.45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0.58</w:t>
            </w:r>
          </w:p>
        </w:tc>
        <w:tc>
          <w:tcPr>
            <w:tcW w:w="1440" w:type="dxa"/>
            <w:tcBorders/>
            <w:vAlign w:val="center"/>
          </w:tcPr>
          <w:p>
            <w:pPr>
              <w:jc w:val="right"/>
            </w:pPr>
            <w:r>
              <w:rPr>
                <w:rFonts w:ascii="宋体" w:eastAsia="宋体" w:hAnsi="宋体" w:cs="宋体"/>
                <w:b w:val="0"/>
                <w:i w:val="0"/>
                <w:color w:val="000000"/>
                <w:sz w:val="17"/>
              </w:rPr>
              <w:t xml:space="preserve">0.58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0.58</w:t>
            </w:r>
          </w:p>
        </w:tc>
        <w:tc>
          <w:tcPr>
            <w:tcW w:w="1440" w:type="dxa"/>
            <w:tcBorders/>
            <w:vAlign w:val="center"/>
          </w:tcPr>
          <w:p>
            <w:pPr>
              <w:jc w:val="right"/>
            </w:pPr>
            <w:r>
              <w:rPr>
                <w:rFonts w:ascii="宋体" w:eastAsia="宋体" w:hAnsi="宋体" w:cs="宋体"/>
                <w:b w:val="0"/>
                <w:i w:val="0"/>
                <w:color w:val="000000"/>
                <w:sz w:val="17"/>
              </w:rPr>
              <w:t xml:space="preserve">0.58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4.87</w:t>
            </w:r>
          </w:p>
        </w:tc>
        <w:tc>
          <w:tcPr>
            <w:tcW w:w="1440" w:type="dxa"/>
            <w:tcBorders/>
            <w:vAlign w:val="center"/>
          </w:tcPr>
          <w:p>
            <w:pPr>
              <w:jc w:val="right"/>
            </w:pPr>
            <w:r>
              <w:rPr>
                <w:rFonts w:ascii="宋体" w:eastAsia="宋体" w:hAnsi="宋体" w:cs="宋体"/>
                <w:b w:val="0"/>
                <w:i w:val="0"/>
                <w:color w:val="000000"/>
                <w:sz w:val="17"/>
              </w:rPr>
              <w:t xml:space="preserve">4.87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4.87</w:t>
            </w:r>
          </w:p>
        </w:tc>
        <w:tc>
          <w:tcPr>
            <w:tcW w:w="1440" w:type="dxa"/>
            <w:tcBorders/>
            <w:vAlign w:val="center"/>
          </w:tcPr>
          <w:p>
            <w:pPr>
              <w:jc w:val="right"/>
            </w:pPr>
            <w:r>
              <w:rPr>
                <w:rFonts w:ascii="宋体" w:eastAsia="宋体" w:hAnsi="宋体" w:cs="宋体"/>
                <w:b w:val="0"/>
                <w:i w:val="0"/>
                <w:color w:val="000000"/>
                <w:sz w:val="17"/>
              </w:rPr>
              <w:t xml:space="preserve">4.87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13.35</w:t>
            </w:r>
          </w:p>
        </w:tc>
        <w:tc>
          <w:tcPr>
            <w:tcW w:w="1440" w:type="dxa"/>
            <w:tcBorders/>
            <w:vAlign w:val="center"/>
          </w:tcPr>
          <w:p>
            <w:pPr>
              <w:jc w:val="right"/>
            </w:pPr>
            <w:r>
              <w:rPr>
                <w:rFonts w:ascii="宋体" w:eastAsia="宋体" w:hAnsi="宋体" w:cs="宋体"/>
                <w:b w:val="0"/>
                <w:i w:val="0"/>
                <w:color w:val="000000"/>
                <w:sz w:val="17"/>
              </w:rPr>
              <w:t xml:space="preserve">13.35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13.35</w:t>
            </w:r>
          </w:p>
        </w:tc>
        <w:tc>
          <w:tcPr>
            <w:tcW w:w="1440" w:type="dxa"/>
            <w:tcBorders/>
            <w:vAlign w:val="center"/>
          </w:tcPr>
          <w:p>
            <w:pPr>
              <w:jc w:val="right"/>
            </w:pPr>
            <w:r>
              <w:rPr>
                <w:rFonts w:ascii="宋体" w:eastAsia="宋体" w:hAnsi="宋体" w:cs="宋体"/>
                <w:b w:val="0"/>
                <w:i w:val="0"/>
                <w:color w:val="000000"/>
                <w:sz w:val="17"/>
              </w:rPr>
              <w:t xml:space="preserve">13.35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7.37</w:t>
            </w:r>
          </w:p>
        </w:tc>
        <w:tc>
          <w:tcPr>
            <w:tcW w:w="1440" w:type="dxa"/>
            <w:tcBorders/>
            <w:vAlign w:val="center"/>
          </w:tcPr>
          <w:p>
            <w:pPr>
              <w:jc w:val="right"/>
            </w:pPr>
            <w:r>
              <w:rPr>
                <w:rFonts w:ascii="宋体" w:eastAsia="宋体" w:hAnsi="宋体" w:cs="宋体"/>
                <w:b w:val="0"/>
                <w:i w:val="0"/>
                <w:color w:val="000000"/>
                <w:sz w:val="17"/>
              </w:rPr>
              <w:t xml:space="preserve">7.37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5.98</w:t>
            </w:r>
          </w:p>
        </w:tc>
        <w:tc>
          <w:tcPr>
            <w:tcW w:w="1440" w:type="dxa"/>
            <w:tcBorders/>
            <w:vAlign w:val="center"/>
          </w:tcPr>
          <w:p>
            <w:pPr>
              <w:jc w:val="right"/>
            </w:pPr>
            <w:r>
              <w:rPr>
                <w:rFonts w:ascii="宋体" w:eastAsia="宋体" w:hAnsi="宋体" w:cs="宋体"/>
                <w:b w:val="0"/>
                <w:i w:val="0"/>
                <w:color w:val="000000"/>
                <w:sz w:val="17"/>
              </w:rPr>
              <w:t xml:space="preserve">5.98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2.91</w:t>
            </w:r>
          </w:p>
        </w:tc>
        <w:tc>
          <w:tcPr>
            <w:tcW w:w="1440" w:type="dxa"/>
            <w:tcBorders/>
            <w:vAlign w:val="center"/>
          </w:tcPr>
          <w:p>
            <w:pPr>
              <w:jc w:val="right"/>
            </w:pPr>
            <w:r>
              <w:rPr>
                <w:rFonts w:ascii="宋体" w:eastAsia="宋体" w:hAnsi="宋体" w:cs="宋体"/>
                <w:b w:val="0"/>
                <w:i w:val="0"/>
                <w:color w:val="000000"/>
                <w:sz w:val="17"/>
              </w:rPr>
              <w:t xml:space="preserve">2.91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2.91</w:t>
            </w:r>
          </w:p>
        </w:tc>
        <w:tc>
          <w:tcPr>
            <w:tcW w:w="1440" w:type="dxa"/>
            <w:tcBorders/>
            <w:vAlign w:val="center"/>
          </w:tcPr>
          <w:p>
            <w:pPr>
              <w:jc w:val="right"/>
            </w:pPr>
            <w:r>
              <w:rPr>
                <w:rFonts w:ascii="宋体" w:eastAsia="宋体" w:hAnsi="宋体" w:cs="宋体"/>
                <w:b w:val="0"/>
                <w:i w:val="0"/>
                <w:color w:val="000000"/>
                <w:sz w:val="17"/>
              </w:rPr>
              <w:t xml:space="preserve">2.91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2.91</w:t>
            </w:r>
          </w:p>
        </w:tc>
        <w:tc>
          <w:tcPr>
            <w:tcW w:w="1440" w:type="dxa"/>
            <w:tcBorders/>
            <w:vAlign w:val="center"/>
          </w:tcPr>
          <w:p>
            <w:pPr>
              <w:jc w:val="right"/>
            </w:pPr>
            <w:r>
              <w:rPr>
                <w:rFonts w:ascii="宋体" w:eastAsia="宋体" w:hAnsi="宋体" w:cs="宋体"/>
                <w:b w:val="0"/>
                <w:i w:val="0"/>
                <w:color w:val="000000"/>
                <w:sz w:val="17"/>
              </w:rPr>
              <w:t xml:space="preserve">2.91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节能环保支出</w:t>
            </w:r>
          </w:p>
        </w:tc>
        <w:tc>
          <w:tcPr>
            <w:tcW w:w="1440" w:type="dxa"/>
            <w:tcBorders/>
            <w:vAlign w:val="center"/>
          </w:tcPr>
          <w:p>
            <w:pPr>
              <w:jc w:val="right"/>
            </w:pPr>
            <w:r>
              <w:rPr>
                <w:rFonts w:ascii="宋体" w:eastAsia="宋体" w:hAnsi="宋体" w:cs="宋体"/>
                <w:b w:val="0"/>
                <w:i w:val="0"/>
                <w:color w:val="000000"/>
                <w:sz w:val="17"/>
              </w:rPr>
              <w:t xml:space="preserve">140.29</w:t>
            </w:r>
          </w:p>
        </w:tc>
        <w:tc>
          <w:tcPr>
            <w:tcW w:w="1440" w:type="dxa"/>
            <w:tcBorders/>
            <w:vAlign w:val="center"/>
          </w:tcPr>
          <w:p>
            <w:pPr>
              <w:jc w:val="right"/>
            </w:pPr>
            <w:r>
              <w:rPr>
                <w:rFonts w:ascii="宋体" w:eastAsia="宋体" w:hAnsi="宋体" w:cs="宋体"/>
                <w:b w:val="0"/>
                <w:i w:val="0"/>
                <w:color w:val="000000"/>
                <w:sz w:val="17"/>
              </w:rPr>
              <w:t xml:space="preserve">140.29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环境保护管理事务</w:t>
            </w:r>
          </w:p>
        </w:tc>
        <w:tc>
          <w:tcPr>
            <w:tcW w:w="1440" w:type="dxa"/>
            <w:tcBorders/>
            <w:vAlign w:val="center"/>
          </w:tcPr>
          <w:p>
            <w:pPr>
              <w:jc w:val="right"/>
            </w:pPr>
            <w:r>
              <w:rPr>
                <w:rFonts w:ascii="宋体" w:eastAsia="宋体" w:hAnsi="宋体" w:cs="宋体"/>
                <w:b w:val="0"/>
                <w:i w:val="0"/>
                <w:color w:val="000000"/>
                <w:sz w:val="17"/>
              </w:rPr>
              <w:t xml:space="preserve">80.89</w:t>
            </w:r>
          </w:p>
        </w:tc>
        <w:tc>
          <w:tcPr>
            <w:tcW w:w="1440" w:type="dxa"/>
            <w:tcBorders/>
            <w:vAlign w:val="center"/>
          </w:tcPr>
          <w:p>
            <w:pPr>
              <w:jc w:val="right"/>
            </w:pPr>
            <w:r>
              <w:rPr>
                <w:rFonts w:ascii="宋体" w:eastAsia="宋体" w:hAnsi="宋体" w:cs="宋体"/>
                <w:b w:val="0"/>
                <w:i w:val="0"/>
                <w:color w:val="000000"/>
                <w:sz w:val="17"/>
              </w:rPr>
              <w:t xml:space="preserve">80.89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其他环境保护管理事务支出</w:t>
            </w:r>
          </w:p>
        </w:tc>
        <w:tc>
          <w:tcPr>
            <w:tcW w:w="1440" w:type="dxa"/>
            <w:tcBorders/>
            <w:vAlign w:val="center"/>
          </w:tcPr>
          <w:p>
            <w:pPr>
              <w:jc w:val="right"/>
            </w:pPr>
            <w:r>
              <w:rPr>
                <w:rFonts w:ascii="宋体" w:eastAsia="宋体" w:hAnsi="宋体" w:cs="宋体"/>
                <w:b w:val="0"/>
                <w:i w:val="0"/>
                <w:color w:val="000000"/>
                <w:sz w:val="17"/>
              </w:rPr>
              <w:t xml:space="preserve">80.89</w:t>
            </w:r>
          </w:p>
        </w:tc>
        <w:tc>
          <w:tcPr>
            <w:tcW w:w="1440" w:type="dxa"/>
            <w:tcBorders/>
            <w:vAlign w:val="center"/>
          </w:tcPr>
          <w:p>
            <w:pPr>
              <w:jc w:val="right"/>
            </w:pPr>
            <w:r>
              <w:rPr>
                <w:rFonts w:ascii="宋体" w:eastAsia="宋体" w:hAnsi="宋体" w:cs="宋体"/>
                <w:b w:val="0"/>
                <w:i w:val="0"/>
                <w:color w:val="000000"/>
                <w:sz w:val="17"/>
              </w:rPr>
              <w:t xml:space="preserve">80.89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污染防治</w:t>
            </w:r>
          </w:p>
        </w:tc>
        <w:tc>
          <w:tcPr>
            <w:tcW w:w="1440" w:type="dxa"/>
            <w:tcBorders/>
            <w:vAlign w:val="center"/>
          </w:tcPr>
          <w:p>
            <w:pPr>
              <w:jc w:val="right"/>
            </w:pPr>
            <w:r>
              <w:rPr>
                <w:rFonts w:ascii="宋体" w:eastAsia="宋体" w:hAnsi="宋体" w:cs="宋体"/>
                <w:b w:val="0"/>
                <w:i w:val="0"/>
                <w:color w:val="000000"/>
                <w:sz w:val="17"/>
              </w:rPr>
              <w:t xml:space="preserve">59.40</w:t>
            </w:r>
          </w:p>
        </w:tc>
        <w:tc>
          <w:tcPr>
            <w:tcW w:w="1440" w:type="dxa"/>
            <w:tcBorders/>
            <w:vAlign w:val="center"/>
          </w:tcPr>
          <w:p>
            <w:pPr>
              <w:jc w:val="right"/>
            </w:pPr>
            <w:r>
              <w:rPr>
                <w:rFonts w:ascii="宋体" w:eastAsia="宋体" w:hAnsi="宋体" w:cs="宋体"/>
                <w:b w:val="0"/>
                <w:i w:val="0"/>
                <w:color w:val="000000"/>
                <w:sz w:val="17"/>
              </w:rPr>
              <w:t xml:space="preserve">59.40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大气</w:t>
            </w:r>
          </w:p>
        </w:tc>
        <w:tc>
          <w:tcPr>
            <w:tcW w:w="1440" w:type="dxa"/>
            <w:tcBorders/>
            <w:vAlign w:val="center"/>
          </w:tcPr>
          <w:p>
            <w:pPr>
              <w:jc w:val="right"/>
            </w:pPr>
            <w:r>
              <w:rPr>
                <w:rFonts w:ascii="宋体" w:eastAsia="宋体" w:hAnsi="宋体" w:cs="宋体"/>
                <w:b w:val="0"/>
                <w:i w:val="0"/>
                <w:color w:val="000000"/>
                <w:sz w:val="17"/>
              </w:rPr>
              <w:t xml:space="preserve">59.40</w:t>
            </w:r>
          </w:p>
        </w:tc>
        <w:tc>
          <w:tcPr>
            <w:tcW w:w="1440" w:type="dxa"/>
            <w:tcBorders/>
            <w:vAlign w:val="center"/>
          </w:tcPr>
          <w:p>
            <w:pPr>
              <w:jc w:val="right"/>
            </w:pPr>
            <w:r>
              <w:rPr>
                <w:rFonts w:ascii="宋体" w:eastAsia="宋体" w:hAnsi="宋体" w:cs="宋体"/>
                <w:b w:val="0"/>
                <w:i w:val="0"/>
                <w:color w:val="000000"/>
                <w:sz w:val="17"/>
              </w:rPr>
              <w:t xml:space="preserve">59.40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5.32</w:t>
            </w:r>
          </w:p>
        </w:tc>
        <w:tc>
          <w:tcPr>
            <w:tcW w:w="1440" w:type="dxa"/>
            <w:tcBorders/>
            <w:vAlign w:val="center"/>
          </w:tcPr>
          <w:p>
            <w:pPr>
              <w:jc w:val="right"/>
            </w:pPr>
            <w:r>
              <w:rPr>
                <w:rFonts w:ascii="宋体" w:eastAsia="宋体" w:hAnsi="宋体" w:cs="宋体"/>
                <w:b w:val="0"/>
                <w:i w:val="0"/>
                <w:color w:val="000000"/>
                <w:sz w:val="17"/>
              </w:rPr>
              <w:t xml:space="preserve">5.32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5.32</w:t>
            </w:r>
          </w:p>
        </w:tc>
        <w:tc>
          <w:tcPr>
            <w:tcW w:w="1440" w:type="dxa"/>
            <w:tcBorders/>
            <w:vAlign w:val="center"/>
          </w:tcPr>
          <w:p>
            <w:pPr>
              <w:jc w:val="right"/>
            </w:pPr>
            <w:r>
              <w:rPr>
                <w:rFonts w:ascii="宋体" w:eastAsia="宋体" w:hAnsi="宋体" w:cs="宋体"/>
                <w:b w:val="0"/>
                <w:i w:val="0"/>
                <w:color w:val="000000"/>
                <w:sz w:val="17"/>
              </w:rPr>
              <w:t xml:space="preserve">5.32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5.32</w:t>
            </w:r>
          </w:p>
        </w:tc>
        <w:tc>
          <w:tcPr>
            <w:tcW w:w="1440" w:type="dxa"/>
            <w:tcBorders/>
            <w:vAlign w:val="center"/>
          </w:tcPr>
          <w:p>
            <w:pPr>
              <w:jc w:val="right"/>
            </w:pPr>
            <w:r>
              <w:rPr>
                <w:rFonts w:ascii="宋体" w:eastAsia="宋体" w:hAnsi="宋体" w:cs="宋体"/>
                <w:b w:val="0"/>
                <w:i w:val="0"/>
                <w:color w:val="000000"/>
                <w:sz w:val="17"/>
              </w:rPr>
              <w:t xml:space="preserve">5.32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单位：许昌市固体废物和辐射管理中心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167.31</w:t>
            </w:r>
          </w:p>
        </w:tc>
        <w:tc>
          <w:tcPr>
            <w:tcW w:w="1600" w:type="dxa"/>
            <w:tcBorders/>
            <w:vAlign w:val="center"/>
          </w:tcPr>
          <w:p>
            <w:pPr>
              <w:jc w:val="right"/>
            </w:pPr>
            <w:r>
              <w:rPr>
                <w:rFonts w:ascii="宋体" w:eastAsia="宋体" w:hAnsi="宋体" w:cs="宋体"/>
                <w:b/>
                <w:i w:val="0"/>
                <w:color w:val="000000"/>
                <w:sz w:val="19"/>
              </w:rPr>
              <w:t xml:space="preserve">107.91</w:t>
            </w:r>
          </w:p>
        </w:tc>
        <w:tc>
          <w:tcPr>
            <w:tcW w:w="1600" w:type="dxa"/>
            <w:tcBorders/>
            <w:vAlign w:val="center"/>
          </w:tcPr>
          <w:p>
            <w:pPr>
              <w:jc w:val="right"/>
            </w:pPr>
            <w:r>
              <w:rPr>
                <w:rFonts w:ascii="宋体" w:eastAsia="宋体" w:hAnsi="宋体" w:cs="宋体"/>
                <w:b/>
                <w:i w:val="0"/>
                <w:color w:val="000000"/>
                <w:sz w:val="19"/>
              </w:rPr>
              <w:t xml:space="preserve">59.40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5.45</w:t>
            </w:r>
          </w:p>
        </w:tc>
        <w:tc>
          <w:tcPr>
            <w:tcW w:w="1600" w:type="dxa"/>
            <w:tcBorders/>
            <w:vAlign w:val="center"/>
          </w:tcPr>
          <w:p>
            <w:pPr>
              <w:jc w:val="right"/>
            </w:pPr>
            <w:r>
              <w:rPr>
                <w:rFonts w:ascii="宋体" w:eastAsia="宋体" w:hAnsi="宋体" w:cs="宋体"/>
                <w:b w:val="0"/>
                <w:i w:val="0"/>
                <w:color w:val="000000"/>
                <w:sz w:val="19"/>
              </w:rPr>
              <w:t xml:space="preserve">5.45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0.58</w:t>
            </w:r>
          </w:p>
        </w:tc>
        <w:tc>
          <w:tcPr>
            <w:tcW w:w="1600" w:type="dxa"/>
            <w:tcBorders/>
            <w:vAlign w:val="center"/>
          </w:tcPr>
          <w:p>
            <w:pPr>
              <w:jc w:val="right"/>
            </w:pPr>
            <w:r>
              <w:rPr>
                <w:rFonts w:ascii="宋体" w:eastAsia="宋体" w:hAnsi="宋体" w:cs="宋体"/>
                <w:b w:val="0"/>
                <w:i w:val="0"/>
                <w:color w:val="000000"/>
                <w:sz w:val="19"/>
              </w:rPr>
              <w:t xml:space="preserve">0.58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0.58</w:t>
            </w:r>
          </w:p>
        </w:tc>
        <w:tc>
          <w:tcPr>
            <w:tcW w:w="1600" w:type="dxa"/>
            <w:tcBorders/>
            <w:vAlign w:val="center"/>
          </w:tcPr>
          <w:p>
            <w:pPr>
              <w:jc w:val="right"/>
            </w:pPr>
            <w:r>
              <w:rPr>
                <w:rFonts w:ascii="宋体" w:eastAsia="宋体" w:hAnsi="宋体" w:cs="宋体"/>
                <w:b w:val="0"/>
                <w:i w:val="0"/>
                <w:color w:val="000000"/>
                <w:sz w:val="19"/>
              </w:rPr>
              <w:t xml:space="preserve">0.58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4.87</w:t>
            </w:r>
          </w:p>
        </w:tc>
        <w:tc>
          <w:tcPr>
            <w:tcW w:w="1600" w:type="dxa"/>
            <w:tcBorders/>
            <w:vAlign w:val="center"/>
          </w:tcPr>
          <w:p>
            <w:pPr>
              <w:jc w:val="right"/>
            </w:pPr>
            <w:r>
              <w:rPr>
                <w:rFonts w:ascii="宋体" w:eastAsia="宋体" w:hAnsi="宋体" w:cs="宋体"/>
                <w:b w:val="0"/>
                <w:i w:val="0"/>
                <w:color w:val="000000"/>
                <w:sz w:val="19"/>
              </w:rPr>
              <w:t xml:space="preserve">4.87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4.87</w:t>
            </w:r>
          </w:p>
        </w:tc>
        <w:tc>
          <w:tcPr>
            <w:tcW w:w="1600" w:type="dxa"/>
            <w:tcBorders/>
            <w:vAlign w:val="center"/>
          </w:tcPr>
          <w:p>
            <w:pPr>
              <w:jc w:val="right"/>
            </w:pPr>
            <w:r>
              <w:rPr>
                <w:rFonts w:ascii="宋体" w:eastAsia="宋体" w:hAnsi="宋体" w:cs="宋体"/>
                <w:b w:val="0"/>
                <w:i w:val="0"/>
                <w:color w:val="000000"/>
                <w:sz w:val="19"/>
              </w:rPr>
              <w:t xml:space="preserve">4.87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13.35</w:t>
            </w:r>
          </w:p>
        </w:tc>
        <w:tc>
          <w:tcPr>
            <w:tcW w:w="1600" w:type="dxa"/>
            <w:tcBorders/>
            <w:vAlign w:val="center"/>
          </w:tcPr>
          <w:p>
            <w:pPr>
              <w:jc w:val="right"/>
            </w:pPr>
            <w:r>
              <w:rPr>
                <w:rFonts w:ascii="宋体" w:eastAsia="宋体" w:hAnsi="宋体" w:cs="宋体"/>
                <w:b w:val="0"/>
                <w:i w:val="0"/>
                <w:color w:val="000000"/>
                <w:sz w:val="19"/>
              </w:rPr>
              <w:t xml:space="preserve">13.35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13.35</w:t>
            </w:r>
          </w:p>
        </w:tc>
        <w:tc>
          <w:tcPr>
            <w:tcW w:w="1600" w:type="dxa"/>
            <w:tcBorders/>
            <w:vAlign w:val="center"/>
          </w:tcPr>
          <w:p>
            <w:pPr>
              <w:jc w:val="right"/>
            </w:pPr>
            <w:r>
              <w:rPr>
                <w:rFonts w:ascii="宋体" w:eastAsia="宋体" w:hAnsi="宋体" w:cs="宋体"/>
                <w:b w:val="0"/>
                <w:i w:val="0"/>
                <w:color w:val="000000"/>
                <w:sz w:val="19"/>
              </w:rPr>
              <w:t xml:space="preserve">13.35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7.37</w:t>
            </w:r>
          </w:p>
        </w:tc>
        <w:tc>
          <w:tcPr>
            <w:tcW w:w="1600" w:type="dxa"/>
            <w:tcBorders/>
            <w:vAlign w:val="center"/>
          </w:tcPr>
          <w:p>
            <w:pPr>
              <w:jc w:val="right"/>
            </w:pPr>
            <w:r>
              <w:rPr>
                <w:rFonts w:ascii="宋体" w:eastAsia="宋体" w:hAnsi="宋体" w:cs="宋体"/>
                <w:b w:val="0"/>
                <w:i w:val="0"/>
                <w:color w:val="000000"/>
                <w:sz w:val="19"/>
              </w:rPr>
              <w:t xml:space="preserve">7.37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5.98</w:t>
            </w:r>
          </w:p>
        </w:tc>
        <w:tc>
          <w:tcPr>
            <w:tcW w:w="1600" w:type="dxa"/>
            <w:tcBorders/>
            <w:vAlign w:val="center"/>
          </w:tcPr>
          <w:p>
            <w:pPr>
              <w:jc w:val="right"/>
            </w:pPr>
            <w:r>
              <w:rPr>
                <w:rFonts w:ascii="宋体" w:eastAsia="宋体" w:hAnsi="宋体" w:cs="宋体"/>
                <w:b w:val="0"/>
                <w:i w:val="0"/>
                <w:color w:val="000000"/>
                <w:sz w:val="19"/>
              </w:rPr>
              <w:t xml:space="preserve">5.98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2.91</w:t>
            </w:r>
          </w:p>
        </w:tc>
        <w:tc>
          <w:tcPr>
            <w:tcW w:w="1600" w:type="dxa"/>
            <w:tcBorders/>
            <w:vAlign w:val="center"/>
          </w:tcPr>
          <w:p>
            <w:pPr>
              <w:jc w:val="right"/>
            </w:pPr>
            <w:r>
              <w:rPr>
                <w:rFonts w:ascii="宋体" w:eastAsia="宋体" w:hAnsi="宋体" w:cs="宋体"/>
                <w:b w:val="0"/>
                <w:i w:val="0"/>
                <w:color w:val="000000"/>
                <w:sz w:val="19"/>
              </w:rPr>
              <w:t xml:space="preserve">2.91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2.91</w:t>
            </w:r>
          </w:p>
        </w:tc>
        <w:tc>
          <w:tcPr>
            <w:tcW w:w="1600" w:type="dxa"/>
            <w:tcBorders/>
            <w:vAlign w:val="center"/>
          </w:tcPr>
          <w:p>
            <w:pPr>
              <w:jc w:val="right"/>
            </w:pPr>
            <w:r>
              <w:rPr>
                <w:rFonts w:ascii="宋体" w:eastAsia="宋体" w:hAnsi="宋体" w:cs="宋体"/>
                <w:b w:val="0"/>
                <w:i w:val="0"/>
                <w:color w:val="000000"/>
                <w:sz w:val="19"/>
              </w:rPr>
              <w:t xml:space="preserve">2.91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2.91</w:t>
            </w:r>
          </w:p>
        </w:tc>
        <w:tc>
          <w:tcPr>
            <w:tcW w:w="1600" w:type="dxa"/>
            <w:tcBorders/>
            <w:vAlign w:val="center"/>
          </w:tcPr>
          <w:p>
            <w:pPr>
              <w:jc w:val="right"/>
            </w:pPr>
            <w:r>
              <w:rPr>
                <w:rFonts w:ascii="宋体" w:eastAsia="宋体" w:hAnsi="宋体" w:cs="宋体"/>
                <w:b w:val="0"/>
                <w:i w:val="0"/>
                <w:color w:val="000000"/>
                <w:sz w:val="19"/>
              </w:rPr>
              <w:t xml:space="preserve">2.91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节能环保支出</w:t>
            </w:r>
          </w:p>
        </w:tc>
        <w:tc>
          <w:tcPr>
            <w:tcW w:w="1600" w:type="dxa"/>
            <w:tcBorders/>
            <w:vAlign w:val="center"/>
          </w:tcPr>
          <w:p>
            <w:pPr>
              <w:jc w:val="right"/>
            </w:pPr>
            <w:r>
              <w:rPr>
                <w:rFonts w:ascii="宋体" w:eastAsia="宋体" w:hAnsi="宋体" w:cs="宋体"/>
                <w:b w:val="0"/>
                <w:i w:val="0"/>
                <w:color w:val="000000"/>
                <w:sz w:val="19"/>
              </w:rPr>
              <w:t xml:space="preserve">140.29</w:t>
            </w:r>
          </w:p>
        </w:tc>
        <w:tc>
          <w:tcPr>
            <w:tcW w:w="1600" w:type="dxa"/>
            <w:tcBorders/>
            <w:vAlign w:val="center"/>
          </w:tcPr>
          <w:p>
            <w:pPr>
              <w:jc w:val="right"/>
            </w:pPr>
            <w:r>
              <w:rPr>
                <w:rFonts w:ascii="宋体" w:eastAsia="宋体" w:hAnsi="宋体" w:cs="宋体"/>
                <w:b w:val="0"/>
                <w:i w:val="0"/>
                <w:color w:val="000000"/>
                <w:sz w:val="19"/>
              </w:rPr>
              <w:t xml:space="preserve">80.89</w:t>
            </w:r>
          </w:p>
        </w:tc>
        <w:tc>
          <w:tcPr>
            <w:tcW w:w="1600" w:type="dxa"/>
            <w:tcBorders/>
            <w:vAlign w:val="center"/>
          </w:tcPr>
          <w:p>
            <w:pPr>
              <w:jc w:val="right"/>
            </w:pPr>
            <w:r>
              <w:rPr>
                <w:rFonts w:ascii="宋体" w:eastAsia="宋体" w:hAnsi="宋体" w:cs="宋体"/>
                <w:b w:val="0"/>
                <w:i w:val="0"/>
                <w:color w:val="000000"/>
                <w:sz w:val="19"/>
              </w:rPr>
              <w:t xml:space="preserve">59.40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环境保护管理事务</w:t>
            </w:r>
          </w:p>
        </w:tc>
        <w:tc>
          <w:tcPr>
            <w:tcW w:w="1600" w:type="dxa"/>
            <w:tcBorders/>
            <w:vAlign w:val="center"/>
          </w:tcPr>
          <w:p>
            <w:pPr>
              <w:jc w:val="right"/>
            </w:pPr>
            <w:r>
              <w:rPr>
                <w:rFonts w:ascii="宋体" w:eastAsia="宋体" w:hAnsi="宋体" w:cs="宋体"/>
                <w:b w:val="0"/>
                <w:i w:val="0"/>
                <w:color w:val="000000"/>
                <w:sz w:val="19"/>
              </w:rPr>
              <w:t xml:space="preserve">80.89</w:t>
            </w:r>
          </w:p>
        </w:tc>
        <w:tc>
          <w:tcPr>
            <w:tcW w:w="1600" w:type="dxa"/>
            <w:tcBorders/>
            <w:vAlign w:val="center"/>
          </w:tcPr>
          <w:p>
            <w:pPr>
              <w:jc w:val="right"/>
            </w:pPr>
            <w:r>
              <w:rPr>
                <w:rFonts w:ascii="宋体" w:eastAsia="宋体" w:hAnsi="宋体" w:cs="宋体"/>
                <w:b w:val="0"/>
                <w:i w:val="0"/>
                <w:color w:val="000000"/>
                <w:sz w:val="19"/>
              </w:rPr>
              <w:t xml:space="preserve">80.89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其他环境保护管理事务支出</w:t>
            </w:r>
          </w:p>
        </w:tc>
        <w:tc>
          <w:tcPr>
            <w:tcW w:w="1600" w:type="dxa"/>
            <w:tcBorders/>
            <w:vAlign w:val="center"/>
          </w:tcPr>
          <w:p>
            <w:pPr>
              <w:jc w:val="right"/>
            </w:pPr>
            <w:r>
              <w:rPr>
                <w:rFonts w:ascii="宋体" w:eastAsia="宋体" w:hAnsi="宋体" w:cs="宋体"/>
                <w:b w:val="0"/>
                <w:i w:val="0"/>
                <w:color w:val="000000"/>
                <w:sz w:val="19"/>
              </w:rPr>
              <w:t xml:space="preserve">80.89</w:t>
            </w:r>
          </w:p>
        </w:tc>
        <w:tc>
          <w:tcPr>
            <w:tcW w:w="1600" w:type="dxa"/>
            <w:tcBorders/>
            <w:vAlign w:val="center"/>
          </w:tcPr>
          <w:p>
            <w:pPr>
              <w:jc w:val="right"/>
            </w:pPr>
            <w:r>
              <w:rPr>
                <w:rFonts w:ascii="宋体" w:eastAsia="宋体" w:hAnsi="宋体" w:cs="宋体"/>
                <w:b w:val="0"/>
                <w:i w:val="0"/>
                <w:color w:val="000000"/>
                <w:sz w:val="19"/>
              </w:rPr>
              <w:t xml:space="preserve">80.89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污染防治</w:t>
            </w:r>
          </w:p>
        </w:tc>
        <w:tc>
          <w:tcPr>
            <w:tcW w:w="1600" w:type="dxa"/>
            <w:tcBorders/>
            <w:vAlign w:val="center"/>
          </w:tcPr>
          <w:p>
            <w:pPr>
              <w:jc w:val="right"/>
            </w:pPr>
            <w:r>
              <w:rPr>
                <w:rFonts w:ascii="宋体" w:eastAsia="宋体" w:hAnsi="宋体" w:cs="宋体"/>
                <w:b w:val="0"/>
                <w:i w:val="0"/>
                <w:color w:val="000000"/>
                <w:sz w:val="19"/>
              </w:rPr>
              <w:t xml:space="preserve">59.40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59.40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大气</w:t>
            </w:r>
          </w:p>
        </w:tc>
        <w:tc>
          <w:tcPr>
            <w:tcW w:w="1600" w:type="dxa"/>
            <w:tcBorders/>
            <w:vAlign w:val="center"/>
          </w:tcPr>
          <w:p>
            <w:pPr>
              <w:jc w:val="right"/>
            </w:pPr>
            <w:r>
              <w:rPr>
                <w:rFonts w:ascii="宋体" w:eastAsia="宋体" w:hAnsi="宋体" w:cs="宋体"/>
                <w:b w:val="0"/>
                <w:i w:val="0"/>
                <w:color w:val="000000"/>
                <w:sz w:val="19"/>
              </w:rPr>
              <w:t xml:space="preserve">59.40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59.40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5.32</w:t>
            </w:r>
          </w:p>
        </w:tc>
        <w:tc>
          <w:tcPr>
            <w:tcW w:w="1600" w:type="dxa"/>
            <w:tcBorders/>
            <w:vAlign w:val="center"/>
          </w:tcPr>
          <w:p>
            <w:pPr>
              <w:jc w:val="right"/>
            </w:pPr>
            <w:r>
              <w:rPr>
                <w:rFonts w:ascii="宋体" w:eastAsia="宋体" w:hAnsi="宋体" w:cs="宋体"/>
                <w:b w:val="0"/>
                <w:i w:val="0"/>
                <w:color w:val="000000"/>
                <w:sz w:val="19"/>
              </w:rPr>
              <w:t xml:space="preserve">5.32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5.32</w:t>
            </w:r>
          </w:p>
        </w:tc>
        <w:tc>
          <w:tcPr>
            <w:tcW w:w="1600" w:type="dxa"/>
            <w:tcBorders/>
            <w:vAlign w:val="center"/>
          </w:tcPr>
          <w:p>
            <w:pPr>
              <w:jc w:val="right"/>
            </w:pPr>
            <w:r>
              <w:rPr>
                <w:rFonts w:ascii="宋体" w:eastAsia="宋体" w:hAnsi="宋体" w:cs="宋体"/>
                <w:b w:val="0"/>
                <w:i w:val="0"/>
                <w:color w:val="000000"/>
                <w:sz w:val="19"/>
              </w:rPr>
              <w:t xml:space="preserve">5.32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5.32</w:t>
            </w:r>
          </w:p>
        </w:tc>
        <w:tc>
          <w:tcPr>
            <w:tcW w:w="1600" w:type="dxa"/>
            <w:tcBorders/>
            <w:vAlign w:val="center"/>
          </w:tcPr>
          <w:p>
            <w:pPr>
              <w:jc w:val="right"/>
            </w:pPr>
            <w:r>
              <w:rPr>
                <w:rFonts w:ascii="宋体" w:eastAsia="宋体" w:hAnsi="宋体" w:cs="宋体"/>
                <w:b w:val="0"/>
                <w:i w:val="0"/>
                <w:color w:val="000000"/>
                <w:sz w:val="19"/>
              </w:rPr>
              <w:t xml:space="preserve">5.32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单位：许昌市固体废物和辐射管理中心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167.31</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5.45</w:t>
            </w:r>
          </w:p>
        </w:tc>
        <w:tc>
          <w:tcPr>
            <w:tcW w:w="1420" w:type="dxa"/>
            <w:tcBorders/>
            <w:vAlign w:val="center"/>
          </w:tcPr>
          <w:p>
            <w:pPr>
              <w:jc w:val="right"/>
            </w:pPr>
            <w:r>
              <w:rPr>
                <w:rFonts w:ascii="宋体" w:eastAsia="宋体" w:hAnsi="宋体" w:cs="宋体"/>
                <w:b w:val="0"/>
                <w:i w:val="0"/>
                <w:color w:val="000000"/>
                <w:sz w:val="18"/>
              </w:rPr>
              <w:t xml:space="preserve">5.45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13.35</w:t>
            </w:r>
          </w:p>
        </w:tc>
        <w:tc>
          <w:tcPr>
            <w:tcW w:w="1420" w:type="dxa"/>
            <w:tcBorders/>
            <w:vAlign w:val="center"/>
          </w:tcPr>
          <w:p>
            <w:pPr>
              <w:jc w:val="right"/>
            </w:pPr>
            <w:r>
              <w:rPr>
                <w:rFonts w:ascii="宋体" w:eastAsia="宋体" w:hAnsi="宋体" w:cs="宋体"/>
                <w:b w:val="0"/>
                <w:i w:val="0"/>
                <w:color w:val="000000"/>
                <w:sz w:val="18"/>
              </w:rPr>
              <w:t xml:space="preserve">13.35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2.91</w:t>
            </w:r>
          </w:p>
        </w:tc>
        <w:tc>
          <w:tcPr>
            <w:tcW w:w="1420" w:type="dxa"/>
            <w:tcBorders/>
            <w:vAlign w:val="center"/>
          </w:tcPr>
          <w:p>
            <w:pPr>
              <w:jc w:val="right"/>
            </w:pPr>
            <w:r>
              <w:rPr>
                <w:rFonts w:ascii="宋体" w:eastAsia="宋体" w:hAnsi="宋体" w:cs="宋体"/>
                <w:b w:val="0"/>
                <w:i w:val="0"/>
                <w:color w:val="000000"/>
                <w:sz w:val="18"/>
              </w:rPr>
              <w:t xml:space="preserve">2.91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140.29</w:t>
            </w:r>
          </w:p>
        </w:tc>
        <w:tc>
          <w:tcPr>
            <w:tcW w:w="1420" w:type="dxa"/>
            <w:tcBorders/>
            <w:vAlign w:val="center"/>
          </w:tcPr>
          <w:p>
            <w:pPr>
              <w:jc w:val="right"/>
            </w:pPr>
            <w:r>
              <w:rPr>
                <w:rFonts w:ascii="宋体" w:eastAsia="宋体" w:hAnsi="宋体" w:cs="宋体"/>
                <w:b w:val="0"/>
                <w:i w:val="0"/>
                <w:color w:val="000000"/>
                <w:sz w:val="18"/>
              </w:rPr>
              <w:t xml:space="preserve">140.29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5.32</w:t>
            </w:r>
          </w:p>
        </w:tc>
        <w:tc>
          <w:tcPr>
            <w:tcW w:w="1420" w:type="dxa"/>
            <w:tcBorders/>
            <w:vAlign w:val="center"/>
          </w:tcPr>
          <w:p>
            <w:pPr>
              <w:jc w:val="right"/>
            </w:pPr>
            <w:r>
              <w:rPr>
                <w:rFonts w:ascii="宋体" w:eastAsia="宋体" w:hAnsi="宋体" w:cs="宋体"/>
                <w:b w:val="0"/>
                <w:i w:val="0"/>
                <w:color w:val="000000"/>
                <w:sz w:val="18"/>
              </w:rPr>
              <w:t xml:space="preserve">5.32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167.31</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167.31</w:t>
            </w:r>
          </w:p>
        </w:tc>
        <w:tc>
          <w:tcPr>
            <w:tcW w:w="1420" w:type="dxa"/>
            <w:tcBorders/>
            <w:vAlign w:val="center"/>
          </w:tcPr>
          <w:p>
            <w:pPr>
              <w:jc w:val="right"/>
            </w:pPr>
            <w:r>
              <w:rPr>
                <w:rFonts w:ascii="宋体" w:eastAsia="宋体" w:hAnsi="宋体" w:cs="宋体"/>
                <w:b w:val="0"/>
                <w:i w:val="0"/>
                <w:color w:val="000000"/>
                <w:sz w:val="18"/>
              </w:rPr>
              <w:t xml:space="preserve">167.31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167.31</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167.31</w:t>
            </w:r>
          </w:p>
        </w:tc>
        <w:tc>
          <w:tcPr>
            <w:tcW w:w="1420" w:type="dxa"/>
            <w:tcBorders/>
            <w:vAlign w:val="center"/>
          </w:tcPr>
          <w:p>
            <w:pPr>
              <w:jc w:val="right"/>
            </w:pPr>
            <w:r>
              <w:rPr>
                <w:rFonts w:ascii="宋体" w:eastAsia="宋体" w:hAnsi="宋体" w:cs="宋体"/>
                <w:b w:val="0"/>
                <w:i w:val="0"/>
                <w:color w:val="000000"/>
                <w:sz w:val="18"/>
              </w:rPr>
              <w:t xml:space="preserve">167.31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单位：许昌市固体废物和辐射管理中心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167.31</w:t>
            </w:r>
          </w:p>
        </w:tc>
        <w:tc>
          <w:tcPr>
            <w:tcW w:w="2700" w:type="dxa"/>
            <w:tcBorders/>
            <w:vAlign w:val="center"/>
          </w:tcPr>
          <w:p>
            <w:pPr>
              <w:jc w:val="right"/>
            </w:pPr>
            <w:r>
              <w:rPr>
                <w:rFonts w:ascii="宋体" w:eastAsia="宋体" w:hAnsi="宋体" w:cs="宋体"/>
                <w:b/>
                <w:i w:val="0"/>
                <w:color w:val="000000"/>
                <w:sz w:val="25"/>
              </w:rPr>
              <w:t xml:space="preserve">107.91</w:t>
            </w:r>
          </w:p>
        </w:tc>
        <w:tc>
          <w:tcPr>
            <w:tcW w:w="2658" w:type="dxa"/>
            <w:tcBorders/>
            <w:vAlign w:val="center"/>
          </w:tcPr>
          <w:p>
            <w:pPr>
              <w:jc w:val="right"/>
            </w:pPr>
            <w:r>
              <w:rPr>
                <w:rFonts w:ascii="宋体" w:eastAsia="宋体" w:hAnsi="宋体" w:cs="宋体"/>
                <w:b/>
                <w:i w:val="0"/>
                <w:color w:val="000000"/>
                <w:sz w:val="25"/>
              </w:rPr>
              <w:t xml:space="preserve">59.40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5.45</w:t>
            </w:r>
          </w:p>
        </w:tc>
        <w:tc>
          <w:tcPr>
            <w:tcW w:w="2700" w:type="dxa"/>
            <w:tcBorders/>
            <w:vAlign w:val="center"/>
          </w:tcPr>
          <w:p>
            <w:pPr>
              <w:jc w:val="right"/>
            </w:pPr>
            <w:r>
              <w:rPr>
                <w:rFonts w:ascii="宋体" w:eastAsia="宋体" w:hAnsi="宋体" w:cs="宋体"/>
                <w:b w:val="0"/>
                <w:i w:val="0"/>
                <w:color w:val="000000"/>
                <w:sz w:val="25"/>
              </w:rPr>
              <w:t xml:space="preserve">5.45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0.58</w:t>
            </w:r>
          </w:p>
        </w:tc>
        <w:tc>
          <w:tcPr>
            <w:tcW w:w="2700" w:type="dxa"/>
            <w:tcBorders/>
            <w:vAlign w:val="center"/>
          </w:tcPr>
          <w:p>
            <w:pPr>
              <w:jc w:val="right"/>
            </w:pPr>
            <w:r>
              <w:rPr>
                <w:rFonts w:ascii="宋体" w:eastAsia="宋体" w:hAnsi="宋体" w:cs="宋体"/>
                <w:b w:val="0"/>
                <w:i w:val="0"/>
                <w:color w:val="000000"/>
                <w:sz w:val="25"/>
              </w:rPr>
              <w:t xml:space="preserve">0.58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0.58</w:t>
            </w:r>
          </w:p>
        </w:tc>
        <w:tc>
          <w:tcPr>
            <w:tcW w:w="2700" w:type="dxa"/>
            <w:tcBorders/>
            <w:vAlign w:val="center"/>
          </w:tcPr>
          <w:p>
            <w:pPr>
              <w:jc w:val="right"/>
            </w:pPr>
            <w:r>
              <w:rPr>
                <w:rFonts w:ascii="宋体" w:eastAsia="宋体" w:hAnsi="宋体" w:cs="宋体"/>
                <w:b w:val="0"/>
                <w:i w:val="0"/>
                <w:color w:val="000000"/>
                <w:sz w:val="25"/>
              </w:rPr>
              <w:t xml:space="preserve">0.58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4.87</w:t>
            </w:r>
          </w:p>
        </w:tc>
        <w:tc>
          <w:tcPr>
            <w:tcW w:w="2700" w:type="dxa"/>
            <w:tcBorders/>
            <w:vAlign w:val="center"/>
          </w:tcPr>
          <w:p>
            <w:pPr>
              <w:jc w:val="right"/>
            </w:pPr>
            <w:r>
              <w:rPr>
                <w:rFonts w:ascii="宋体" w:eastAsia="宋体" w:hAnsi="宋体" w:cs="宋体"/>
                <w:b w:val="0"/>
                <w:i w:val="0"/>
                <w:color w:val="000000"/>
                <w:sz w:val="25"/>
              </w:rPr>
              <w:t xml:space="preserve">4.87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4.87</w:t>
            </w:r>
          </w:p>
        </w:tc>
        <w:tc>
          <w:tcPr>
            <w:tcW w:w="2700" w:type="dxa"/>
            <w:tcBorders/>
            <w:vAlign w:val="center"/>
          </w:tcPr>
          <w:p>
            <w:pPr>
              <w:jc w:val="right"/>
            </w:pPr>
            <w:r>
              <w:rPr>
                <w:rFonts w:ascii="宋体" w:eastAsia="宋体" w:hAnsi="宋体" w:cs="宋体"/>
                <w:b w:val="0"/>
                <w:i w:val="0"/>
                <w:color w:val="000000"/>
                <w:sz w:val="25"/>
              </w:rPr>
              <w:t xml:space="preserve">4.87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13.35</w:t>
            </w:r>
          </w:p>
        </w:tc>
        <w:tc>
          <w:tcPr>
            <w:tcW w:w="2700" w:type="dxa"/>
            <w:tcBorders/>
            <w:vAlign w:val="center"/>
          </w:tcPr>
          <w:p>
            <w:pPr>
              <w:jc w:val="right"/>
            </w:pPr>
            <w:r>
              <w:rPr>
                <w:rFonts w:ascii="宋体" w:eastAsia="宋体" w:hAnsi="宋体" w:cs="宋体"/>
                <w:b w:val="0"/>
                <w:i w:val="0"/>
                <w:color w:val="000000"/>
                <w:sz w:val="25"/>
              </w:rPr>
              <w:t xml:space="preserve">13.35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13.35</w:t>
            </w:r>
          </w:p>
        </w:tc>
        <w:tc>
          <w:tcPr>
            <w:tcW w:w="2700" w:type="dxa"/>
            <w:tcBorders/>
            <w:vAlign w:val="center"/>
          </w:tcPr>
          <w:p>
            <w:pPr>
              <w:jc w:val="right"/>
            </w:pPr>
            <w:r>
              <w:rPr>
                <w:rFonts w:ascii="宋体" w:eastAsia="宋体" w:hAnsi="宋体" w:cs="宋体"/>
                <w:b w:val="0"/>
                <w:i w:val="0"/>
                <w:color w:val="000000"/>
                <w:sz w:val="25"/>
              </w:rPr>
              <w:t xml:space="preserve">13.35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7.37</w:t>
            </w:r>
          </w:p>
        </w:tc>
        <w:tc>
          <w:tcPr>
            <w:tcW w:w="2700" w:type="dxa"/>
            <w:tcBorders/>
            <w:vAlign w:val="center"/>
          </w:tcPr>
          <w:p>
            <w:pPr>
              <w:jc w:val="right"/>
            </w:pPr>
            <w:r>
              <w:rPr>
                <w:rFonts w:ascii="宋体" w:eastAsia="宋体" w:hAnsi="宋体" w:cs="宋体"/>
                <w:b w:val="0"/>
                <w:i w:val="0"/>
                <w:color w:val="000000"/>
                <w:sz w:val="25"/>
              </w:rPr>
              <w:t xml:space="preserve">7.37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5.98</w:t>
            </w:r>
          </w:p>
        </w:tc>
        <w:tc>
          <w:tcPr>
            <w:tcW w:w="2700" w:type="dxa"/>
            <w:tcBorders/>
            <w:vAlign w:val="center"/>
          </w:tcPr>
          <w:p>
            <w:pPr>
              <w:jc w:val="right"/>
            </w:pPr>
            <w:r>
              <w:rPr>
                <w:rFonts w:ascii="宋体" w:eastAsia="宋体" w:hAnsi="宋体" w:cs="宋体"/>
                <w:b w:val="0"/>
                <w:i w:val="0"/>
                <w:color w:val="000000"/>
                <w:sz w:val="25"/>
              </w:rPr>
              <w:t xml:space="preserve">5.98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2.91</w:t>
            </w:r>
          </w:p>
        </w:tc>
        <w:tc>
          <w:tcPr>
            <w:tcW w:w="2700" w:type="dxa"/>
            <w:tcBorders/>
            <w:vAlign w:val="center"/>
          </w:tcPr>
          <w:p>
            <w:pPr>
              <w:jc w:val="right"/>
            </w:pPr>
            <w:r>
              <w:rPr>
                <w:rFonts w:ascii="宋体" w:eastAsia="宋体" w:hAnsi="宋体" w:cs="宋体"/>
                <w:b w:val="0"/>
                <w:i w:val="0"/>
                <w:color w:val="000000"/>
                <w:sz w:val="25"/>
              </w:rPr>
              <w:t xml:space="preserve">2.91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2.91</w:t>
            </w:r>
          </w:p>
        </w:tc>
        <w:tc>
          <w:tcPr>
            <w:tcW w:w="2700" w:type="dxa"/>
            <w:tcBorders/>
            <w:vAlign w:val="center"/>
          </w:tcPr>
          <w:p>
            <w:pPr>
              <w:jc w:val="right"/>
            </w:pPr>
            <w:r>
              <w:rPr>
                <w:rFonts w:ascii="宋体" w:eastAsia="宋体" w:hAnsi="宋体" w:cs="宋体"/>
                <w:b w:val="0"/>
                <w:i w:val="0"/>
                <w:color w:val="000000"/>
                <w:sz w:val="25"/>
              </w:rPr>
              <w:t xml:space="preserve">2.91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2.91</w:t>
            </w:r>
          </w:p>
        </w:tc>
        <w:tc>
          <w:tcPr>
            <w:tcW w:w="2700" w:type="dxa"/>
            <w:tcBorders/>
            <w:vAlign w:val="center"/>
          </w:tcPr>
          <w:p>
            <w:pPr>
              <w:jc w:val="right"/>
            </w:pPr>
            <w:r>
              <w:rPr>
                <w:rFonts w:ascii="宋体" w:eastAsia="宋体" w:hAnsi="宋体" w:cs="宋体"/>
                <w:b w:val="0"/>
                <w:i w:val="0"/>
                <w:color w:val="000000"/>
                <w:sz w:val="25"/>
              </w:rPr>
              <w:t xml:space="preserve">2.91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节能环保支出</w:t>
            </w:r>
          </w:p>
        </w:tc>
        <w:tc>
          <w:tcPr>
            <w:tcW w:w="2700" w:type="dxa"/>
            <w:tcBorders/>
            <w:vAlign w:val="center"/>
          </w:tcPr>
          <w:p>
            <w:pPr>
              <w:jc w:val="right"/>
            </w:pPr>
            <w:r>
              <w:rPr>
                <w:rFonts w:ascii="宋体" w:eastAsia="宋体" w:hAnsi="宋体" w:cs="宋体"/>
                <w:b w:val="0"/>
                <w:i w:val="0"/>
                <w:color w:val="000000"/>
                <w:sz w:val="25"/>
              </w:rPr>
              <w:t xml:space="preserve">140.29</w:t>
            </w:r>
          </w:p>
        </w:tc>
        <w:tc>
          <w:tcPr>
            <w:tcW w:w="2700" w:type="dxa"/>
            <w:tcBorders/>
            <w:vAlign w:val="center"/>
          </w:tcPr>
          <w:p>
            <w:pPr>
              <w:jc w:val="right"/>
            </w:pPr>
            <w:r>
              <w:rPr>
                <w:rFonts w:ascii="宋体" w:eastAsia="宋体" w:hAnsi="宋体" w:cs="宋体"/>
                <w:b w:val="0"/>
                <w:i w:val="0"/>
                <w:color w:val="000000"/>
                <w:sz w:val="25"/>
              </w:rPr>
              <w:t xml:space="preserve">80.89</w:t>
            </w:r>
          </w:p>
        </w:tc>
        <w:tc>
          <w:tcPr>
            <w:tcW w:w="2658" w:type="dxa"/>
            <w:tcBorders/>
            <w:vAlign w:val="center"/>
          </w:tcPr>
          <w:p>
            <w:pPr>
              <w:jc w:val="right"/>
            </w:pPr>
            <w:r>
              <w:rPr>
                <w:rFonts w:ascii="宋体" w:eastAsia="宋体" w:hAnsi="宋体" w:cs="宋体"/>
                <w:b w:val="0"/>
                <w:i w:val="0"/>
                <w:color w:val="000000"/>
                <w:sz w:val="25"/>
              </w:rPr>
              <w:t xml:space="preserve">59.40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环境保护管理事务</w:t>
            </w:r>
          </w:p>
        </w:tc>
        <w:tc>
          <w:tcPr>
            <w:tcW w:w="2700" w:type="dxa"/>
            <w:tcBorders/>
            <w:vAlign w:val="center"/>
          </w:tcPr>
          <w:p>
            <w:pPr>
              <w:jc w:val="right"/>
            </w:pPr>
            <w:r>
              <w:rPr>
                <w:rFonts w:ascii="宋体" w:eastAsia="宋体" w:hAnsi="宋体" w:cs="宋体"/>
                <w:b w:val="0"/>
                <w:i w:val="0"/>
                <w:color w:val="000000"/>
                <w:sz w:val="25"/>
              </w:rPr>
              <w:t xml:space="preserve">80.89</w:t>
            </w:r>
          </w:p>
        </w:tc>
        <w:tc>
          <w:tcPr>
            <w:tcW w:w="2700" w:type="dxa"/>
            <w:tcBorders/>
            <w:vAlign w:val="center"/>
          </w:tcPr>
          <w:p>
            <w:pPr>
              <w:jc w:val="right"/>
            </w:pPr>
            <w:r>
              <w:rPr>
                <w:rFonts w:ascii="宋体" w:eastAsia="宋体" w:hAnsi="宋体" w:cs="宋体"/>
                <w:b w:val="0"/>
                <w:i w:val="0"/>
                <w:color w:val="000000"/>
                <w:sz w:val="25"/>
              </w:rPr>
              <w:t xml:space="preserve">80.89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其他环境保护管理事务支出</w:t>
            </w:r>
          </w:p>
        </w:tc>
        <w:tc>
          <w:tcPr>
            <w:tcW w:w="2700" w:type="dxa"/>
            <w:tcBorders/>
            <w:vAlign w:val="center"/>
          </w:tcPr>
          <w:p>
            <w:pPr>
              <w:jc w:val="right"/>
            </w:pPr>
            <w:r>
              <w:rPr>
                <w:rFonts w:ascii="宋体" w:eastAsia="宋体" w:hAnsi="宋体" w:cs="宋体"/>
                <w:b w:val="0"/>
                <w:i w:val="0"/>
                <w:color w:val="000000"/>
                <w:sz w:val="25"/>
              </w:rPr>
              <w:t xml:space="preserve">80.89</w:t>
            </w:r>
          </w:p>
        </w:tc>
        <w:tc>
          <w:tcPr>
            <w:tcW w:w="2700" w:type="dxa"/>
            <w:tcBorders/>
            <w:vAlign w:val="center"/>
          </w:tcPr>
          <w:p>
            <w:pPr>
              <w:jc w:val="right"/>
            </w:pPr>
            <w:r>
              <w:rPr>
                <w:rFonts w:ascii="宋体" w:eastAsia="宋体" w:hAnsi="宋体" w:cs="宋体"/>
                <w:b w:val="0"/>
                <w:i w:val="0"/>
                <w:color w:val="000000"/>
                <w:sz w:val="25"/>
              </w:rPr>
              <w:t xml:space="preserve">80.89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污染防治</w:t>
            </w:r>
          </w:p>
        </w:tc>
        <w:tc>
          <w:tcPr>
            <w:tcW w:w="2700" w:type="dxa"/>
            <w:tcBorders/>
            <w:vAlign w:val="center"/>
          </w:tcPr>
          <w:p>
            <w:pPr>
              <w:jc w:val="right"/>
            </w:pPr>
            <w:r>
              <w:rPr>
                <w:rFonts w:ascii="宋体" w:eastAsia="宋体" w:hAnsi="宋体" w:cs="宋体"/>
                <w:b w:val="0"/>
                <w:i w:val="0"/>
                <w:color w:val="000000"/>
                <w:sz w:val="25"/>
              </w:rPr>
              <w:t xml:space="preserve">59.40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59.40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大气</w:t>
            </w:r>
          </w:p>
        </w:tc>
        <w:tc>
          <w:tcPr>
            <w:tcW w:w="2700" w:type="dxa"/>
            <w:tcBorders/>
            <w:vAlign w:val="center"/>
          </w:tcPr>
          <w:p>
            <w:pPr>
              <w:jc w:val="right"/>
            </w:pPr>
            <w:r>
              <w:rPr>
                <w:rFonts w:ascii="宋体" w:eastAsia="宋体" w:hAnsi="宋体" w:cs="宋体"/>
                <w:b w:val="0"/>
                <w:i w:val="0"/>
                <w:color w:val="000000"/>
                <w:sz w:val="25"/>
              </w:rPr>
              <w:t xml:space="preserve">59.40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59.40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5.32</w:t>
            </w:r>
          </w:p>
        </w:tc>
        <w:tc>
          <w:tcPr>
            <w:tcW w:w="2700" w:type="dxa"/>
            <w:tcBorders/>
            <w:vAlign w:val="center"/>
          </w:tcPr>
          <w:p>
            <w:pPr>
              <w:jc w:val="right"/>
            </w:pPr>
            <w:r>
              <w:rPr>
                <w:rFonts w:ascii="宋体" w:eastAsia="宋体" w:hAnsi="宋体" w:cs="宋体"/>
                <w:b w:val="0"/>
                <w:i w:val="0"/>
                <w:color w:val="000000"/>
                <w:sz w:val="25"/>
              </w:rPr>
              <w:t xml:space="preserve">5.32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5.32</w:t>
            </w:r>
          </w:p>
        </w:tc>
        <w:tc>
          <w:tcPr>
            <w:tcW w:w="2700" w:type="dxa"/>
            <w:tcBorders/>
            <w:vAlign w:val="center"/>
          </w:tcPr>
          <w:p>
            <w:pPr>
              <w:jc w:val="right"/>
            </w:pPr>
            <w:r>
              <w:rPr>
                <w:rFonts w:ascii="宋体" w:eastAsia="宋体" w:hAnsi="宋体" w:cs="宋体"/>
                <w:b w:val="0"/>
                <w:i w:val="0"/>
                <w:color w:val="000000"/>
                <w:sz w:val="25"/>
              </w:rPr>
              <w:t xml:space="preserve">5.32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5.32</w:t>
            </w:r>
          </w:p>
        </w:tc>
        <w:tc>
          <w:tcPr>
            <w:tcW w:w="2700" w:type="dxa"/>
            <w:tcBorders/>
            <w:vAlign w:val="center"/>
          </w:tcPr>
          <w:p>
            <w:pPr>
              <w:jc w:val="right"/>
            </w:pPr>
            <w:r>
              <w:rPr>
                <w:rFonts w:ascii="宋体" w:eastAsia="宋体" w:hAnsi="宋体" w:cs="宋体"/>
                <w:b w:val="0"/>
                <w:i w:val="0"/>
                <w:color w:val="000000"/>
                <w:sz w:val="25"/>
              </w:rPr>
              <w:t xml:space="preserve">5.32</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单位：许昌市固体废物和辐射管理中心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93.93</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6.61</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29.20</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1.33</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14.18</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25.76</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10.30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5.98</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2.91</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0.29</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0.67</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5.32</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0.08</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7.37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7.37</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2.70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0.58</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0.71</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0.48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101.30</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6.61</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单位：许昌市固体废物和辐射管理中心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单位：许昌市固体废物和辐射管理中心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单位：许昌市固体废物和辐射管理中心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167.32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增加67.86万元，增长68.23%</w:t>
      </w:r>
      <w:r>
        <w:rPr>
          <w:rFonts w:ascii="仿宋" w:eastAsia="仿宋" w:hAnsi="仿宋" w:cs="仿宋" w:hint="eastAsia"/>
          <w:kern w:val="0"/>
          <w:sz w:val="32"/>
          <w:szCs w:val="32"/>
          <w:lang w:val="en-US" w:eastAsia="zh-CN"/>
        </w:rPr>
        <w:t xml:space="preserve">。主要原因是本年度新增许昌市固废综合服务平台项目。</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167.31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财政拨款收入167.31万元，占100.00%；上级补助收入0.00万元，占0.00%；事业收入0.00万元，占0.00%；经营收入0.00万元，占0.00%；附属单位上缴收入0.00万元，占0.00%；其他收入0.00万元，占0.00%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167.31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基本支出107.91万元，占64.50%；项目支出59.40万元，占35.50%；上缴上级支出0.00万元，占0.00%；经营支出0.00万元，占0.00%；对附属单位补助支出0.00万元，占0.00%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167.31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增加67.86万元，增长68.24%</w:t>
      </w:r>
      <w:r>
        <w:rPr>
          <w:rFonts w:ascii="仿宋" w:eastAsia="仿宋" w:hAnsi="仿宋" w:cs="仿宋" w:hint="eastAsia"/>
          <w:kern w:val="0"/>
          <w:sz w:val="32"/>
          <w:szCs w:val="32"/>
          <w:lang w:val="en-US" w:eastAsia="zh-CN"/>
        </w:rPr>
        <w:t xml:space="preserve">。主要原因是本年度新增许昌市固废综合服务平台项目。</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167.31</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增加67.86万元，增长68.24%</w:t>
      </w:r>
      <w:r>
        <w:rPr>
          <w:rFonts w:ascii="仿宋" w:eastAsia="仿宋" w:hAnsi="仿宋" w:cs="仿宋" w:hint="eastAsia"/>
          <w:kern w:val="0"/>
          <w:sz w:val="32"/>
          <w:szCs w:val="32"/>
          <w:lang w:val="en-US" w:eastAsia="zh-CN"/>
        </w:rPr>
        <w:t xml:space="preserve">。主要原因是本年度新增许昌市固废综合服务平台项目。</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167.31</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一般公共服务支出（类）5.45万元，占3.26%；社会保障和就业支出（类）13.35万元，占7.98%；卫生健康支出（类）2.91万元，占1.74%；节能环保支出（类）140.29万元，占83.85%；住房保障支出（类）5.32万元，占3.18%</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208.50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167.31</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80.24</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年初预算数为0.58万元，决算数0.58万元,完成年初预算的100.00%，决算数与年初预算数不存在差异。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年初预算数为0.00万元，决算数4.87万元,决算数与年初预算数存在差异的主要原因是本年度发放2021年度平安建设奖。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年初预算数为6.66万元，决算数7.37万元,完成年初预算的110.66%，决算数与年初预算数存在差异的主要原因是本年度新增退休人员1人。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年初预算数为6.38万元，决算数5.98万元,完成年初预算的93.73%，决算数与年初预算数存在差异的主要原因是本年度新增退休人员1人。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5.卫生健康支出（类）行政事业单位医疗（款）事业单位医疗（项）</w:t>
      </w:r>
      <w:r>
        <w:rPr>
          <w:rFonts w:ascii="仿宋" w:eastAsia="仿宋" w:hAnsi="仿宋" w:cs="仿宋" w:hint="default"/>
          <w:kern w:val="2"/>
          <w:sz w:val="32"/>
          <w:szCs w:val="32"/>
          <w:lang w:val="en-US" w:eastAsia="zh-CN"/>
        </w:rPr>
        <w:t xml:space="preserve">年初预算数为3.09万元，决算数2.91万元,完成年初预算的94.17%，决算数与年初预算数存在差异的主要原因是本年度新增退休人员1人。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6.节能环保支出（类）环境保护管理事务（款）其他环境保护管理事务支出（项）</w:t>
      </w:r>
      <w:r>
        <w:rPr>
          <w:rFonts w:ascii="仿宋" w:eastAsia="仿宋" w:hAnsi="仿宋" w:cs="仿宋" w:hint="default"/>
          <w:kern w:val="2"/>
          <w:sz w:val="32"/>
          <w:szCs w:val="32"/>
          <w:lang w:val="en-US" w:eastAsia="zh-CN"/>
        </w:rPr>
        <w:t xml:space="preserve">年初预算数为85.38万元，决算数80.89万元,完成年初预算的94.74%，决算数与年初预算数存在差异的主要原因是本年度新增退休人员1人。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7.节能环保支出（类）污染防治（款）大气（项）</w:t>
      </w:r>
      <w:r>
        <w:rPr>
          <w:rFonts w:ascii="仿宋" w:eastAsia="仿宋" w:hAnsi="仿宋" w:cs="仿宋" w:hint="default"/>
          <w:kern w:val="2"/>
          <w:sz w:val="32"/>
          <w:szCs w:val="32"/>
          <w:lang w:val="en-US" w:eastAsia="zh-CN"/>
        </w:rPr>
        <w:t xml:space="preserve">年初预算数为100.53万元，决算数59.40万元,完成年初预算的59.09%，决算数与年初预算数存在差异的主要原因是许昌市固废综合服务平台项目部分费用未支付。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年初预算数为5.89万元，决算数5.32万元,完成年初预算的90.32%，决算数与年初预算数存在差异的主要原因是本年度新增退休人员1人。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107.91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其中：人员经费101.30万元，主要包括：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公用经费6.61万元，主要包括：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208.50</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98</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部门设立的工作目标的依据充分；内容合法、合规。部门设立的工作目标明确、具体、清晰和可衡量。预算编制完整，专项资金细化。部门决算编报质量合格，国库集中支付合规</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基于项目预期目标的实现程度，我单位对2023年度单位预算项目支出（含单位参与分配的转移支付项目）开展绩效自评，涉及项目1个，项目金额59.40万元。其中：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许昌市固废综合服务平台项目，自评得分为100分，等级为“优”。全年预算数59.40万元，全年执行数59.40万元,执行率100%。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从项目绩效自评情况来看，项目支出绩效管理的重视程度进一步提升，项目有序开展，执行和完成情况较好，资金使用比较规范。</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554d2901-32e7-4c71-b986-f8bd8737e5b7"/>
        <w:tblW w:w="5000" w:type="pct"/>
        <w:tblLook w:val="04A0" w:firstRow="1" w:lastRow="0" w:firstColumn="1" w:lastColumn="0" w:noHBand="0" w:noVBand="1"/>
      </w:tblPr>
      <w:tblGrid>
        <w:gridCol w:w="601"/>
        <w:gridCol w:w="601"/>
        <w:gridCol w:w="1817"/>
        <w:gridCol w:w="2168"/>
        <w:gridCol w:w="1794"/>
        <w:gridCol w:w="1973"/>
        <w:gridCol w:w="1937"/>
        <w:gridCol w:w="576"/>
        <w:gridCol w:w="1116"/>
        <w:gridCol w:w="1591"/>
      </w:tblGrid>
      <w:tr w:rsidTr="0031730E">
        <w:trPr>
          <w:trHeight w:val="540"/>
        </w:trPr>
        <w:tc>
          <w:tcPr>
            <w:tcW w:type="auto" w:w="0"/>
            <w:gridSpan w:val="10"/>
            <w:tcBorders>
              <w:top w:val="nil"/>
              <w:left w:val="nil"/>
              <w:bottom w:val="nil"/>
              <w:right w:val="nil"/>
            </w:tcBorders>
            <w:shd w:val="clear" w:color="auto" w:fill="auto"/>
            <w:vAlign w:val="bottom"/>
            <w:hideMark/>
          </w:tcPr>
          <w:p>
            <w:pPr>
              <w:pStyle w:val="Normal_500c2ce9-1b40-4723-b612-d324675f24e8"/>
              <w:widowControl/>
              <w:jc w:val="center"/>
              <w:rPr>
                <w:rFonts w:ascii="宋体" w:eastAsia="宋体" w:hAnsi="宋体" w:cs="宋体"/>
                <w:b/>
                <w:bCs/>
                <w:color w:val="000000"/>
                <w:kern w:val="0"/>
                <w:sz w:val="32"/>
                <w:szCs w:val="32"/>
              </w:rPr>
            </w:pPr>
            <w:bookmarkStart w:id="1" w:name="RANGE!A1:J49"/>
            <w:r w:rsidRPr="0031730E">
              <w:rPr>
                <w:rFonts w:ascii="宋体" w:eastAsia="宋体" w:hAnsi="宋体" w:cs="宋体" w:hint="eastAsia"/>
                <w:b/>
                <w:bCs/>
                <w:color w:val="000000"/>
                <w:kern w:val="0"/>
                <w:sz w:val="32"/>
                <w:szCs w:val="32"/>
              </w:rPr>
              <w:t xml:space="preserve">单位整体自评表</w:t>
            </w:r>
            <w:bookmarkEnd w:id="1"/>
          </w:p>
        </w:tc>
      </w:tr>
      <w:tr w:rsidTr="0031730E">
        <w:trPr>
          <w:trHeight w:val="405"/>
        </w:trPr>
        <w:tc>
          <w:tcPr>
            <w:tcW w:type="auto" w:w="0"/>
            <w:gridSpan w:val="10"/>
            <w:tcBorders>
              <w:top w:val="nil"/>
              <w:left w:val="nil"/>
              <w:bottom w:val="nil"/>
              <w:right w:val="nil"/>
            </w:tcBorders>
            <w:shd w:val="clear" w:color="auto" w:fill="auto"/>
            <w:vAlign w:val="bottom"/>
            <w:hideMark/>
          </w:tcPr>
          <w:p>
            <w:pPr>
              <w:pStyle w:val="Normal_500c2ce9-1b40-4723-b612-d324675f24e8"/>
              <w:widowControl/>
              <w:jc w:val="center"/>
              <w:rPr>
                <w:rFonts w:ascii="宋体" w:eastAsia="宋体" w:hAnsi="宋体" w:cs="宋体"/>
                <w:color w:val="000000"/>
                <w:kern w:val="0"/>
                <w:sz w:val="22"/>
              </w:rPr>
            </w:pPr>
            <w:r w:rsidRPr="0031730E">
              <w:rPr>
                <w:rFonts w:ascii="宋体" w:eastAsia="宋体" w:hAnsi="宋体" w:cs="宋体" w:hint="eastAsia"/>
                <w:color w:val="000000"/>
                <w:kern w:val="0"/>
                <w:sz w:val="22"/>
              </w:rPr>
              <w:t xml:space="preserve">（    2023 年度）</w:t>
            </w:r>
          </w:p>
        </w:tc>
      </w:tr>
      <w:tr w:rsidTr="0031730E">
        <w:trPr>
          <w:trHeight w:val="312"/>
        </w:trPr>
        <w:tc>
          <w:tcPr>
            <w:tcW w:type="auto" w:w="0"/>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单位名称</w:t>
            </w:r>
          </w:p>
        </w:tc>
        <w:tc>
          <w:tcPr>
            <w:tcW w:type="auto" w:w="0"/>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许昌市固体废物和辐射管理中心</w:t>
            </w:r>
          </w:p>
        </w:tc>
      </w:tr>
      <w:tr w:rsidTr="0031730E">
        <w:trPr>
          <w:trHeight w:val="312"/>
        </w:trPr>
        <w:tc>
          <w:tcPr>
            <w:gridSpan w:val="3"/>
            <w:vMerge/>
            <w:tcBorders>
              <w:top w:val="single" w:sz="4" w:space="0" w:color="auto"/>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gridSpan w:val="7"/>
            <w:vMerge/>
            <w:tcBorders>
              <w:top w:val="single" w:sz="4" w:space="0" w:color="auto"/>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r>
      <w:tr w:rsidTr="0031730E">
        <w:trPr>
          <w:trHeight w:val="285"/>
        </w:trPr>
        <w:tc>
          <w:tcPr>
            <w:tcW w:type="auto" w:w="0"/>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预算</w:t>
            </w:r>
            <w:r>
              <w:rPr/>
              <w:br/>
            </w:r>
            <w:r w:rsidRPr="0031730E">
              <w:rPr>
                <w:rFonts w:ascii="宋体" w:eastAsia="宋体" w:hAnsi="宋体" w:cs="宋体" w:hint="eastAsia"/>
                <w:color w:val="000000"/>
                <w:kern w:val="0"/>
                <w:sz w:val="18"/>
                <w:szCs w:val="18"/>
              </w:rPr>
              <w:t xml:space="preserve">执行</w:t>
            </w:r>
            <w:r>
              <w:rPr/>
              <w:br/>
            </w:r>
            <w:r w:rsidRPr="0031730E">
              <w:rPr>
                <w:rFonts w:ascii="宋体" w:eastAsia="宋体" w:hAnsi="宋体" w:cs="宋体" w:hint="eastAsia"/>
                <w:color w:val="000000"/>
                <w:kern w:val="0"/>
                <w:sz w:val="18"/>
                <w:szCs w:val="18"/>
              </w:rPr>
              <w:t xml:space="preserve">情况</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年初预算数</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全年预算数</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全年执行数</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分值</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预算执行率</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得分</w:t>
            </w:r>
          </w:p>
        </w:tc>
      </w:tr>
      <w:tr w:rsidTr="0031730E">
        <w:trPr>
          <w:trHeight w:val="225"/>
        </w:trPr>
        <w:tc>
          <w:tcPr>
            <w:gridSpan w:val="2"/>
            <w:vMerge/>
            <w:tcBorders>
              <w:top w:val="single" w:sz="4" w:space="0" w:color="auto"/>
              <w:left w:val="single" w:sz="4" w:space="0" w:color="auto"/>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gridSpan w:val="2"/>
            <w:tcBorders>
              <w:top w:val="single" w:sz="4" w:space="0" w:color="auto"/>
              <w:left w:val="nil"/>
              <w:bottom w:val="single" w:sz="4" w:space="0" w:color="auto"/>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部门预算总额</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208.5</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208.5</w:t>
            </w:r>
          </w:p>
        </w:tc>
        <w:tc>
          <w:tcPr>
            <w:tcW w:type="auto" w:w="0"/>
            <w:tcBorders>
              <w:top w:val="nil"/>
              <w:left w:val="nil"/>
              <w:bottom w:val="single" w:sz="4" w:space="0" w:color="auto"/>
              <w:right w:val="single" w:sz="4" w:space="0" w:color="auto"/>
            </w:tcBorders>
            <w:shd w:val="clear" w:color="auto" w:fill="auto"/>
            <w:noWrap w:val="1"/>
            <w:vAlign w:val="bottom"/>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167.31</w:t>
            </w:r>
          </w:p>
        </w:tc>
        <w:tc>
          <w:tcPr>
            <w:tcW w:type="auto" w:w="0"/>
            <w:vMerge w:val="restart"/>
            <w:tcBorders>
              <w:top w:val="nil"/>
              <w:left w:val="single" w:sz="4" w:space="0" w:color="auto"/>
              <w:bottom w:val="nil"/>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10</w:t>
            </w:r>
          </w:p>
        </w:tc>
        <w:tc>
          <w:tcPr>
            <w:tcW w:type="auto" w:w="0"/>
            <w:tcBorders>
              <w:top w:val="nil"/>
              <w:left w:val="nil"/>
              <w:bottom w:val="single" w:sz="4" w:space="0" w:color="auto"/>
              <w:right w:val="single" w:sz="4" w:space="0" w:color="auto"/>
            </w:tcBorders>
            <w:shd w:val="clear" w:color="auto" w:fill="auto"/>
            <w:noWrap w:val="1"/>
            <w:vAlign w:val="bottom"/>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80.24%</w:t>
            </w:r>
          </w:p>
        </w:tc>
        <w:tc>
          <w:tcPr>
            <w:tcW w:type="auto" w:w="0"/>
            <w:vMerge w:val="restart"/>
            <w:tcBorders>
              <w:top w:val="nil"/>
              <w:left w:val="single" w:sz="4" w:space="0" w:color="auto"/>
              <w:bottom w:val="nil"/>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8</w:t>
            </w:r>
          </w:p>
        </w:tc>
      </w:tr>
      <w:tr w:rsidTr="0031730E">
        <w:trPr>
          <w:trHeight w:val="285"/>
        </w:trPr>
        <w:tc>
          <w:tcPr>
            <w:gridSpan w:val="2"/>
            <w:vMerge/>
            <w:tcBorders>
              <w:top w:val="single" w:sz="4" w:space="0" w:color="auto"/>
              <w:left w:val="single" w:sz="4" w:space="0" w:color="auto"/>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资金来源</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政府预算资金</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208.5</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208.5</w:t>
            </w:r>
          </w:p>
        </w:tc>
        <w:tc>
          <w:tcPr>
            <w:tcW w:type="auto" w:w="0"/>
            <w:tcBorders>
              <w:top w:val="nil"/>
              <w:left w:val="nil"/>
              <w:bottom w:val="single" w:sz="4" w:space="0" w:color="auto"/>
              <w:right w:val="single" w:sz="4" w:space="0" w:color="auto"/>
            </w:tcBorders>
            <w:shd w:val="clear" w:color="auto" w:fill="auto"/>
            <w:noWrap w:val="1"/>
            <w:vAlign w:val="bottom"/>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167.31</w:t>
            </w:r>
          </w:p>
        </w:tc>
        <w:tc>
          <w:tcPr>
            <w:vMerge/>
            <w:tcBorders>
              <w:top w:val="nil"/>
              <w:left w:val="single" w:sz="4" w:space="0" w:color="auto"/>
              <w:bottom w:val="nil"/>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noWrap w:val="1"/>
            <w:vAlign w:val="bottom"/>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80.24%</w:t>
            </w:r>
          </w:p>
        </w:tc>
        <w:tc>
          <w:tcPr>
            <w:vMerge/>
            <w:tcBorders>
              <w:top w:val="nil"/>
              <w:left w:val="single" w:sz="4" w:space="0" w:color="auto"/>
              <w:bottom w:val="nil"/>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r>
      <w:tr w:rsidTr="0031730E">
        <w:trPr>
          <w:trHeight w:val="270"/>
        </w:trPr>
        <w:tc>
          <w:tcPr>
            <w:gridSpan w:val="2"/>
            <w:vMerge/>
            <w:tcBorders>
              <w:top w:val="single" w:sz="4" w:space="0" w:color="auto"/>
              <w:left w:val="single" w:sz="4" w:space="0" w:color="auto"/>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财政专户管理资金</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c>
          <w:tcPr>
            <w:tcW w:type="auto" w:w="0"/>
            <w:tcBorders>
              <w:top w:val="nil"/>
              <w:left w:val="nil"/>
              <w:bottom w:val="single" w:sz="4" w:space="0" w:color="auto"/>
              <w:right w:val="single" w:sz="4" w:space="0" w:color="auto"/>
            </w:tcBorders>
            <w:shd w:val="clear" w:color="auto" w:fill="auto"/>
            <w:noWrap w:val="1"/>
            <w:vAlign w:val="bottom"/>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c>
          <w:tcPr>
            <w:vMerge/>
            <w:tcBorders>
              <w:top w:val="nil"/>
              <w:left w:val="single" w:sz="4" w:space="0" w:color="auto"/>
              <w:bottom w:val="nil"/>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noWrap w:val="1"/>
            <w:vAlign w:val="bottom"/>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c>
          <w:tcPr>
            <w:vMerge/>
            <w:tcBorders>
              <w:top w:val="nil"/>
              <w:left w:val="single" w:sz="4" w:space="0" w:color="auto"/>
              <w:bottom w:val="nil"/>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r>
      <w:tr w:rsidTr="0031730E">
        <w:trPr>
          <w:trHeight w:val="270"/>
        </w:trPr>
        <w:tc>
          <w:tcPr>
            <w:gridSpan w:val="2"/>
            <w:vMerge/>
            <w:tcBorders>
              <w:top w:val="single" w:sz="4" w:space="0" w:color="auto"/>
              <w:left w:val="single" w:sz="4" w:space="0" w:color="auto"/>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单位资金</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c>
          <w:tcPr>
            <w:tcW w:type="auto" w:w="0"/>
            <w:tcBorders>
              <w:top w:val="nil"/>
              <w:left w:val="nil"/>
              <w:bottom w:val="single" w:sz="4" w:space="0" w:color="auto"/>
              <w:right w:val="single" w:sz="4" w:space="0" w:color="auto"/>
            </w:tcBorders>
            <w:shd w:val="clear" w:color="auto" w:fill="auto"/>
            <w:noWrap w:val="1"/>
            <w:vAlign w:val="bottom"/>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c>
          <w:tcPr>
            <w:vMerge/>
            <w:tcBorders>
              <w:top w:val="nil"/>
              <w:left w:val="single" w:sz="4" w:space="0" w:color="auto"/>
              <w:bottom w:val="nil"/>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noWrap w:val="1"/>
            <w:vAlign w:val="bottom"/>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c>
          <w:tcPr>
            <w:vMerge/>
            <w:tcBorders>
              <w:top w:val="nil"/>
              <w:left w:val="single" w:sz="4" w:space="0" w:color="auto"/>
              <w:bottom w:val="nil"/>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r>
      <w:tr w:rsidTr="0031730E">
        <w:trPr>
          <w:trHeight w:val="270"/>
        </w:trPr>
        <w:tc>
          <w:tcPr>
            <w:tcW w:type="auto" w:w="0"/>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年度</w:t>
            </w:r>
            <w:r>
              <w:rPr/>
              <w:br/>
            </w:r>
            <w:r w:rsidRPr="0031730E">
              <w:rPr>
                <w:rFonts w:ascii="宋体" w:eastAsia="宋体" w:hAnsi="宋体" w:cs="宋体" w:hint="eastAsia"/>
                <w:color w:val="000000"/>
                <w:kern w:val="0"/>
                <w:sz w:val="18"/>
                <w:szCs w:val="18"/>
              </w:rPr>
              <w:t xml:space="preserve">履职</w:t>
            </w:r>
            <w:r>
              <w:rPr/>
              <w:br/>
            </w:r>
            <w:r w:rsidRPr="0031730E">
              <w:rPr>
                <w:rFonts w:ascii="宋体" w:eastAsia="宋体" w:hAnsi="宋体" w:cs="宋体" w:hint="eastAsia"/>
                <w:color w:val="000000"/>
                <w:kern w:val="0"/>
                <w:sz w:val="18"/>
                <w:szCs w:val="18"/>
              </w:rPr>
              <w:t xml:space="preserve">目标</w:t>
            </w:r>
          </w:p>
        </w:tc>
        <w:tc>
          <w:tcPr>
            <w:tcW w:type="auto" w:w="0"/>
            <w:gridSpan w:val="4"/>
            <w:tcBorders>
              <w:top w:val="single" w:sz="4" w:space="0" w:color="auto"/>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预期目标</w:t>
            </w:r>
          </w:p>
        </w:tc>
        <w:tc>
          <w:tcPr>
            <w:tcW w:type="auto" w:w="0"/>
            <w:gridSpan w:val="4"/>
            <w:tcBorders>
              <w:top w:val="single" w:sz="4" w:space="0" w:color="auto"/>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实际完成情况</w:t>
            </w:r>
          </w:p>
        </w:tc>
      </w:tr>
      <w:tr w:rsidTr="0031730E">
        <w:trPr>
          <w:trHeight w:val="495"/>
        </w:trPr>
        <w:tc>
          <w:tcPr>
            <w:gridSpan w:val="2"/>
            <w:vMerge/>
            <w:tcBorders>
              <w:top w:val="single" w:sz="4" w:space="0" w:color="auto"/>
              <w:left w:val="single" w:sz="4" w:space="0" w:color="auto"/>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目标名称</w:t>
            </w:r>
          </w:p>
        </w:tc>
        <w:tc>
          <w:tcPr>
            <w:tcW w:type="auto" w:w="0"/>
            <w:gridSpan w:val="3"/>
            <w:tcBorders>
              <w:top w:val="single" w:sz="4" w:space="0" w:color="auto"/>
              <w:left w:val="nil"/>
              <w:bottom w:val="single" w:sz="4" w:space="0" w:color="auto"/>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主要内容 </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目标完成情况</w:t>
            </w:r>
          </w:p>
        </w:tc>
      </w:tr>
      <w:tr w:rsidTr="0031730E">
        <w:trPr>
          <w:trHeight w:val="330"/>
        </w:trPr>
        <w:tc>
          <w:tcPr>
            <w:gridSpan w:val="2"/>
            <w:vMerge/>
            <w:tcBorders>
              <w:top w:val="single" w:sz="4" w:space="0" w:color="auto"/>
              <w:left w:val="single" w:sz="4" w:space="0" w:color="auto"/>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目标1：</w:t>
            </w:r>
          </w:p>
        </w:tc>
        <w:tc>
          <w:tcPr>
            <w:tcW w:type="auto" w:w="0"/>
            <w:gridSpan w:val="3"/>
            <w:tcBorders>
              <w:top w:val="single" w:sz="4" w:space="0" w:color="auto"/>
              <w:left w:val="nil"/>
              <w:bottom w:val="single" w:sz="4" w:space="0" w:color="auto"/>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实施全市固体废物和危险废物转移、交换、处置。</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bottom"/>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100%</w:t>
            </w:r>
          </w:p>
        </w:tc>
      </w:tr>
      <w:tr w:rsidTr="0031730E">
        <w:trPr>
          <w:trHeight w:val="330"/>
        </w:trPr>
        <w:tc>
          <w:tcPr>
            <w:gridSpan w:val="2"/>
            <w:vMerge/>
            <w:tcBorders>
              <w:top w:val="single" w:sz="4" w:space="0" w:color="auto"/>
              <w:left w:val="single" w:sz="4" w:space="0" w:color="auto"/>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目标2：</w:t>
            </w:r>
          </w:p>
        </w:tc>
        <w:tc>
          <w:tcPr>
            <w:tcW w:type="auto" w:w="0"/>
            <w:gridSpan w:val="3"/>
            <w:tcBorders>
              <w:top w:val="single" w:sz="4" w:space="0" w:color="auto"/>
              <w:left w:val="nil"/>
              <w:bottom w:val="single" w:sz="4" w:space="0" w:color="auto"/>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协助处置突发性危险废物、危险化学品污染事故。</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bottom"/>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100%</w:t>
            </w:r>
          </w:p>
        </w:tc>
      </w:tr>
      <w:tr w:rsidTr="0031730E">
        <w:trPr>
          <w:trHeight w:val="330"/>
        </w:trPr>
        <w:tc>
          <w:tcPr>
            <w:gridSpan w:val="2"/>
            <w:vMerge/>
            <w:tcBorders>
              <w:top w:val="single" w:sz="4" w:space="0" w:color="auto"/>
              <w:left w:val="single" w:sz="4" w:space="0" w:color="auto"/>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目标3：</w:t>
            </w:r>
          </w:p>
        </w:tc>
        <w:tc>
          <w:tcPr>
            <w:tcW w:type="auto" w:w="0"/>
            <w:gridSpan w:val="3"/>
            <w:tcBorders>
              <w:top w:val="single" w:sz="4" w:space="0" w:color="auto"/>
              <w:left w:val="nil"/>
              <w:bottom w:val="single" w:sz="4" w:space="0" w:color="auto"/>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组织研究固体废物综合利用、安全处置新技术等工作。</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bottom"/>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100%</w:t>
            </w:r>
          </w:p>
        </w:tc>
      </w:tr>
      <w:tr w:rsidTr="0031730E">
        <w:trPr>
          <w:trHeight w:val="480"/>
        </w:trPr>
        <w:tc>
          <w:tcPr>
            <w:tcW w:type="auto" w:w="0"/>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年度</w:t>
            </w:r>
            <w:r>
              <w:rPr/>
              <w:br/>
            </w:r>
            <w:r w:rsidRPr="0031730E">
              <w:rPr>
                <w:rFonts w:ascii="宋体" w:eastAsia="宋体" w:hAnsi="宋体" w:cs="宋体" w:hint="eastAsia"/>
                <w:color w:val="000000"/>
                <w:kern w:val="0"/>
                <w:sz w:val="18"/>
                <w:szCs w:val="18"/>
              </w:rPr>
              <w:t xml:space="preserve">主要</w:t>
            </w:r>
            <w:r>
              <w:rPr/>
              <w:br/>
            </w:r>
            <w:r w:rsidRPr="0031730E">
              <w:rPr>
                <w:rFonts w:ascii="宋体" w:eastAsia="宋体" w:hAnsi="宋体" w:cs="宋体" w:hint="eastAsia"/>
                <w:color w:val="000000"/>
                <w:kern w:val="0"/>
                <w:sz w:val="18"/>
                <w:szCs w:val="18"/>
              </w:rPr>
              <w:t xml:space="preserve">任务</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任务名称</w:t>
            </w:r>
          </w:p>
        </w:tc>
        <w:tc>
          <w:tcPr>
            <w:tcW w:type="auto" w:w="0"/>
            <w:gridSpan w:val="3"/>
            <w:tcBorders>
              <w:top w:val="single" w:sz="4" w:space="0" w:color="auto"/>
              <w:left w:val="nil"/>
              <w:bottom w:val="single" w:sz="4" w:space="0" w:color="auto"/>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主要内容 </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任务完成情况</w:t>
            </w:r>
          </w:p>
        </w:tc>
      </w:tr>
      <w:tr w:rsidTr="0031730E">
        <w:trPr>
          <w:trHeight w:val="619"/>
        </w:trPr>
        <w:tc>
          <w:tcPr>
            <w:gridSpan w:val="2"/>
            <w:vMerge/>
            <w:tcBorders>
              <w:top w:val="single" w:sz="4" w:space="0" w:color="auto"/>
              <w:left w:val="single" w:sz="4" w:space="0" w:color="auto"/>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任务1：</w:t>
            </w:r>
          </w:p>
        </w:tc>
        <w:tc>
          <w:tcPr>
            <w:tcW w:type="auto" w:w="0"/>
            <w:gridSpan w:val="3"/>
            <w:tcBorders>
              <w:top w:val="single" w:sz="4" w:space="0" w:color="auto"/>
              <w:left w:val="nil"/>
              <w:bottom w:val="single" w:sz="4" w:space="0" w:color="auto"/>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完成危险废物产生单位和经营单位污染防治物联网信息系统的年报上传审核工作</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bottom"/>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100%</w:t>
            </w:r>
          </w:p>
        </w:tc>
      </w:tr>
      <w:tr w:rsidTr="0031730E">
        <w:trPr>
          <w:trHeight w:val="330"/>
        </w:trPr>
        <w:tc>
          <w:tcPr>
            <w:gridSpan w:val="2"/>
            <w:vMerge/>
            <w:tcBorders>
              <w:top w:val="single" w:sz="4" w:space="0" w:color="auto"/>
              <w:left w:val="single" w:sz="4" w:space="0" w:color="auto"/>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任务2：</w:t>
            </w:r>
          </w:p>
        </w:tc>
        <w:tc>
          <w:tcPr>
            <w:tcW w:type="auto" w:w="0"/>
            <w:gridSpan w:val="3"/>
            <w:tcBorders>
              <w:top w:val="single" w:sz="4" w:space="0" w:color="auto"/>
              <w:left w:val="nil"/>
              <w:bottom w:val="single" w:sz="4" w:space="0" w:color="auto"/>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全面完成重点企业危险废物年度计划申报审核工作</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bottom"/>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100%</w:t>
            </w:r>
          </w:p>
        </w:tc>
      </w:tr>
      <w:tr w:rsidTr="0031730E">
        <w:trPr>
          <w:trHeight w:val="330"/>
        </w:trPr>
        <w:tc>
          <w:tcPr>
            <w:gridSpan w:val="2"/>
            <w:vMerge/>
            <w:tcBorders>
              <w:top w:val="single" w:sz="4" w:space="0" w:color="auto"/>
              <w:left w:val="single" w:sz="4" w:space="0" w:color="auto"/>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任务3：</w:t>
            </w:r>
          </w:p>
        </w:tc>
        <w:tc>
          <w:tcPr>
            <w:tcW w:type="auto" w:w="0"/>
            <w:gridSpan w:val="3"/>
            <w:tcBorders>
              <w:top w:val="single" w:sz="4" w:space="0" w:color="auto"/>
              <w:left w:val="nil"/>
              <w:bottom w:val="single" w:sz="4" w:space="0" w:color="auto"/>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完成市固废智慧综合服务平台建设</w:t>
            </w:r>
          </w:p>
        </w:tc>
        <w:tc>
          <w:tcPr>
            <w:tcW w:type="auto" w:w="0"/>
            <w:gridSpan w:val="4"/>
            <w:tcBorders>
              <w:top w:val="single" w:sz="4" w:space="0" w:color="auto"/>
              <w:left w:val="nil"/>
              <w:bottom w:val="single" w:sz="4" w:space="0" w:color="auto"/>
              <w:right w:val="single" w:sz="4" w:space="0" w:color="000000"/>
            </w:tcBorders>
            <w:shd w:val="clear" w:color="auto" w:fill="auto"/>
            <w:noWrap w:val="1"/>
            <w:vAlign w:val="bottom"/>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100%</w:t>
            </w:r>
          </w:p>
        </w:tc>
      </w:tr>
      <w:tr w:rsidTr="0031730E">
        <w:trPr>
          <w:trHeight w:val="312"/>
        </w:trPr>
        <w:tc>
          <w:tcPr>
            <w:tcW w:type="auto" w:w="0"/>
            <w:vMerge w:val="restart"/>
            <w:tcBorders>
              <w:top w:val="nil"/>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一级指标</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分值</w:t>
            </w:r>
          </w:p>
        </w:tc>
        <w:tc>
          <w:tcPr>
            <w:tcW w:type="auto" w:w="0"/>
            <w:vMerge w:val="restart"/>
            <w:tcBorders>
              <w:top w:val="nil"/>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二级指标</w:t>
            </w:r>
          </w:p>
        </w:tc>
        <w:tc>
          <w:tcPr>
            <w:tcW w:type="auto" w:w="0"/>
            <w:vMerge w:val="restart"/>
            <w:tcBorders>
              <w:top w:val="nil"/>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三级指标</w:t>
            </w:r>
          </w:p>
        </w:tc>
        <w:tc>
          <w:tcPr>
            <w:tcW w:type="auto" w:w="0"/>
            <w:vMerge w:val="restart"/>
            <w:tcBorders>
              <w:top w:val="nil"/>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年度指标值</w:t>
            </w:r>
          </w:p>
        </w:tc>
        <w:tc>
          <w:tcPr>
            <w:tcW w:type="auto" w:w="0"/>
            <w:vMerge w:val="restart"/>
            <w:tcBorders>
              <w:top w:val="nil"/>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指标</w:t>
            </w:r>
            <w:r w:rsidRPr="0031730E">
              <w:rPr>
                <w:rFonts w:ascii="宋体" w:eastAsia="宋体" w:hAnsi="宋体" w:cs="宋体" w:hint="eastAsia"/>
                <w:color w:val="000000"/>
                <w:kern w:val="0"/>
                <w:sz w:val="18"/>
                <w:szCs w:val="18"/>
              </w:rPr>
              <w:t xml:space="preserve">值说明</w:t>
            </w:r>
          </w:p>
        </w:tc>
        <w:tc>
          <w:tcPr>
            <w:tcW w:type="auto" w:w="0"/>
            <w:vMerge w:val="restart"/>
            <w:tcBorders>
              <w:top w:val="nil"/>
              <w:left w:val="single" w:sz="4" w:space="0" w:color="auto"/>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实际完成值</w:t>
            </w:r>
          </w:p>
        </w:tc>
        <w:tc>
          <w:tcPr>
            <w:tcW w:type="auto" w:w="0"/>
            <w:vMerge w:val="restart"/>
            <w:tcBorders>
              <w:top w:val="nil"/>
              <w:left w:val="single" w:sz="4" w:space="0" w:color="auto"/>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分值</w:t>
            </w:r>
          </w:p>
        </w:tc>
        <w:tc>
          <w:tcPr>
            <w:tcW w:type="auto" w:w="0"/>
            <w:vMerge w:val="restart"/>
            <w:tcBorders>
              <w:top w:val="nil"/>
              <w:left w:val="single" w:sz="4" w:space="0" w:color="auto"/>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得分</w:t>
            </w:r>
          </w:p>
        </w:tc>
        <w:tc>
          <w:tcPr>
            <w:tcW w:type="auto" w:w="0"/>
            <w:vMerge w:val="restart"/>
            <w:tcBorders>
              <w:top w:val="nil"/>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偏差原因分析及改进措施</w:t>
            </w:r>
          </w:p>
        </w:tc>
      </w:tr>
      <w:tr w:rsidTr="0031730E">
        <w:trPr>
          <w:trHeight w:val="312"/>
        </w:trPr>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r>
      <w:tr w:rsidTr="0031730E">
        <w:trPr>
          <w:trHeight w:val="882"/>
        </w:trPr>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投入管理指标</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30</w:t>
            </w:r>
          </w:p>
        </w:tc>
        <w:tc>
          <w:tcPr>
            <w:tcW w:type="auto" w:w="0"/>
            <w:vMerge w:val="restart"/>
            <w:tcBorders>
              <w:top w:val="nil"/>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工作目标管理</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年度履职目标相关性</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充分</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依据充分，内容合法合</w:t>
            </w:r>
            <w:r w:rsidRPr="0031730E">
              <w:rPr>
                <w:rFonts w:ascii="宋体" w:eastAsia="宋体" w:hAnsi="宋体" w:cs="宋体" w:hint="eastAsia"/>
                <w:color w:val="000000"/>
                <w:kern w:val="0"/>
                <w:sz w:val="18"/>
                <w:szCs w:val="18"/>
              </w:rPr>
              <w:t xml:space="preserve">规</w:t>
            </w:r>
            <w:r w:rsidRPr="0031730E">
              <w:rPr>
                <w:rFonts w:ascii="宋体" w:eastAsia="宋体" w:hAnsi="宋体" w:cs="宋体" w:hint="eastAsia"/>
                <w:color w:val="000000"/>
                <w:kern w:val="0"/>
                <w:sz w:val="18"/>
                <w:szCs w:val="18"/>
              </w:rPr>
              <w:t xml:space="preserve">。</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840"/>
        </w:trPr>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工作任务科学性</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科学</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设立科学有效目标管理机制，保障工作有效落地。</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882"/>
        </w:trPr>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绩效指标合理性</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合理</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目标明确</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979"/>
        </w:trPr>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vMerge w:val="restart"/>
            <w:tcBorders>
              <w:top w:val="nil"/>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预算和财务管理</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预算编制完整性</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完整</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收入预算编制足额，支出预算编制科学，按项目分别编制。</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540"/>
        </w:trPr>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专项资金细化率</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预算编制完整，提前细化。</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705"/>
        </w:trPr>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预算调整率</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严格按照财政审核要求及时调整。</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702"/>
        </w:trPr>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结转结余率</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0%</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严格按照预算执行。</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522"/>
        </w:trPr>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“三公经费”控制率</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0%</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厉行节约</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660"/>
        </w:trPr>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政府采购执行率</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≥100%</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严格按照预算执行。</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1099"/>
        </w:trPr>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决算真实性</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真实</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按照相关编审要求报送；部门决算编报的单位范围和资金范围符合相关要求。</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真实</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705"/>
        </w:trPr>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资金使用合</w:t>
            </w:r>
            <w:r w:rsidRPr="0031730E">
              <w:rPr>
                <w:rFonts w:ascii="宋体" w:eastAsia="宋体" w:hAnsi="宋体" w:cs="宋体" w:hint="eastAsia"/>
                <w:kern w:val="0"/>
                <w:sz w:val="18"/>
                <w:szCs w:val="18"/>
              </w:rPr>
              <w:t xml:space="preserve">规</w:t>
            </w:r>
            <w:r w:rsidRPr="0031730E">
              <w:rPr>
                <w:rFonts w:ascii="宋体" w:eastAsia="宋体" w:hAnsi="宋体" w:cs="宋体" w:hint="eastAsia"/>
                <w:kern w:val="0"/>
                <w:sz w:val="18"/>
                <w:szCs w:val="18"/>
              </w:rPr>
              <w:t xml:space="preserve">性</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合</w:t>
            </w:r>
            <w:r w:rsidRPr="0031730E">
              <w:rPr>
                <w:rFonts w:ascii="黑体" w:eastAsia="黑体" w:hAnsi="黑体" w:cs="宋体" w:hint="eastAsia"/>
                <w:color w:val="000000"/>
                <w:kern w:val="0"/>
                <w:sz w:val="18"/>
                <w:szCs w:val="18"/>
              </w:rPr>
              <w:t xml:space="preserve">规</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基本支出和项目支出符合财务规则及相关制度办法。</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合</w:t>
            </w:r>
            <w:r w:rsidRPr="0031730E">
              <w:rPr>
                <w:rFonts w:ascii="宋体" w:eastAsia="宋体" w:hAnsi="宋体" w:cs="宋体" w:hint="eastAsia"/>
                <w:kern w:val="0"/>
                <w:sz w:val="18"/>
                <w:szCs w:val="18"/>
              </w:rPr>
              <w:t xml:space="preserve">规</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1860"/>
        </w:trPr>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管理制度健全性</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健全</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①资金的拨付和使用有比较完整的审批程序和手续；</w:t>
            </w:r>
            <w:r>
              <w:rPr/>
              <w:br/>
            </w:r>
            <w:r w:rsidRPr="0031730E">
              <w:rPr>
                <w:rFonts w:ascii="宋体" w:eastAsia="宋体" w:hAnsi="宋体" w:cs="宋体" w:hint="eastAsia"/>
                <w:kern w:val="0"/>
                <w:sz w:val="18"/>
                <w:szCs w:val="18"/>
              </w:rPr>
              <w:t xml:space="preserve">②财务核算符合国家财经法规和财务管理制度及专项资金管理有关规定；</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完善</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585"/>
        </w:trPr>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预决算信息公开性</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公开</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依法公开</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公开</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735"/>
        </w:trPr>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资产管理规范性</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规范</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资产管理规范</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规范</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619"/>
        </w:trPr>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绩效管理</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绩效监控完成率</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完成</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绩效监控完成</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完成</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522"/>
        </w:trPr>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绩效自评完成率</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完成</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绩效自评完成</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完成</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720"/>
        </w:trPr>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部门绩效评价完成率</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完成</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部门绩效评价完成</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完成</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555"/>
        </w:trPr>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内控制度</w:t>
            </w:r>
            <w:r w:rsidRPr="0031730E">
              <w:rPr>
                <w:rFonts w:ascii="宋体" w:eastAsia="宋体" w:hAnsi="宋体" w:cs="宋体" w:hint="eastAsia"/>
                <w:kern w:val="0"/>
                <w:sz w:val="18"/>
                <w:szCs w:val="18"/>
              </w:rPr>
              <w:t xml:space="preserve">无评价</w:t>
            </w:r>
            <w:r w:rsidRPr="0031730E">
              <w:rPr>
                <w:rFonts w:ascii="宋体" w:eastAsia="宋体" w:hAnsi="宋体" w:cs="宋体" w:hint="eastAsia"/>
                <w:kern w:val="0"/>
                <w:sz w:val="18"/>
                <w:szCs w:val="18"/>
              </w:rPr>
              <w:t xml:space="preserve">结果</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无评价</w:t>
            </w:r>
          </w:p>
        </w:tc>
        <w:tc>
          <w:tcPr>
            <w:tcW w:type="auto" w:w="0"/>
            <w:tcBorders>
              <w:top w:val="nil"/>
              <w:left w:val="single" w:sz="4" w:space="0" w:color="auto"/>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522"/>
        </w:trPr>
        <w:tc>
          <w:tcPr>
            <w:tcW w:type="auto" w:w="0"/>
            <w:vMerge w:val="restart"/>
            <w:tcBorders>
              <w:top w:val="nil"/>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产出指标</w:t>
            </w:r>
          </w:p>
        </w:tc>
        <w:tc>
          <w:tcPr>
            <w:tcW w:type="auto" w:w="0"/>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25</w:t>
            </w:r>
          </w:p>
        </w:tc>
        <w:tc>
          <w:tcPr>
            <w:tcW w:type="auto" w:w="0"/>
            <w:vMerge w:val="restart"/>
            <w:tcBorders>
              <w:top w:val="nil"/>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重点工作任务完成</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重点工作1计划完成率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≥100%</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有序推进</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522"/>
        </w:trPr>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重点工作2计划完成率</w:t>
            </w:r>
          </w:p>
        </w:tc>
        <w:tc>
          <w:tcPr>
            <w:tcW w:type="auto" w:w="0"/>
            <w:tcBorders>
              <w:top w:val="nil"/>
              <w:left w:val="nil"/>
              <w:bottom w:val="nil"/>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≥100%</w:t>
            </w:r>
          </w:p>
        </w:tc>
        <w:tc>
          <w:tcPr>
            <w:tcW w:type="auto" w:w="0"/>
            <w:tcBorders>
              <w:top w:val="nil"/>
              <w:left w:val="single" w:sz="4" w:space="0" w:color="000000"/>
              <w:bottom w:val="nil"/>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不断推进</w:t>
            </w:r>
          </w:p>
        </w:tc>
        <w:tc>
          <w:tcPr>
            <w:tcW w:type="auto" w:w="0"/>
            <w:tcBorders>
              <w:top w:val="nil"/>
              <w:left w:val="single" w:sz="4" w:space="0" w:color="auto"/>
              <w:bottom w:val="nil"/>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4</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4</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522"/>
        </w:trPr>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重点工作3计划完成率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有序推进</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4</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4</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522"/>
        </w:trPr>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vMerge w:val="restart"/>
            <w:tcBorders>
              <w:top w:val="nil"/>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履职目标实现</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年度工作目标1实现率</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≥100%</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有序推进</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4</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4</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522"/>
        </w:trPr>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年度工作目标2实现率</w:t>
            </w:r>
          </w:p>
        </w:tc>
        <w:tc>
          <w:tcPr>
            <w:tcW w:type="auto" w:w="0"/>
            <w:tcBorders>
              <w:top w:val="nil"/>
              <w:left w:val="nil"/>
              <w:bottom w:val="nil"/>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≥100%</w:t>
            </w:r>
          </w:p>
        </w:tc>
        <w:tc>
          <w:tcPr>
            <w:tcW w:type="auto" w:w="0"/>
            <w:tcBorders>
              <w:top w:val="nil"/>
              <w:left w:val="single" w:sz="4" w:space="0" w:color="000000"/>
              <w:bottom w:val="nil"/>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不断推进</w:t>
            </w:r>
          </w:p>
        </w:tc>
        <w:tc>
          <w:tcPr>
            <w:tcW w:type="auto" w:w="0"/>
            <w:tcBorders>
              <w:top w:val="nil"/>
              <w:left w:val="single" w:sz="4" w:space="0" w:color="auto"/>
              <w:bottom w:val="nil"/>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4</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4</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522"/>
        </w:trPr>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000000"/>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年度工作目标3实现率</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不断推进</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4</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4</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522"/>
        </w:trPr>
        <w:tc>
          <w:tcPr>
            <w:tcW w:type="auto" w:w="0"/>
            <w:vMerge w:val="restart"/>
            <w:tcBorders>
              <w:top w:val="nil"/>
              <w:left w:val="single" w:sz="4" w:space="0" w:color="auto"/>
              <w:bottom w:val="nil"/>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效益指标</w:t>
            </w:r>
          </w:p>
        </w:tc>
        <w:tc>
          <w:tcPr>
            <w:tcW w:type="auto" w:w="0"/>
            <w:vMerge w:val="restart"/>
            <w:tcBorders>
              <w:top w:val="nil"/>
              <w:left w:val="single" w:sz="4" w:space="0" w:color="auto"/>
              <w:bottom w:val="nil"/>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35</w:t>
            </w:r>
          </w:p>
        </w:tc>
        <w:tc>
          <w:tcPr>
            <w:tcW w:type="auto" w:w="0"/>
            <w:vMerge w:val="restart"/>
            <w:tcBorders>
              <w:top w:val="nil"/>
              <w:left w:val="single" w:sz="4" w:space="0" w:color="auto"/>
              <w:bottom w:val="nil"/>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履职效益</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经济效益</w:t>
            </w:r>
          </w:p>
        </w:tc>
        <w:tc>
          <w:tcPr>
            <w:tcW w:type="auto" w:w="0"/>
            <w:tcBorders>
              <w:top w:val="nil"/>
              <w:left w:val="nil"/>
              <w:bottom w:val="single" w:sz="4" w:space="0" w:color="000000"/>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依规完成</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完成</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522"/>
        </w:trPr>
        <w:tc>
          <w:tcPr>
            <w:vMerge/>
            <w:tcBorders>
              <w:top w:val="nil"/>
              <w:left w:val="single" w:sz="4" w:space="0" w:color="auto"/>
              <w:bottom w:val="nil"/>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nil"/>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nil"/>
              <w:right w:val="single" w:sz="4" w:space="0" w:color="auto"/>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社会效益</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≥95%</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助推高质量发展</w:t>
            </w:r>
          </w:p>
        </w:tc>
        <w:tc>
          <w:tcPr>
            <w:tcW w:type="auto" w:w="0"/>
            <w:tcBorders>
              <w:top w:val="nil"/>
              <w:left w:val="single" w:sz="4" w:space="0" w:color="auto"/>
              <w:bottom w:val="single" w:sz="4" w:space="0" w:color="auto"/>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31730E">
              <w:rPr>
                <w:rFonts w:ascii="宋体" w:eastAsia="宋体" w:hAnsi="宋体" w:cs="宋体" w:hint="eastAsia"/>
                <w:kern w:val="0"/>
                <w:sz w:val="18"/>
                <w:szCs w:val="18"/>
              </w:rPr>
              <w:t xml:space="preserve">完成</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522"/>
        </w:trPr>
        <w:tc>
          <w:tcPr>
            <w:vMerge/>
            <w:tcBorders>
              <w:top w:val="nil"/>
              <w:left w:val="single" w:sz="4" w:space="0" w:color="auto"/>
              <w:bottom w:val="nil"/>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nil"/>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vMerge w:val="restart"/>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满意度</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社会公众满意度</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≥100%</w:t>
            </w:r>
          </w:p>
        </w:tc>
        <w:tc>
          <w:tcPr>
            <w:tcW w:type="auto" w:w="0"/>
            <w:tcBorders>
              <w:top w:val="single" w:sz="4" w:space="0" w:color="auto"/>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提高群众及部门满意度</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≥95%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522"/>
        </w:trPr>
        <w:tc>
          <w:tcPr>
            <w:vMerge/>
            <w:tcBorders>
              <w:top w:val="nil"/>
              <w:left w:val="single" w:sz="4" w:space="0" w:color="auto"/>
              <w:bottom w:val="nil"/>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nil"/>
              <w:left w:val="single" w:sz="4" w:space="0" w:color="auto"/>
              <w:bottom w:val="nil"/>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vMerge/>
            <w:tcBorders>
              <w:top w:val="single" w:sz="4" w:space="0" w:color="auto"/>
              <w:left w:val="single" w:sz="4" w:space="0" w:color="auto"/>
              <w:bottom w:val="single" w:sz="4" w:space="0" w:color="auto"/>
              <w:right w:val="single" w:sz="4" w:space="0" w:color="auto"/>
            </w:tcBorders>
            <w:vAlign w:val="center"/>
            <w:hideMark/>
          </w:tcPr>
          <w:p>
            <w:pPr>
              <w:pStyle w:val="Normal_500c2ce9-1b40-4723-b612-d324675f24e8"/>
              <w:widowControl/>
              <w:jc w:val="left"/>
              <w:rPr>
                <w:rFonts w:ascii="宋体" w:eastAsia="宋体" w:hAnsi="宋体" w:cs="宋体"/>
                <w:color w:val="000000"/>
                <w:kern w:val="0"/>
                <w:sz w:val="18"/>
                <w:szCs w:val="18"/>
              </w:rPr>
            </w:pP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服务对象满意度</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提高群众及部门满意度</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≥95%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5</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r w:rsidTr="0031730E">
        <w:trPr>
          <w:trHeight w:val="522"/>
        </w:trPr>
        <w:tc>
          <w:tcPr>
            <w:tcW w:type="auto" w:w="0"/>
            <w:tcBorders>
              <w:top w:val="nil"/>
              <w:left w:val="single" w:sz="4" w:space="0" w:color="auto"/>
              <w:bottom w:val="nil"/>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c>
          <w:tcPr>
            <w:tcW w:type="auto" w:w="0"/>
            <w:tcBorders>
              <w:top w:val="nil"/>
              <w:left w:val="nil"/>
              <w:bottom w:val="nil"/>
              <w:right w:val="single" w:sz="4" w:space="0" w:color="auto"/>
            </w:tcBorders>
            <w:shd w:val="clear" w:color="auto" w:fill="auto"/>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合计</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31730E">
              <w:rPr>
                <w:rFonts w:ascii="宋体" w:eastAsia="宋体" w:hAnsi="宋体" w:cs="宋体" w:hint="eastAsia"/>
                <w:kern w:val="0"/>
                <w:sz w:val="18"/>
                <w:szCs w:val="18"/>
              </w:rPr>
              <w:t xml:space="preserve">　</w:t>
            </w:r>
          </w:p>
        </w:tc>
        <w:tc>
          <w:tcPr>
            <w:tcW w:type="auto" w:w="0"/>
            <w:tcBorders>
              <w:top w:val="nil"/>
              <w:left w:val="nil"/>
              <w:bottom w:val="single" w:sz="4" w:space="0" w:color="auto"/>
              <w:right w:val="single" w:sz="4" w:space="0" w:color="auto"/>
            </w:tcBorders>
            <w:shd w:val="clear" w:color="auto" w:fill="auto"/>
            <w:vAlign w:val="center"/>
            <w:hideMark/>
          </w:tcPr>
          <w:p>
            <w:pPr>
              <w:pStyle w:val="Normal_500c2ce9-1b40-4723-b612-d324675f24e8"/>
              <w:widowControl/>
              <w:jc w:val="center"/>
              <w:rPr>
                <w:rFonts w:ascii="黑体" w:eastAsia="黑体" w:hAnsi="黑体" w:cs="宋体"/>
                <w:color w:val="000000"/>
                <w:kern w:val="0"/>
                <w:sz w:val="18"/>
                <w:szCs w:val="18"/>
              </w:rPr>
            </w:pPr>
            <w:r w:rsidRPr="0031730E">
              <w:rPr>
                <w:rFonts w:ascii="黑体" w:eastAsia="黑体" w:hAnsi="黑体" w:cs="宋体" w:hint="eastAsia"/>
                <w:color w:val="000000"/>
                <w:kern w:val="0"/>
                <w:sz w:val="18"/>
                <w:szCs w:val="18"/>
              </w:rPr>
              <w:t xml:space="preserve">　</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100</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center"/>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98</w:t>
            </w:r>
          </w:p>
        </w:tc>
        <w:tc>
          <w:tcPr>
            <w:tcW w:type="auto" w:w="0"/>
            <w:tcBorders>
              <w:top w:val="nil"/>
              <w:left w:val="nil"/>
              <w:bottom w:val="single" w:sz="4" w:space="0" w:color="auto"/>
              <w:right w:val="single" w:sz="4" w:space="0" w:color="auto"/>
            </w:tcBorders>
            <w:shd w:val="clear" w:color="auto" w:fill="auto"/>
            <w:noWrap w:val="1"/>
            <w:vAlign w:val="center"/>
            <w:hideMark/>
          </w:tcPr>
          <w:p>
            <w:pPr>
              <w:pStyle w:val="Normal_500c2ce9-1b40-4723-b612-d324675f24e8"/>
              <w:widowControl/>
              <w:jc w:val="left"/>
              <w:rPr>
                <w:rFonts w:ascii="宋体" w:eastAsia="宋体" w:hAnsi="宋体" w:cs="宋体"/>
                <w:color w:val="000000"/>
                <w:kern w:val="0"/>
                <w:sz w:val="18"/>
                <w:szCs w:val="18"/>
              </w:rPr>
            </w:pPr>
            <w:r w:rsidRPr="0031730E">
              <w:rPr>
                <w:rFonts w:ascii="宋体" w:eastAsia="宋体" w:hAnsi="宋体" w:cs="宋体" w:hint="eastAsia"/>
                <w:color w:val="000000"/>
                <w:kern w:val="0"/>
                <w:sz w:val="18"/>
                <w:szCs w:val="18"/>
              </w:rPr>
              <w:t xml:space="preserve">　</w:t>
            </w:r>
          </w:p>
        </w:tc>
      </w:tr>
    </w:tbl>
    <w:p>
      <w:pPr>
        <w:pStyle w:val="Normal_500c2ce9-1b40-4723-b612-d324675f24e8"/>
        <w:rPr/>
        <w:sectPr>
          <w:pgSz w:w="16838" w:h="11906" w:orient="landscape"/>
          <w:pgMar w:top="1800" w:right="1440" w:bottom="1800" w:left="1440" w:header="851" w:footer="992" w:gutter="0"/>
          <w:cols w:num="1" w:space="425">
            <w:col w:w="13958" w:space="425"/>
          </w:cols>
          <w:docGrid w:type="lines" w:linePitch="312"/>
        </w:sectPr>
      </w:pPr>
    </w:p>
    <w:tbl>
      <w:tblPr>
        <w:tblStyle w:val="NormalTable_554d2901-32e7-4c71-b986-f8bd8737e5b7"/>
        <w:tblW w:w="0" w:type="auto"/>
        <w:tblLook w:val="04A0" w:firstRow="1" w:lastRow="0" w:firstColumn="1" w:lastColumn="0" w:noHBand="0" w:noVBand="1"/>
      </w:tblPr>
      <w:tblGrid>
        <w:gridCol w:w="688"/>
        <w:gridCol w:w="900"/>
        <w:gridCol w:w="1756"/>
        <w:gridCol w:w="663"/>
        <w:gridCol w:w="663"/>
        <w:gridCol w:w="4407"/>
        <w:gridCol w:w="973"/>
        <w:gridCol w:w="630"/>
        <w:gridCol w:w="630"/>
        <w:gridCol w:w="569"/>
        <w:gridCol w:w="879"/>
        <w:gridCol w:w="1416"/>
      </w:tblGrid>
      <w:tr w:rsidTr="00103C3B">
        <w:trPr>
          <w:trHeight w:val="570"/>
        </w:trPr>
        <w:tc>
          <w:tcPr>
            <w:tcW w:type="auto" w:w="0"/>
            <w:gridSpan w:val="12"/>
            <w:tcBorders>
              <w:top w:val="nil"/>
              <w:left w:val="nil"/>
              <w:bottom w:val="nil"/>
              <w:right w:val="nil"/>
            </w:tcBorders>
            <w:shd w:val="clear" w:color="auto" w:fill="auto"/>
            <w:vAlign w:val="center"/>
            <w:hideMark/>
          </w:tcPr>
          <w:p>
            <w:pPr>
              <w:pStyle w:val="Normal_500c2ce9-1b40-4723-b612-d324675f24e8"/>
              <w:widowControl/>
              <w:jc w:val="center"/>
              <w:rPr>
                <w:rFonts w:ascii="宋体" w:eastAsia="宋体" w:hAnsi="宋体" w:cs="宋体"/>
                <w:b/>
                <w:bCs/>
                <w:kern w:val="0"/>
                <w:sz w:val="38"/>
                <w:szCs w:val="38"/>
              </w:rPr>
            </w:pPr>
            <w:r w:rsidRPr="006F25D4">
              <w:rPr>
                <w:rFonts w:ascii="宋体" w:eastAsia="宋体" w:hAnsi="宋体" w:cs="宋体" w:hint="eastAsia"/>
                <w:b/>
                <w:bCs/>
                <w:kern w:val="0"/>
                <w:sz w:val="38"/>
                <w:szCs w:val="38"/>
              </w:rPr>
              <w:t xml:space="preserve">项目单位自评表</w:t>
            </w:r>
          </w:p>
        </w:tc>
      </w:tr>
      <w:tr w:rsidTr="00103C3B">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项目名称</w:t>
            </w:r>
          </w:p>
        </w:tc>
        <w:tc>
          <w:tcPr>
            <w:tcW w:type="auto" w:w="0"/>
            <w:gridSpan w:val="1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许昌市固</w:t>
            </w:r>
            <w:r w:rsidRPr="006F25D4">
              <w:rPr>
                <w:rFonts w:ascii="宋体" w:eastAsia="宋体" w:hAnsi="宋体" w:cs="宋体" w:hint="eastAsia"/>
                <w:kern w:val="0"/>
                <w:sz w:val="18"/>
                <w:szCs w:val="18"/>
              </w:rPr>
              <w:t xml:space="preserve">废综合</w:t>
            </w:r>
            <w:r w:rsidRPr="006F25D4">
              <w:rPr>
                <w:rFonts w:ascii="宋体" w:eastAsia="宋体" w:hAnsi="宋体" w:cs="宋体" w:hint="eastAsia"/>
                <w:kern w:val="0"/>
                <w:sz w:val="18"/>
                <w:szCs w:val="18"/>
              </w:rPr>
              <w:t xml:space="preserve">服务平台项目（结转本级资金）</w:t>
            </w:r>
          </w:p>
        </w:tc>
      </w:tr>
      <w:tr w:rsidTr="00103C3B">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主管部门</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许昌市生态环境局</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实施单位</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许昌市固体废物和辐射管理中心</w:t>
            </w:r>
          </w:p>
        </w:tc>
      </w:tr>
      <w:tr w:rsidTr="00103C3B">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项目资金（万元）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年初预算数</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全年预算数</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全年执行数</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执行率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得分</w:t>
            </w:r>
          </w:p>
        </w:tc>
      </w:tr>
      <w:tr w:rsidTr="00103C3B">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年度资金总额（万元）：</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100.53</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59.4</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59.4</w:t>
            </w:r>
          </w:p>
        </w:tc>
        <w:tc>
          <w:tcPr>
            <w:tcW w:type="auto" w:w="0"/>
            <w:tcBorders>
              <w:top w:val="nil"/>
              <w:left w:val="nil"/>
              <w:bottom w:val="nil"/>
              <w:right w:val="nil"/>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w:t>
            </w:r>
          </w:p>
        </w:tc>
        <w:tc>
          <w:tcPr>
            <w:tcW w:type="auto" w:w="0"/>
            <w:tcBorders>
              <w:top w:val="nil"/>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w:t>
            </w:r>
          </w:p>
        </w:tc>
      </w:tr>
      <w:tr w:rsidTr="00103C3B">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政府性预算资金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100.53</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59.4</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59.4</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w:t>
            </w:r>
          </w:p>
        </w:tc>
      </w:tr>
      <w:tr w:rsidTr="00103C3B">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财政专户管理资金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w:t>
            </w:r>
          </w:p>
        </w:tc>
      </w:tr>
      <w:tr w:rsidTr="00103C3B">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单位资金</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0</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w:t>
            </w:r>
          </w:p>
        </w:tc>
      </w:tr>
      <w:tr w:rsidTr="00103C3B">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情况说明</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得分</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存在问题和改进措施</w:t>
            </w:r>
          </w:p>
        </w:tc>
      </w:tr>
      <w:tr w:rsidTr="00103C3B">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6F25D4">
              <w:rPr>
                <w:rFonts w:ascii="宋体" w:eastAsia="宋体" w:hAnsi="宋体" w:cs="宋体" w:hint="eastAsia"/>
                <w:kern w:val="0"/>
                <w:sz w:val="18"/>
                <w:szCs w:val="18"/>
              </w:rPr>
              <w:t xml:space="preserve">安排科学性</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6F25D4">
              <w:rPr>
                <w:rFonts w:ascii="宋体" w:eastAsia="宋体" w:hAnsi="宋体" w:cs="宋体" w:hint="eastAsia"/>
                <w:kern w:val="0"/>
                <w:sz w:val="18"/>
                <w:szCs w:val="18"/>
              </w:rPr>
              <w:t xml:space="preserve">资金安排科学合理</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6F25D4">
              <w:rPr>
                <w:rFonts w:ascii="宋体" w:eastAsia="宋体" w:hAnsi="宋体" w:cs="宋体" w:hint="eastAsia"/>
                <w:kern w:val="0"/>
                <w:sz w:val="18"/>
                <w:szCs w:val="18"/>
              </w:rPr>
              <w:t xml:space="preserve">无</w:t>
            </w:r>
          </w:p>
        </w:tc>
      </w:tr>
      <w:tr w:rsidTr="00103C3B">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6F25D4">
              <w:rPr>
                <w:rFonts w:ascii="宋体" w:eastAsia="宋体" w:hAnsi="宋体" w:cs="宋体" w:hint="eastAsia"/>
                <w:kern w:val="0"/>
                <w:sz w:val="18"/>
                <w:szCs w:val="18"/>
              </w:rPr>
              <w:t xml:space="preserve">拨付合</w:t>
            </w:r>
            <w:r w:rsidRPr="006F25D4">
              <w:rPr>
                <w:rFonts w:ascii="宋体" w:eastAsia="宋体" w:hAnsi="宋体" w:cs="宋体" w:hint="eastAsia"/>
                <w:kern w:val="0"/>
                <w:sz w:val="18"/>
                <w:szCs w:val="18"/>
              </w:rPr>
              <w:t xml:space="preserve">规</w:t>
            </w:r>
            <w:r w:rsidRPr="006F25D4">
              <w:rPr>
                <w:rFonts w:ascii="宋体" w:eastAsia="宋体" w:hAnsi="宋体" w:cs="宋体" w:hint="eastAsia"/>
                <w:kern w:val="0"/>
                <w:sz w:val="18"/>
                <w:szCs w:val="18"/>
              </w:rPr>
              <w:t xml:space="preserve">性</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6F25D4">
              <w:rPr>
                <w:rFonts w:ascii="宋体" w:eastAsia="宋体" w:hAnsi="宋体" w:cs="宋体" w:hint="eastAsia"/>
                <w:kern w:val="0"/>
                <w:sz w:val="18"/>
                <w:szCs w:val="18"/>
              </w:rPr>
              <w:t xml:space="preserve">按照财政拨付流程审核拨付，资金拨付合</w:t>
            </w:r>
            <w:r w:rsidRPr="006F25D4">
              <w:rPr>
                <w:rFonts w:ascii="宋体" w:eastAsia="宋体" w:hAnsi="宋体" w:cs="宋体" w:hint="eastAsia"/>
                <w:kern w:val="0"/>
                <w:sz w:val="18"/>
                <w:szCs w:val="18"/>
              </w:rPr>
              <w:t xml:space="preserve">规</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6F25D4">
              <w:rPr>
                <w:rFonts w:ascii="宋体" w:eastAsia="宋体" w:hAnsi="宋体" w:cs="宋体" w:hint="eastAsia"/>
                <w:kern w:val="0"/>
                <w:sz w:val="18"/>
                <w:szCs w:val="18"/>
              </w:rPr>
              <w:t xml:space="preserve">无</w:t>
            </w:r>
          </w:p>
        </w:tc>
      </w:tr>
      <w:tr w:rsidTr="00103C3B">
        <w:trPr>
          <w:trHeight w:val="454"/>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6F25D4">
              <w:rPr>
                <w:rFonts w:ascii="宋体" w:eastAsia="宋体" w:hAnsi="宋体" w:cs="宋体" w:hint="eastAsia"/>
                <w:kern w:val="0"/>
                <w:sz w:val="18"/>
                <w:szCs w:val="18"/>
              </w:rPr>
              <w:t xml:space="preserve">使用规范性</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6F25D4">
              <w:rPr>
                <w:rFonts w:ascii="宋体" w:eastAsia="宋体" w:hAnsi="宋体" w:cs="宋体" w:hint="eastAsia"/>
                <w:kern w:val="0"/>
                <w:sz w:val="18"/>
                <w:szCs w:val="18"/>
              </w:rPr>
              <w:t xml:space="preserve">严格按照制定的财务制度规范资金支出，严格执行资金审批制度，项目资金使用规范</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6F25D4">
              <w:rPr>
                <w:rFonts w:ascii="宋体" w:eastAsia="宋体" w:hAnsi="宋体" w:cs="宋体" w:hint="eastAsia"/>
                <w:kern w:val="0"/>
                <w:sz w:val="18"/>
                <w:szCs w:val="18"/>
              </w:rPr>
              <w:t xml:space="preserve">无</w:t>
            </w:r>
          </w:p>
        </w:tc>
      </w:tr>
      <w:tr w:rsidTr="00103C3B">
        <w:trPr>
          <w:trHeight w:val="454"/>
        </w:trPr>
        <w:tc>
          <w:tcPr>
            <w:tcW w:type="auto" w:w="0"/>
            <w:gridSpan w:val="2"/>
            <w:vMerge/>
            <w:tcBorders>
              <w:top w:val="single" w:sz="4" w:space="0" w:color="000000"/>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6F25D4">
              <w:rPr>
                <w:rFonts w:ascii="宋体" w:eastAsia="宋体" w:hAnsi="宋体" w:cs="宋体" w:hint="eastAsia"/>
                <w:kern w:val="0"/>
                <w:sz w:val="18"/>
                <w:szCs w:val="18"/>
              </w:rPr>
              <w:t xml:space="preserve">预算绩效管理情况</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6F25D4">
              <w:rPr>
                <w:rFonts w:ascii="宋体" w:eastAsia="宋体" w:hAnsi="宋体" w:cs="宋体" w:hint="eastAsia"/>
                <w:kern w:val="0"/>
                <w:sz w:val="18"/>
                <w:szCs w:val="18"/>
              </w:rPr>
              <w:t xml:space="preserve">年初进行绩效申报，年中进行绩效监控，年底进行绩效自评并形成报告</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5</w:t>
            </w:r>
          </w:p>
        </w:tc>
        <w:tc>
          <w:tcPr>
            <w:tcW w:type="auto" w:w="0"/>
            <w:gridSpan w:val="4"/>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6F25D4">
              <w:rPr>
                <w:rFonts w:ascii="宋体" w:eastAsia="宋体" w:hAnsi="宋体" w:cs="宋体" w:hint="eastAsia"/>
                <w:kern w:val="0"/>
                <w:sz w:val="18"/>
                <w:szCs w:val="18"/>
              </w:rPr>
              <w:t xml:space="preserve">无</w:t>
            </w:r>
          </w:p>
        </w:tc>
      </w:tr>
      <w:tr w:rsidTr="00103C3B">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年度总体目标</w:t>
            </w: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预期目标</w:t>
            </w:r>
          </w:p>
        </w:tc>
        <w:tc>
          <w:tcPr>
            <w:tcW w:type="auto" w:w="0"/>
            <w:gridSpan w:val="6"/>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实际完成情况</w:t>
            </w:r>
          </w:p>
        </w:tc>
      </w:tr>
      <w:tr w:rsidTr="00103C3B">
        <w:trPr>
          <w:trHeight w:val="1053"/>
        </w:trPr>
        <w:tc>
          <w:tcPr>
            <w:tcW w:type="auto" w:w="0"/>
            <w:vMerge/>
            <w:tcBorders>
              <w:top w:val="nil"/>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gridSpan w:val="5"/>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建设许昌市固废智慧综合服务平台，为无</w:t>
            </w:r>
            <w:r w:rsidRPr="006F25D4">
              <w:rPr>
                <w:rFonts w:ascii="宋体" w:eastAsia="宋体" w:hAnsi="宋体" w:cs="宋体" w:hint="eastAsia"/>
                <w:kern w:val="0"/>
                <w:sz w:val="18"/>
                <w:szCs w:val="18"/>
              </w:rPr>
              <w:t xml:space="preserve">废城市</w:t>
            </w:r>
            <w:r w:rsidRPr="006F25D4">
              <w:rPr>
                <w:rFonts w:ascii="宋体" w:eastAsia="宋体" w:hAnsi="宋体" w:cs="宋体" w:hint="eastAsia"/>
                <w:kern w:val="0"/>
                <w:sz w:val="18"/>
                <w:szCs w:val="18"/>
              </w:rPr>
              <w:t xml:space="preserve">统筹提供更先进的目标制定、任务分解、情况反馈、成果展示服务，实现各</w:t>
            </w:r>
            <w:r w:rsidRPr="006F25D4">
              <w:rPr>
                <w:rFonts w:ascii="宋体" w:eastAsia="宋体" w:hAnsi="宋体" w:cs="宋体" w:hint="eastAsia"/>
                <w:kern w:val="0"/>
                <w:sz w:val="18"/>
                <w:szCs w:val="18"/>
              </w:rPr>
              <w:t xml:space="preserve">类固废</w:t>
            </w:r>
            <w:r w:rsidRPr="006F25D4">
              <w:rPr>
                <w:rFonts w:ascii="宋体" w:eastAsia="宋体" w:hAnsi="宋体" w:cs="宋体" w:hint="eastAsia"/>
                <w:kern w:val="0"/>
                <w:sz w:val="18"/>
                <w:szCs w:val="18"/>
              </w:rPr>
              <w:t xml:space="preserve">“产生、收集、运输、处置”全过程的管理信息资源传递与使用，达到城市固废精准化管理。</w:t>
            </w:r>
          </w:p>
        </w:tc>
        <w:tc>
          <w:tcPr>
            <w:tcW w:type="auto" w:w="0"/>
            <w:gridSpan w:val="6"/>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许昌市新型智慧城市建设（一期）项目之固废智慧综合服务平台项目年初预算数100.53万元，全年执行数59.40万元。</w:t>
            </w:r>
          </w:p>
        </w:tc>
      </w:tr>
      <w:tr w:rsidTr="00103C3B">
        <w:trPr>
          <w:trHeight w:val="285"/>
        </w:trPr>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绩效指标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一级指标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二级指标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三级指标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年度指标值</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实际完成值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分值</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得分</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偏差度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偏差原因分析及改进措施</w:t>
            </w:r>
          </w:p>
        </w:tc>
      </w:tr>
      <w:tr w:rsidTr="00103C3B">
        <w:trPr>
          <w:trHeight w:val="454"/>
        </w:trPr>
        <w:tc>
          <w:tcPr>
            <w:tcW w:type="auto" w:w="0"/>
            <w:vMerge/>
            <w:tcBorders>
              <w:top w:val="nil"/>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成本指标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6F25D4">
              <w:rPr>
                <w:rFonts w:ascii="宋体" w:eastAsia="宋体" w:hAnsi="宋体" w:cs="宋体" w:hint="eastAsia"/>
                <w:kern w:val="0"/>
                <w:sz w:val="18"/>
                <w:szCs w:val="18"/>
              </w:rPr>
              <w:t xml:space="preserve">经济成本指标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项目预算金额</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≤100.53万元</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59.4万元</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r>
      <w:tr w:rsidTr="00103C3B">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vMerge/>
            <w:tcBorders>
              <w:top w:val="nil"/>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left"/>
              <w:rPr>
                <w:rFonts w:ascii="宋体" w:eastAsia="宋体" w:hAnsi="宋体" w:cs="宋体"/>
                <w:kern w:val="0"/>
                <w:sz w:val="18"/>
                <w:szCs w:val="18"/>
              </w:rPr>
            </w:pPr>
            <w:r w:rsidRPr="006F25D4">
              <w:rPr>
                <w:rFonts w:ascii="宋体" w:eastAsia="宋体" w:hAnsi="宋体" w:cs="宋体" w:hint="eastAsia"/>
                <w:kern w:val="0"/>
                <w:sz w:val="18"/>
                <w:szCs w:val="18"/>
              </w:rPr>
              <w:t xml:space="preserve">社会成本指标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r>
      <w:tr w:rsidTr="00103C3B">
        <w:trPr>
          <w:trHeight w:val="454"/>
        </w:trPr>
        <w:tc>
          <w:tcPr>
            <w:tcW w:type="auto" w:w="0"/>
            <w:vMerge/>
            <w:tcBorders>
              <w:top w:val="nil"/>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vMerge/>
            <w:tcBorders>
              <w:top w:val="nil"/>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生态环境成本指标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r>
      <w:tr w:rsidTr="00103C3B">
        <w:trPr>
          <w:trHeight w:val="454"/>
        </w:trPr>
        <w:tc>
          <w:tcPr>
            <w:tcW w:type="auto" w:w="0"/>
            <w:vMerge/>
            <w:tcBorders>
              <w:top w:val="nil"/>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产出指标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数量指标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建设许昌市固废智慧综合服务平台数量</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1个</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1个</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r>
      <w:tr w:rsidTr="00103C3B">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vMerge/>
            <w:tcBorders>
              <w:top w:val="nil"/>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质量指标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系统功能开发完成度</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r>
      <w:tr w:rsidTr="00103C3B">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vMerge/>
            <w:tcBorders>
              <w:top w:val="nil"/>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时效指标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项目完成时间</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2023年底前</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r>
      <w:tr w:rsidTr="00103C3B">
        <w:trPr>
          <w:trHeight w:val="454"/>
        </w:trPr>
        <w:tc>
          <w:tcPr>
            <w:tcW w:type="auto" w:w="0"/>
            <w:vMerge/>
            <w:tcBorders>
              <w:top w:val="nil"/>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vMerge w:val="restart"/>
            <w:tcBorders>
              <w:top w:val="nil"/>
              <w:left w:val="single" w:sz="4" w:space="0" w:color="000000"/>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效益指标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经济效益指标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降低城市固</w:t>
            </w:r>
            <w:r w:rsidRPr="006F25D4">
              <w:rPr>
                <w:rFonts w:ascii="宋体" w:eastAsia="宋体" w:hAnsi="宋体" w:cs="宋体" w:hint="eastAsia"/>
                <w:kern w:val="0"/>
                <w:sz w:val="18"/>
                <w:szCs w:val="18"/>
              </w:rPr>
              <w:t xml:space="preserve">废管理</w:t>
            </w:r>
            <w:r w:rsidRPr="006F25D4">
              <w:rPr>
                <w:rFonts w:ascii="宋体" w:eastAsia="宋体" w:hAnsi="宋体" w:cs="宋体" w:hint="eastAsia"/>
                <w:kern w:val="0"/>
                <w:sz w:val="18"/>
                <w:szCs w:val="18"/>
              </w:rPr>
              <w:t xml:space="preserve">成本的程度</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降低</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r>
      <w:tr w:rsidTr="00103C3B">
        <w:trPr>
          <w:trHeight w:val="454"/>
        </w:trPr>
        <w:tc>
          <w:tcPr>
            <w:tcW w:type="auto" w:w="0"/>
            <w:vMerge/>
            <w:tcBorders>
              <w:top w:val="nil"/>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vMerge/>
            <w:tcBorders>
              <w:top w:val="nil"/>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社会效益指标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城市固</w:t>
            </w:r>
            <w:r w:rsidRPr="006F25D4">
              <w:rPr>
                <w:rFonts w:ascii="宋体" w:eastAsia="宋体" w:hAnsi="宋体" w:cs="宋体" w:hint="eastAsia"/>
                <w:kern w:val="0"/>
                <w:sz w:val="18"/>
                <w:szCs w:val="18"/>
              </w:rPr>
              <w:t xml:space="preserve">废管理</w:t>
            </w:r>
            <w:r w:rsidRPr="006F25D4">
              <w:rPr>
                <w:rFonts w:ascii="宋体" w:eastAsia="宋体" w:hAnsi="宋体" w:cs="宋体" w:hint="eastAsia"/>
                <w:kern w:val="0"/>
                <w:sz w:val="18"/>
                <w:szCs w:val="18"/>
              </w:rPr>
              <w:t xml:space="preserve">的开放性以及关注度</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提高</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r>
      <w:tr w:rsidTr="00103C3B">
        <w:trPr>
          <w:trHeight w:val="570"/>
        </w:trPr>
        <w:tc>
          <w:tcPr>
            <w:tcW w:type="auto" w:w="0"/>
            <w:vMerge/>
            <w:tcBorders>
              <w:top w:val="nil"/>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vMerge/>
            <w:tcBorders>
              <w:top w:val="nil"/>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生态效益指标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城市固废精准化管理能力</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提高</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r>
      <w:tr w:rsidTr="00103C3B">
        <w:trPr>
          <w:trHeight w:val="454"/>
        </w:trPr>
        <w:tc>
          <w:tcPr>
            <w:tcW w:type="auto" w:w="0"/>
            <w:vMerge/>
            <w:tcBorders>
              <w:top w:val="nil"/>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满意度指标</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服务对象满意度指标</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群众满意度</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≥85%</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85%</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5</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5</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0.00%</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r>
      <w:tr w:rsidTr="00103C3B">
        <w:trPr>
          <w:trHeight w:val="285"/>
        </w:trPr>
        <w:tc>
          <w:tcPr>
            <w:tcW w:type="auto" w:w="0"/>
            <w:vMerge/>
            <w:tcBorders>
              <w:top w:val="nil"/>
              <w:left w:val="single" w:sz="4" w:space="0" w:color="000000"/>
              <w:bottom w:val="single" w:sz="4" w:space="0" w:color="000000"/>
              <w:right w:val="single" w:sz="4" w:space="0" w:color="000000"/>
            </w:tcBorders>
            <w:vAlign w:val="center"/>
            <w:hideMark/>
          </w:tcPr>
          <w:p>
            <w:pPr>
              <w:pStyle w:val="Normal_500c2ce9-1b40-4723-b612-d324675f24e8"/>
              <w:widowControl/>
              <w:jc w:val="left"/>
              <w:rPr>
                <w:rFonts w:ascii="宋体" w:eastAsia="宋体" w:hAnsi="宋体" w:cs="宋体"/>
                <w:kern w:val="0"/>
                <w:sz w:val="18"/>
                <w:szCs w:val="18"/>
              </w:rPr>
            </w:pPr>
          </w:p>
        </w:tc>
        <w:tc>
          <w:tcPr>
            <w:tcW w:type="auto" w:w="0"/>
            <w:gridSpan w:val="6"/>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总分</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100</w:t>
            </w:r>
          </w:p>
        </w:tc>
        <w:tc>
          <w:tcPr>
            <w:tcW w:type="auto" w:w="0"/>
            <w:tcBorders>
              <w:top w:val="nil"/>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100</w:t>
            </w:r>
          </w:p>
        </w:tc>
        <w:tc>
          <w:tcPr>
            <w:tcW w:type="auto" w:w="0"/>
            <w:gridSpan w:val="2"/>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c>
          <w:tcPr>
            <w:tcW w:type="auto" w:w="0"/>
            <w:tcBorders>
              <w:top w:val="single" w:sz="4" w:space="0" w:color="000000"/>
              <w:left w:val="nil"/>
              <w:bottom w:val="single" w:sz="4" w:space="0" w:color="000000"/>
              <w:right w:val="single" w:sz="4" w:space="0" w:color="000000"/>
            </w:tcBorders>
            <w:shd w:val="clear" w:color="auto" w:fill="auto"/>
            <w:vAlign w:val="center"/>
            <w:hideMark/>
          </w:tcPr>
          <w:p>
            <w:pPr>
              <w:pStyle w:val="Normal_500c2ce9-1b40-4723-b612-d324675f24e8"/>
              <w:widowControl/>
              <w:jc w:val="center"/>
              <w:rPr>
                <w:rFonts w:ascii="宋体" w:eastAsia="宋体" w:hAnsi="宋体" w:cs="宋体"/>
                <w:kern w:val="0"/>
                <w:sz w:val="18"/>
                <w:szCs w:val="18"/>
              </w:rPr>
            </w:pPr>
            <w:r w:rsidRPr="006F25D4">
              <w:rPr>
                <w:rFonts w:ascii="宋体" w:eastAsia="宋体" w:hAnsi="宋体" w:cs="宋体" w:hint="eastAsia"/>
                <w:kern w:val="0"/>
                <w:sz w:val="18"/>
                <w:szCs w:val="18"/>
              </w:rPr>
              <w:t xml:space="preserve">　</w:t>
            </w:r>
          </w:p>
        </w:tc>
      </w:tr>
    </w:tbl>
    <w:p>
      <w:pPr>
        <w:pStyle w:val="Normal_500c2ce9-1b40-4723-b612-d324675f24e8"/>
        <w:widowControl/>
        <w:jc w:val="left"/>
        <w:rPr/>
        <w:sectPr>
          <w:pgSz w:w="16838" w:h="11906" w:orient="landscape"/>
          <w:pgMar w:top="1800" w:right="1440" w:bottom="1800" w:left="1440" w:header="851" w:footer="992" w:gutter="0"/>
          <w:cols w:num="1" w:space="425">
            <w:col w:w="13958" w:space="425"/>
          </w:cols>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37"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91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500c2ce9-1b40-4723-b612-d324675f24e8">
    <w:name w:val="Normal_500c2ce9-1b40-4723-b612-d324675f24e8"/>
    <w:qFormat/>
    <w:pPr>
      <w:widowControl w:val="0"/>
      <w:jc w:val="both"/>
    </w:pPr>
    <w:rPr/>
  </w:style>
  <w:style w:type="table" w:styleId="NormalTable_554d2901-32e7-4c71-b986-f8bd8737e5b7">
    <w:name w:val="Normal Table_554d2901-32e7-4c71-b986-f8bd8737e5b7"/>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2024-10-10T01:24:12Z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