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许昌市园林绿化中心单位决算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许昌市园林绿化中心概况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许昌市园林绿化中心概况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协助主管部门做好园林绿化规划建设及监管工作。负责制定园林绿化工作考核标准，对全市园林绿化行业进行监督管理、综合协调、督导考核；参与城市绿化工程建设项目的论证和技术把关；负责中心城区内树木的移植、砍伐及临时占用城市绿化用地等事项的初步审核。（2）受主管部门委托，负责对全市范围内的道路、广场、游园的园林绿化养护管理进行监督。</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（3）负责指导市园林绿化协会工作；组织开展园林绿化科技项目攻关和科技成果推广应用；组织开展城市道路、公园、广场、园林式居住区（单位）等绿化达标活动。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（4）开展全市范围内生物多样性保护、古树名木保护。</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（5）开展市县、乡镇国家（生态）园林城市等创建活动。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（6）负责行业人才培养规划，组织和指导园林绿化行业从业人员的专业技术培训工作。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（7）完成上级交办的其他工作任务。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许昌市园林绿化中心内设机构7个,包括：办公室、创园办、工程管理科、督导考核科、计划财务科（文明办）、人事教育科、园林处改革遗留问题化解办公室。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从决算单位构成看，许昌市园林绿化中心单位决算包括：本级决算（1个）。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许昌市园林绿化中心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单位：许昌市园林绿化中心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2,269.20</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45.78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397.44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2,469.00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42.00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2,269.20</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2,975.46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706.26</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2,975.46</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2,975.46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单位：许昌市园林绿化中心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2,269.20</w:t>
            </w:r>
          </w:p>
        </w:tc>
        <w:tc>
          <w:tcPr>
            <w:tcW w:w="1440" w:type="dxa"/>
            <w:vAlign w:val="center"/>
          </w:tcPr>
          <w:p>
            <w:pPr>
              <w:jc w:val="right"/>
            </w:pPr>
            <w:r>
              <w:rPr>
                <w:rFonts w:ascii="宋体" w:hAnsi="宋体" w:eastAsia="宋体" w:cs="宋体"/>
                <w:b/>
                <w:i w:val="0"/>
                <w:color w:val="000000"/>
                <w:sz w:val="17"/>
              </w:rPr>
              <w:t>2,269.20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45.78</w:t>
            </w:r>
          </w:p>
        </w:tc>
        <w:tc>
          <w:tcPr>
            <w:tcW w:w="1440" w:type="dxa"/>
            <w:vAlign w:val="center"/>
          </w:tcPr>
          <w:p>
            <w:pPr>
              <w:jc w:val="right"/>
            </w:pPr>
            <w:r>
              <w:rPr>
                <w:rFonts w:ascii="宋体" w:hAnsi="宋体" w:eastAsia="宋体" w:cs="宋体"/>
                <w:b w:val="0"/>
                <w:i w:val="0"/>
                <w:color w:val="000000"/>
                <w:sz w:val="17"/>
              </w:rPr>
              <w:t>45.78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4.82</w:t>
            </w:r>
          </w:p>
        </w:tc>
        <w:tc>
          <w:tcPr>
            <w:tcW w:w="1440" w:type="dxa"/>
            <w:vAlign w:val="center"/>
          </w:tcPr>
          <w:p>
            <w:pPr>
              <w:jc w:val="right"/>
            </w:pPr>
            <w:r>
              <w:rPr>
                <w:rFonts w:ascii="宋体" w:hAnsi="宋体" w:eastAsia="宋体" w:cs="宋体"/>
                <w:b w:val="0"/>
                <w:i w:val="0"/>
                <w:color w:val="000000"/>
                <w:sz w:val="17"/>
              </w:rPr>
              <w:t>4.82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4.82</w:t>
            </w:r>
          </w:p>
        </w:tc>
        <w:tc>
          <w:tcPr>
            <w:tcW w:w="1440" w:type="dxa"/>
            <w:vAlign w:val="center"/>
          </w:tcPr>
          <w:p>
            <w:pPr>
              <w:jc w:val="right"/>
            </w:pPr>
            <w:r>
              <w:rPr>
                <w:rFonts w:ascii="宋体" w:hAnsi="宋体" w:eastAsia="宋体" w:cs="宋体"/>
                <w:b w:val="0"/>
                <w:i w:val="0"/>
                <w:color w:val="000000"/>
                <w:sz w:val="17"/>
              </w:rPr>
              <w:t>4.82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40.96</w:t>
            </w:r>
          </w:p>
        </w:tc>
        <w:tc>
          <w:tcPr>
            <w:tcW w:w="1440" w:type="dxa"/>
            <w:vAlign w:val="center"/>
          </w:tcPr>
          <w:p>
            <w:pPr>
              <w:jc w:val="right"/>
            </w:pPr>
            <w:r>
              <w:rPr>
                <w:rFonts w:ascii="宋体" w:hAnsi="宋体" w:eastAsia="宋体" w:cs="宋体"/>
                <w:b w:val="0"/>
                <w:i w:val="0"/>
                <w:color w:val="000000"/>
                <w:sz w:val="17"/>
              </w:rPr>
              <w:t>40.96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40.96</w:t>
            </w:r>
          </w:p>
        </w:tc>
        <w:tc>
          <w:tcPr>
            <w:tcW w:w="1440" w:type="dxa"/>
            <w:vAlign w:val="center"/>
          </w:tcPr>
          <w:p>
            <w:pPr>
              <w:jc w:val="right"/>
            </w:pPr>
            <w:r>
              <w:rPr>
                <w:rFonts w:ascii="宋体" w:hAnsi="宋体" w:eastAsia="宋体" w:cs="宋体"/>
                <w:b w:val="0"/>
                <w:i w:val="0"/>
                <w:color w:val="000000"/>
                <w:sz w:val="17"/>
              </w:rPr>
              <w:t>40.96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397.44</w:t>
            </w:r>
          </w:p>
        </w:tc>
        <w:tc>
          <w:tcPr>
            <w:tcW w:w="1440" w:type="dxa"/>
            <w:vAlign w:val="center"/>
          </w:tcPr>
          <w:p>
            <w:pPr>
              <w:jc w:val="right"/>
            </w:pPr>
            <w:r>
              <w:rPr>
                <w:rFonts w:ascii="宋体" w:hAnsi="宋体" w:eastAsia="宋体" w:cs="宋体"/>
                <w:b w:val="0"/>
                <w:i w:val="0"/>
                <w:color w:val="000000"/>
                <w:sz w:val="17"/>
              </w:rPr>
              <w:t>397.44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381.12</w:t>
            </w:r>
          </w:p>
        </w:tc>
        <w:tc>
          <w:tcPr>
            <w:tcW w:w="1440" w:type="dxa"/>
            <w:vAlign w:val="center"/>
          </w:tcPr>
          <w:p>
            <w:pPr>
              <w:jc w:val="right"/>
            </w:pPr>
            <w:r>
              <w:rPr>
                <w:rFonts w:ascii="宋体" w:hAnsi="宋体" w:eastAsia="宋体" w:cs="宋体"/>
                <w:b w:val="0"/>
                <w:i w:val="0"/>
                <w:color w:val="000000"/>
                <w:sz w:val="17"/>
              </w:rPr>
              <w:t>381.12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334.48</w:t>
            </w:r>
          </w:p>
        </w:tc>
        <w:tc>
          <w:tcPr>
            <w:tcW w:w="1440" w:type="dxa"/>
            <w:vAlign w:val="center"/>
          </w:tcPr>
          <w:p>
            <w:pPr>
              <w:jc w:val="right"/>
            </w:pPr>
            <w:r>
              <w:rPr>
                <w:rFonts w:ascii="宋体" w:hAnsi="宋体" w:eastAsia="宋体" w:cs="宋体"/>
                <w:b w:val="0"/>
                <w:i w:val="0"/>
                <w:color w:val="000000"/>
                <w:sz w:val="17"/>
              </w:rPr>
              <w:t>334.48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46.64</w:t>
            </w:r>
          </w:p>
        </w:tc>
        <w:tc>
          <w:tcPr>
            <w:tcW w:w="1440" w:type="dxa"/>
            <w:vAlign w:val="center"/>
          </w:tcPr>
          <w:p>
            <w:pPr>
              <w:jc w:val="right"/>
            </w:pPr>
            <w:r>
              <w:rPr>
                <w:rFonts w:ascii="宋体" w:hAnsi="宋体" w:eastAsia="宋体" w:cs="宋体"/>
                <w:b w:val="0"/>
                <w:i w:val="0"/>
                <w:color w:val="000000"/>
                <w:sz w:val="17"/>
              </w:rPr>
              <w:t>46.64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16.33</w:t>
            </w:r>
          </w:p>
        </w:tc>
        <w:tc>
          <w:tcPr>
            <w:tcW w:w="1440" w:type="dxa"/>
            <w:vAlign w:val="center"/>
          </w:tcPr>
          <w:p>
            <w:pPr>
              <w:jc w:val="right"/>
            </w:pPr>
            <w:r>
              <w:rPr>
                <w:rFonts w:ascii="宋体" w:hAnsi="宋体" w:eastAsia="宋体" w:cs="宋体"/>
                <w:b w:val="0"/>
                <w:i w:val="0"/>
                <w:color w:val="000000"/>
                <w:sz w:val="17"/>
              </w:rPr>
              <w:t>16.33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16.33</w:t>
            </w:r>
          </w:p>
        </w:tc>
        <w:tc>
          <w:tcPr>
            <w:tcW w:w="1440" w:type="dxa"/>
            <w:vAlign w:val="center"/>
          </w:tcPr>
          <w:p>
            <w:pPr>
              <w:jc w:val="right"/>
            </w:pPr>
            <w:r>
              <w:rPr>
                <w:rFonts w:ascii="宋体" w:hAnsi="宋体" w:eastAsia="宋体" w:cs="宋体"/>
                <w:b w:val="0"/>
                <w:i w:val="0"/>
                <w:color w:val="000000"/>
                <w:sz w:val="17"/>
              </w:rPr>
              <w:t>16.33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21.23</w:t>
            </w:r>
          </w:p>
        </w:tc>
        <w:tc>
          <w:tcPr>
            <w:tcW w:w="1440" w:type="dxa"/>
            <w:vAlign w:val="center"/>
          </w:tcPr>
          <w:p>
            <w:pPr>
              <w:jc w:val="right"/>
            </w:pPr>
            <w:r>
              <w:rPr>
                <w:rFonts w:ascii="宋体" w:hAnsi="宋体" w:eastAsia="宋体" w:cs="宋体"/>
                <w:b w:val="0"/>
                <w:i w:val="0"/>
                <w:color w:val="000000"/>
                <w:sz w:val="17"/>
              </w:rPr>
              <w:t>21.23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21.23</w:t>
            </w:r>
          </w:p>
        </w:tc>
        <w:tc>
          <w:tcPr>
            <w:tcW w:w="1440" w:type="dxa"/>
            <w:vAlign w:val="center"/>
          </w:tcPr>
          <w:p>
            <w:pPr>
              <w:jc w:val="right"/>
            </w:pPr>
            <w:r>
              <w:rPr>
                <w:rFonts w:ascii="宋体" w:hAnsi="宋体" w:eastAsia="宋体" w:cs="宋体"/>
                <w:b w:val="0"/>
                <w:i w:val="0"/>
                <w:color w:val="000000"/>
                <w:sz w:val="17"/>
              </w:rPr>
              <w:t>21.23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21.23</w:t>
            </w:r>
          </w:p>
        </w:tc>
        <w:tc>
          <w:tcPr>
            <w:tcW w:w="1440" w:type="dxa"/>
            <w:vAlign w:val="center"/>
          </w:tcPr>
          <w:p>
            <w:pPr>
              <w:jc w:val="right"/>
            </w:pPr>
            <w:r>
              <w:rPr>
                <w:rFonts w:ascii="宋体" w:hAnsi="宋体" w:eastAsia="宋体" w:cs="宋体"/>
                <w:b w:val="0"/>
                <w:i w:val="0"/>
                <w:color w:val="000000"/>
                <w:sz w:val="17"/>
              </w:rPr>
              <w:t>21.23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w:t>
            </w:r>
          </w:p>
        </w:tc>
        <w:tc>
          <w:tcPr>
            <w:tcW w:w="3140" w:type="dxa"/>
            <w:vAlign w:val="center"/>
          </w:tcPr>
          <w:p>
            <w:pPr>
              <w:jc w:val="left"/>
            </w:pPr>
            <w:r>
              <w:rPr>
                <w:rFonts w:ascii="宋体" w:hAnsi="宋体" w:eastAsia="宋体" w:cs="宋体"/>
                <w:b w:val="0"/>
                <w:i w:val="0"/>
                <w:color w:val="000000"/>
                <w:sz w:val="17"/>
              </w:rPr>
              <w:t>城乡社区支出</w:t>
            </w:r>
          </w:p>
        </w:tc>
        <w:tc>
          <w:tcPr>
            <w:tcW w:w="1440" w:type="dxa"/>
            <w:vAlign w:val="center"/>
          </w:tcPr>
          <w:p>
            <w:pPr>
              <w:jc w:val="right"/>
            </w:pPr>
            <w:r>
              <w:rPr>
                <w:rFonts w:ascii="宋体" w:hAnsi="宋体" w:eastAsia="宋体" w:cs="宋体"/>
                <w:b w:val="0"/>
                <w:i w:val="0"/>
                <w:color w:val="000000"/>
                <w:sz w:val="17"/>
              </w:rPr>
              <w:t>1,762.75</w:t>
            </w:r>
          </w:p>
        </w:tc>
        <w:tc>
          <w:tcPr>
            <w:tcW w:w="1440" w:type="dxa"/>
            <w:vAlign w:val="center"/>
          </w:tcPr>
          <w:p>
            <w:pPr>
              <w:jc w:val="right"/>
            </w:pPr>
            <w:r>
              <w:rPr>
                <w:rFonts w:ascii="宋体" w:hAnsi="宋体" w:eastAsia="宋体" w:cs="宋体"/>
                <w:b w:val="0"/>
                <w:i w:val="0"/>
                <w:color w:val="000000"/>
                <w:sz w:val="17"/>
              </w:rPr>
              <w:t>1,762.75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w:t>
            </w:r>
          </w:p>
        </w:tc>
        <w:tc>
          <w:tcPr>
            <w:tcW w:w="3140" w:type="dxa"/>
            <w:vAlign w:val="center"/>
          </w:tcPr>
          <w:p>
            <w:pPr>
              <w:jc w:val="left"/>
            </w:pPr>
            <w:r>
              <w:rPr>
                <w:rFonts w:ascii="宋体" w:hAnsi="宋体" w:eastAsia="宋体" w:cs="宋体"/>
                <w:b w:val="0"/>
                <w:i w:val="0"/>
                <w:color w:val="000000"/>
                <w:sz w:val="17"/>
              </w:rPr>
              <w:t>城乡社区公共设施</w:t>
            </w:r>
          </w:p>
        </w:tc>
        <w:tc>
          <w:tcPr>
            <w:tcW w:w="1440" w:type="dxa"/>
            <w:vAlign w:val="center"/>
          </w:tcPr>
          <w:p>
            <w:pPr>
              <w:jc w:val="right"/>
            </w:pPr>
            <w:r>
              <w:rPr>
                <w:rFonts w:ascii="宋体" w:hAnsi="宋体" w:eastAsia="宋体" w:cs="宋体"/>
                <w:b w:val="0"/>
                <w:i w:val="0"/>
                <w:color w:val="000000"/>
                <w:sz w:val="17"/>
              </w:rPr>
              <w:t>1,124.35</w:t>
            </w:r>
          </w:p>
        </w:tc>
        <w:tc>
          <w:tcPr>
            <w:tcW w:w="1440" w:type="dxa"/>
            <w:vAlign w:val="center"/>
          </w:tcPr>
          <w:p>
            <w:pPr>
              <w:jc w:val="right"/>
            </w:pPr>
            <w:r>
              <w:rPr>
                <w:rFonts w:ascii="宋体" w:hAnsi="宋体" w:eastAsia="宋体" w:cs="宋体"/>
                <w:b w:val="0"/>
                <w:i w:val="0"/>
                <w:color w:val="000000"/>
                <w:sz w:val="17"/>
              </w:rPr>
              <w:t>1,124.35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2120399</w:t>
            </w:r>
          </w:p>
        </w:tc>
        <w:tc>
          <w:tcPr>
            <w:tcW w:w="3140" w:type="dxa"/>
            <w:vAlign w:val="center"/>
          </w:tcPr>
          <w:p>
            <w:pPr>
              <w:jc w:val="left"/>
            </w:pPr>
            <w:r>
              <w:rPr>
                <w:rFonts w:ascii="宋体" w:hAnsi="宋体" w:eastAsia="宋体" w:cs="宋体"/>
                <w:b w:val="0"/>
                <w:i w:val="0"/>
                <w:color w:val="000000"/>
                <w:sz w:val="17"/>
              </w:rPr>
              <w:t>其他城乡社区公共设施支出</w:t>
            </w:r>
          </w:p>
        </w:tc>
        <w:tc>
          <w:tcPr>
            <w:tcW w:w="1440" w:type="dxa"/>
            <w:vAlign w:val="center"/>
          </w:tcPr>
          <w:p>
            <w:pPr>
              <w:jc w:val="right"/>
            </w:pPr>
            <w:r>
              <w:rPr>
                <w:rFonts w:ascii="宋体" w:hAnsi="宋体" w:eastAsia="宋体" w:cs="宋体"/>
                <w:b w:val="0"/>
                <w:i w:val="0"/>
                <w:color w:val="000000"/>
                <w:sz w:val="17"/>
              </w:rPr>
              <w:t>1,124.35</w:t>
            </w:r>
          </w:p>
        </w:tc>
        <w:tc>
          <w:tcPr>
            <w:tcW w:w="1440" w:type="dxa"/>
            <w:vAlign w:val="center"/>
          </w:tcPr>
          <w:p>
            <w:pPr>
              <w:jc w:val="right"/>
            </w:pPr>
            <w:r>
              <w:rPr>
                <w:rFonts w:ascii="宋体" w:hAnsi="宋体" w:eastAsia="宋体" w:cs="宋体"/>
                <w:b w:val="0"/>
                <w:i w:val="0"/>
                <w:color w:val="000000"/>
                <w:sz w:val="17"/>
              </w:rPr>
              <w:t>1,124.35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21205</w:t>
            </w:r>
          </w:p>
        </w:tc>
        <w:tc>
          <w:tcPr>
            <w:tcW w:w="3140" w:type="dxa"/>
            <w:vAlign w:val="center"/>
          </w:tcPr>
          <w:p>
            <w:pPr>
              <w:jc w:val="left"/>
            </w:pPr>
            <w:r>
              <w:rPr>
                <w:rFonts w:ascii="宋体" w:hAnsi="宋体" w:eastAsia="宋体" w:cs="宋体"/>
                <w:b w:val="0"/>
                <w:i w:val="0"/>
                <w:color w:val="000000"/>
                <w:sz w:val="17"/>
              </w:rPr>
              <w:t>城乡社区环境卫生</w:t>
            </w:r>
          </w:p>
        </w:tc>
        <w:tc>
          <w:tcPr>
            <w:tcW w:w="1440" w:type="dxa"/>
            <w:vAlign w:val="center"/>
          </w:tcPr>
          <w:p>
            <w:pPr>
              <w:jc w:val="right"/>
            </w:pPr>
            <w:r>
              <w:rPr>
                <w:rFonts w:ascii="宋体" w:hAnsi="宋体" w:eastAsia="宋体" w:cs="宋体"/>
                <w:b w:val="0"/>
                <w:i w:val="0"/>
                <w:color w:val="000000"/>
                <w:sz w:val="17"/>
              </w:rPr>
              <w:t>638.39</w:t>
            </w:r>
          </w:p>
        </w:tc>
        <w:tc>
          <w:tcPr>
            <w:tcW w:w="1440" w:type="dxa"/>
            <w:vAlign w:val="center"/>
          </w:tcPr>
          <w:p>
            <w:pPr>
              <w:jc w:val="right"/>
            </w:pPr>
            <w:r>
              <w:rPr>
                <w:rFonts w:ascii="宋体" w:hAnsi="宋体" w:eastAsia="宋体" w:cs="宋体"/>
                <w:b w:val="0"/>
                <w:i w:val="0"/>
                <w:color w:val="000000"/>
                <w:sz w:val="17"/>
              </w:rPr>
              <w:t>638.39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2120501</w:t>
            </w:r>
          </w:p>
        </w:tc>
        <w:tc>
          <w:tcPr>
            <w:tcW w:w="3140" w:type="dxa"/>
            <w:vAlign w:val="center"/>
          </w:tcPr>
          <w:p>
            <w:pPr>
              <w:jc w:val="left"/>
            </w:pPr>
            <w:r>
              <w:rPr>
                <w:rFonts w:ascii="宋体" w:hAnsi="宋体" w:eastAsia="宋体" w:cs="宋体"/>
                <w:b w:val="0"/>
                <w:i w:val="0"/>
                <w:color w:val="000000"/>
                <w:sz w:val="17"/>
              </w:rPr>
              <w:t>城乡社区环境卫生</w:t>
            </w:r>
          </w:p>
        </w:tc>
        <w:tc>
          <w:tcPr>
            <w:tcW w:w="1440" w:type="dxa"/>
            <w:vAlign w:val="center"/>
          </w:tcPr>
          <w:p>
            <w:pPr>
              <w:jc w:val="right"/>
            </w:pPr>
            <w:r>
              <w:rPr>
                <w:rFonts w:ascii="宋体" w:hAnsi="宋体" w:eastAsia="宋体" w:cs="宋体"/>
                <w:b w:val="0"/>
                <w:i w:val="0"/>
                <w:color w:val="000000"/>
                <w:sz w:val="17"/>
              </w:rPr>
              <w:t>638.39</w:t>
            </w:r>
          </w:p>
        </w:tc>
        <w:tc>
          <w:tcPr>
            <w:tcW w:w="1440" w:type="dxa"/>
            <w:vAlign w:val="center"/>
          </w:tcPr>
          <w:p>
            <w:pPr>
              <w:jc w:val="right"/>
            </w:pPr>
            <w:r>
              <w:rPr>
                <w:rFonts w:ascii="宋体" w:hAnsi="宋体" w:eastAsia="宋体" w:cs="宋体"/>
                <w:b w:val="0"/>
                <w:i w:val="0"/>
                <w:color w:val="000000"/>
                <w:sz w:val="17"/>
              </w:rPr>
              <w:t>638.39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42.00</w:t>
            </w:r>
          </w:p>
        </w:tc>
        <w:tc>
          <w:tcPr>
            <w:tcW w:w="1440" w:type="dxa"/>
            <w:vAlign w:val="center"/>
          </w:tcPr>
          <w:p>
            <w:pPr>
              <w:jc w:val="right"/>
            </w:pPr>
            <w:r>
              <w:rPr>
                <w:rFonts w:ascii="宋体" w:hAnsi="宋体" w:eastAsia="宋体" w:cs="宋体"/>
                <w:b w:val="0"/>
                <w:i w:val="0"/>
                <w:color w:val="000000"/>
                <w:sz w:val="17"/>
              </w:rPr>
              <w:t>42.00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42.00</w:t>
            </w:r>
          </w:p>
        </w:tc>
        <w:tc>
          <w:tcPr>
            <w:tcW w:w="1440" w:type="dxa"/>
            <w:vAlign w:val="center"/>
          </w:tcPr>
          <w:p>
            <w:pPr>
              <w:jc w:val="right"/>
            </w:pPr>
            <w:r>
              <w:rPr>
                <w:rFonts w:ascii="宋体" w:hAnsi="宋体" w:eastAsia="宋体" w:cs="宋体"/>
                <w:b w:val="0"/>
                <w:i w:val="0"/>
                <w:color w:val="000000"/>
                <w:sz w:val="17"/>
              </w:rPr>
              <w:t>42.00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42.00</w:t>
            </w:r>
          </w:p>
        </w:tc>
        <w:tc>
          <w:tcPr>
            <w:tcW w:w="1440" w:type="dxa"/>
            <w:vAlign w:val="center"/>
          </w:tcPr>
          <w:p>
            <w:pPr>
              <w:jc w:val="right"/>
            </w:pPr>
            <w:r>
              <w:rPr>
                <w:rFonts w:ascii="宋体" w:hAnsi="宋体" w:eastAsia="宋体" w:cs="宋体"/>
                <w:b w:val="0"/>
                <w:i w:val="0"/>
                <w:color w:val="000000"/>
                <w:sz w:val="17"/>
              </w:rPr>
              <w:t>42.00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单位：许昌市园林绿化中心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2,975.46</w:t>
            </w:r>
          </w:p>
        </w:tc>
        <w:tc>
          <w:tcPr>
            <w:tcW w:w="1600" w:type="dxa"/>
            <w:vAlign w:val="center"/>
          </w:tcPr>
          <w:p>
            <w:pPr>
              <w:jc w:val="right"/>
            </w:pPr>
            <w:r>
              <w:rPr>
                <w:rFonts w:ascii="宋体" w:hAnsi="宋体" w:eastAsia="宋体" w:cs="宋体"/>
                <w:b/>
                <w:i w:val="0"/>
                <w:color w:val="000000"/>
                <w:sz w:val="19"/>
              </w:rPr>
              <w:t>1,417.88</w:t>
            </w:r>
          </w:p>
        </w:tc>
        <w:tc>
          <w:tcPr>
            <w:tcW w:w="1600" w:type="dxa"/>
            <w:vAlign w:val="center"/>
          </w:tcPr>
          <w:p>
            <w:pPr>
              <w:jc w:val="right"/>
            </w:pPr>
            <w:r>
              <w:rPr>
                <w:rFonts w:ascii="宋体" w:hAnsi="宋体" w:eastAsia="宋体" w:cs="宋体"/>
                <w:b/>
                <w:i w:val="0"/>
                <w:color w:val="000000"/>
                <w:sz w:val="19"/>
              </w:rPr>
              <w:t>1,557.58</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45.78</w:t>
            </w:r>
          </w:p>
        </w:tc>
        <w:tc>
          <w:tcPr>
            <w:tcW w:w="1600" w:type="dxa"/>
            <w:vAlign w:val="center"/>
          </w:tcPr>
          <w:p>
            <w:pPr>
              <w:jc w:val="right"/>
            </w:pPr>
            <w:r>
              <w:rPr>
                <w:rFonts w:ascii="宋体" w:hAnsi="宋体" w:eastAsia="宋体" w:cs="宋体"/>
                <w:b w:val="0"/>
                <w:i w:val="0"/>
                <w:color w:val="000000"/>
                <w:sz w:val="19"/>
              </w:rPr>
              <w:t>45.78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4.82</w:t>
            </w:r>
          </w:p>
        </w:tc>
        <w:tc>
          <w:tcPr>
            <w:tcW w:w="1600" w:type="dxa"/>
            <w:vAlign w:val="center"/>
          </w:tcPr>
          <w:p>
            <w:pPr>
              <w:jc w:val="right"/>
            </w:pPr>
            <w:r>
              <w:rPr>
                <w:rFonts w:ascii="宋体" w:hAnsi="宋体" w:eastAsia="宋体" w:cs="宋体"/>
                <w:b w:val="0"/>
                <w:i w:val="0"/>
                <w:color w:val="000000"/>
                <w:sz w:val="19"/>
              </w:rPr>
              <w:t>4.82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4.82</w:t>
            </w:r>
          </w:p>
        </w:tc>
        <w:tc>
          <w:tcPr>
            <w:tcW w:w="1600" w:type="dxa"/>
            <w:vAlign w:val="center"/>
          </w:tcPr>
          <w:p>
            <w:pPr>
              <w:jc w:val="right"/>
            </w:pPr>
            <w:r>
              <w:rPr>
                <w:rFonts w:ascii="宋体" w:hAnsi="宋体" w:eastAsia="宋体" w:cs="宋体"/>
                <w:b w:val="0"/>
                <w:i w:val="0"/>
                <w:color w:val="000000"/>
                <w:sz w:val="19"/>
              </w:rPr>
              <w:t>4.82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40.96</w:t>
            </w:r>
          </w:p>
        </w:tc>
        <w:tc>
          <w:tcPr>
            <w:tcW w:w="1600" w:type="dxa"/>
            <w:vAlign w:val="center"/>
          </w:tcPr>
          <w:p>
            <w:pPr>
              <w:jc w:val="right"/>
            </w:pPr>
            <w:r>
              <w:rPr>
                <w:rFonts w:ascii="宋体" w:hAnsi="宋体" w:eastAsia="宋体" w:cs="宋体"/>
                <w:b w:val="0"/>
                <w:i w:val="0"/>
                <w:color w:val="000000"/>
                <w:sz w:val="19"/>
              </w:rPr>
              <w:t>40.96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40.96</w:t>
            </w:r>
          </w:p>
        </w:tc>
        <w:tc>
          <w:tcPr>
            <w:tcW w:w="1600" w:type="dxa"/>
            <w:vAlign w:val="center"/>
          </w:tcPr>
          <w:p>
            <w:pPr>
              <w:jc w:val="right"/>
            </w:pPr>
            <w:r>
              <w:rPr>
                <w:rFonts w:ascii="宋体" w:hAnsi="宋体" w:eastAsia="宋体" w:cs="宋体"/>
                <w:b w:val="0"/>
                <w:i w:val="0"/>
                <w:color w:val="000000"/>
                <w:sz w:val="19"/>
              </w:rPr>
              <w:t>40.96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397.44</w:t>
            </w:r>
          </w:p>
        </w:tc>
        <w:tc>
          <w:tcPr>
            <w:tcW w:w="1600" w:type="dxa"/>
            <w:vAlign w:val="center"/>
          </w:tcPr>
          <w:p>
            <w:pPr>
              <w:jc w:val="right"/>
            </w:pPr>
            <w:r>
              <w:rPr>
                <w:rFonts w:ascii="宋体" w:hAnsi="宋体" w:eastAsia="宋体" w:cs="宋体"/>
                <w:b w:val="0"/>
                <w:i w:val="0"/>
                <w:color w:val="000000"/>
                <w:sz w:val="19"/>
              </w:rPr>
              <w:t>397.44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381.12</w:t>
            </w:r>
          </w:p>
        </w:tc>
        <w:tc>
          <w:tcPr>
            <w:tcW w:w="1600" w:type="dxa"/>
            <w:vAlign w:val="center"/>
          </w:tcPr>
          <w:p>
            <w:pPr>
              <w:jc w:val="right"/>
            </w:pPr>
            <w:r>
              <w:rPr>
                <w:rFonts w:ascii="宋体" w:hAnsi="宋体" w:eastAsia="宋体" w:cs="宋体"/>
                <w:b w:val="0"/>
                <w:i w:val="0"/>
                <w:color w:val="000000"/>
                <w:sz w:val="19"/>
              </w:rPr>
              <w:t>381.12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334.48</w:t>
            </w:r>
          </w:p>
        </w:tc>
        <w:tc>
          <w:tcPr>
            <w:tcW w:w="1600" w:type="dxa"/>
            <w:vAlign w:val="center"/>
          </w:tcPr>
          <w:p>
            <w:pPr>
              <w:jc w:val="right"/>
            </w:pPr>
            <w:r>
              <w:rPr>
                <w:rFonts w:ascii="宋体" w:hAnsi="宋体" w:eastAsia="宋体" w:cs="宋体"/>
                <w:b w:val="0"/>
                <w:i w:val="0"/>
                <w:color w:val="000000"/>
                <w:sz w:val="19"/>
              </w:rPr>
              <w:t>334.48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46.64</w:t>
            </w:r>
          </w:p>
        </w:tc>
        <w:tc>
          <w:tcPr>
            <w:tcW w:w="1600" w:type="dxa"/>
            <w:vAlign w:val="center"/>
          </w:tcPr>
          <w:p>
            <w:pPr>
              <w:jc w:val="right"/>
            </w:pPr>
            <w:r>
              <w:rPr>
                <w:rFonts w:ascii="宋体" w:hAnsi="宋体" w:eastAsia="宋体" w:cs="宋体"/>
                <w:b w:val="0"/>
                <w:i w:val="0"/>
                <w:color w:val="000000"/>
                <w:sz w:val="19"/>
              </w:rPr>
              <w:t>46.64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16.33</w:t>
            </w:r>
          </w:p>
        </w:tc>
        <w:tc>
          <w:tcPr>
            <w:tcW w:w="1600" w:type="dxa"/>
            <w:vAlign w:val="center"/>
          </w:tcPr>
          <w:p>
            <w:pPr>
              <w:jc w:val="right"/>
            </w:pPr>
            <w:r>
              <w:rPr>
                <w:rFonts w:ascii="宋体" w:hAnsi="宋体" w:eastAsia="宋体" w:cs="宋体"/>
                <w:b w:val="0"/>
                <w:i w:val="0"/>
                <w:color w:val="000000"/>
                <w:sz w:val="19"/>
              </w:rPr>
              <w:t>16.33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16.33</w:t>
            </w:r>
          </w:p>
        </w:tc>
        <w:tc>
          <w:tcPr>
            <w:tcW w:w="1600" w:type="dxa"/>
            <w:vAlign w:val="center"/>
          </w:tcPr>
          <w:p>
            <w:pPr>
              <w:jc w:val="right"/>
            </w:pPr>
            <w:r>
              <w:rPr>
                <w:rFonts w:ascii="宋体" w:hAnsi="宋体" w:eastAsia="宋体" w:cs="宋体"/>
                <w:b w:val="0"/>
                <w:i w:val="0"/>
                <w:color w:val="000000"/>
                <w:sz w:val="19"/>
              </w:rPr>
              <w:t>16.33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21.23</w:t>
            </w:r>
          </w:p>
        </w:tc>
        <w:tc>
          <w:tcPr>
            <w:tcW w:w="1600" w:type="dxa"/>
            <w:vAlign w:val="center"/>
          </w:tcPr>
          <w:p>
            <w:pPr>
              <w:jc w:val="right"/>
            </w:pPr>
            <w:r>
              <w:rPr>
                <w:rFonts w:ascii="宋体" w:hAnsi="宋体" w:eastAsia="宋体" w:cs="宋体"/>
                <w:b w:val="0"/>
                <w:i w:val="0"/>
                <w:color w:val="000000"/>
                <w:sz w:val="19"/>
              </w:rPr>
              <w:t>21.23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21.23</w:t>
            </w:r>
          </w:p>
        </w:tc>
        <w:tc>
          <w:tcPr>
            <w:tcW w:w="1600" w:type="dxa"/>
            <w:vAlign w:val="center"/>
          </w:tcPr>
          <w:p>
            <w:pPr>
              <w:jc w:val="right"/>
            </w:pPr>
            <w:r>
              <w:rPr>
                <w:rFonts w:ascii="宋体" w:hAnsi="宋体" w:eastAsia="宋体" w:cs="宋体"/>
                <w:b w:val="0"/>
                <w:i w:val="0"/>
                <w:color w:val="000000"/>
                <w:sz w:val="19"/>
              </w:rPr>
              <w:t>21.23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21.23</w:t>
            </w:r>
          </w:p>
        </w:tc>
        <w:tc>
          <w:tcPr>
            <w:tcW w:w="1600" w:type="dxa"/>
            <w:vAlign w:val="center"/>
          </w:tcPr>
          <w:p>
            <w:pPr>
              <w:jc w:val="right"/>
            </w:pPr>
            <w:r>
              <w:rPr>
                <w:rFonts w:ascii="宋体" w:hAnsi="宋体" w:eastAsia="宋体" w:cs="宋体"/>
                <w:b w:val="0"/>
                <w:i w:val="0"/>
                <w:color w:val="000000"/>
                <w:sz w:val="19"/>
              </w:rPr>
              <w:t>21.23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w:t>
            </w:r>
          </w:p>
        </w:tc>
        <w:tc>
          <w:tcPr>
            <w:tcW w:w="3480" w:type="dxa"/>
            <w:vAlign w:val="center"/>
          </w:tcPr>
          <w:p>
            <w:pPr>
              <w:jc w:val="left"/>
            </w:pPr>
            <w:r>
              <w:rPr>
                <w:rFonts w:ascii="宋体" w:hAnsi="宋体" w:eastAsia="宋体" w:cs="宋体"/>
                <w:b w:val="0"/>
                <w:i w:val="0"/>
                <w:color w:val="000000"/>
                <w:sz w:val="19"/>
              </w:rPr>
              <w:t>城乡社区支出</w:t>
            </w:r>
          </w:p>
        </w:tc>
        <w:tc>
          <w:tcPr>
            <w:tcW w:w="1600" w:type="dxa"/>
            <w:vAlign w:val="center"/>
          </w:tcPr>
          <w:p>
            <w:pPr>
              <w:jc w:val="right"/>
            </w:pPr>
            <w:r>
              <w:rPr>
                <w:rFonts w:ascii="宋体" w:hAnsi="宋体" w:eastAsia="宋体" w:cs="宋体"/>
                <w:b w:val="0"/>
                <w:i w:val="0"/>
                <w:color w:val="000000"/>
                <w:sz w:val="19"/>
              </w:rPr>
              <w:t>2,469.00</w:t>
            </w:r>
          </w:p>
        </w:tc>
        <w:tc>
          <w:tcPr>
            <w:tcW w:w="1600" w:type="dxa"/>
            <w:vAlign w:val="center"/>
          </w:tcPr>
          <w:p>
            <w:pPr>
              <w:jc w:val="right"/>
            </w:pPr>
            <w:r>
              <w:rPr>
                <w:rFonts w:ascii="宋体" w:hAnsi="宋体" w:eastAsia="宋体" w:cs="宋体"/>
                <w:b w:val="0"/>
                <w:i w:val="0"/>
                <w:color w:val="000000"/>
                <w:sz w:val="19"/>
              </w:rPr>
              <w:t>911.42</w:t>
            </w:r>
          </w:p>
        </w:tc>
        <w:tc>
          <w:tcPr>
            <w:tcW w:w="1600" w:type="dxa"/>
            <w:vAlign w:val="center"/>
          </w:tcPr>
          <w:p>
            <w:pPr>
              <w:jc w:val="right"/>
            </w:pPr>
            <w:r>
              <w:rPr>
                <w:rFonts w:ascii="宋体" w:hAnsi="宋体" w:eastAsia="宋体" w:cs="宋体"/>
                <w:b w:val="0"/>
                <w:i w:val="0"/>
                <w:color w:val="000000"/>
                <w:sz w:val="19"/>
              </w:rPr>
              <w:t>1,557.58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w:t>
            </w:r>
          </w:p>
        </w:tc>
        <w:tc>
          <w:tcPr>
            <w:tcW w:w="3480" w:type="dxa"/>
            <w:vAlign w:val="center"/>
          </w:tcPr>
          <w:p>
            <w:pPr>
              <w:jc w:val="left"/>
            </w:pPr>
            <w:r>
              <w:rPr>
                <w:rFonts w:ascii="宋体" w:hAnsi="宋体" w:eastAsia="宋体" w:cs="宋体"/>
                <w:b w:val="0"/>
                <w:i w:val="0"/>
                <w:color w:val="000000"/>
                <w:sz w:val="19"/>
              </w:rPr>
              <w:t>城乡社区公共设施</w:t>
            </w:r>
          </w:p>
        </w:tc>
        <w:tc>
          <w:tcPr>
            <w:tcW w:w="1600" w:type="dxa"/>
            <w:vAlign w:val="center"/>
          </w:tcPr>
          <w:p>
            <w:pPr>
              <w:jc w:val="right"/>
            </w:pPr>
            <w:r>
              <w:rPr>
                <w:rFonts w:ascii="宋体" w:hAnsi="宋体" w:eastAsia="宋体" w:cs="宋体"/>
                <w:b w:val="0"/>
                <w:i w:val="0"/>
                <w:color w:val="000000"/>
                <w:sz w:val="19"/>
              </w:rPr>
              <w:t>1,830.61</w:t>
            </w:r>
          </w:p>
        </w:tc>
        <w:tc>
          <w:tcPr>
            <w:tcW w:w="1600" w:type="dxa"/>
            <w:vAlign w:val="center"/>
          </w:tcPr>
          <w:p>
            <w:pPr>
              <w:jc w:val="right"/>
            </w:pPr>
            <w:r>
              <w:rPr>
                <w:rFonts w:ascii="宋体" w:hAnsi="宋体" w:eastAsia="宋体" w:cs="宋体"/>
                <w:b w:val="0"/>
                <w:i w:val="0"/>
                <w:color w:val="000000"/>
                <w:sz w:val="19"/>
              </w:rPr>
              <w:t>273.03</w:t>
            </w:r>
          </w:p>
        </w:tc>
        <w:tc>
          <w:tcPr>
            <w:tcW w:w="1600" w:type="dxa"/>
            <w:vAlign w:val="center"/>
          </w:tcPr>
          <w:p>
            <w:pPr>
              <w:jc w:val="right"/>
            </w:pPr>
            <w:r>
              <w:rPr>
                <w:rFonts w:ascii="宋体" w:hAnsi="宋体" w:eastAsia="宋体" w:cs="宋体"/>
                <w:b w:val="0"/>
                <w:i w:val="0"/>
                <w:color w:val="000000"/>
                <w:sz w:val="19"/>
              </w:rPr>
              <w:t>1,557.58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2120399</w:t>
            </w:r>
          </w:p>
        </w:tc>
        <w:tc>
          <w:tcPr>
            <w:tcW w:w="3480" w:type="dxa"/>
            <w:vAlign w:val="center"/>
          </w:tcPr>
          <w:p>
            <w:pPr>
              <w:jc w:val="left"/>
            </w:pPr>
            <w:r>
              <w:rPr>
                <w:rFonts w:ascii="宋体" w:hAnsi="宋体" w:eastAsia="宋体" w:cs="宋体"/>
                <w:b w:val="0"/>
                <w:i w:val="0"/>
                <w:color w:val="000000"/>
                <w:sz w:val="19"/>
              </w:rPr>
              <w:t>其他城乡社区公共设施支出</w:t>
            </w:r>
          </w:p>
        </w:tc>
        <w:tc>
          <w:tcPr>
            <w:tcW w:w="1600" w:type="dxa"/>
            <w:vAlign w:val="center"/>
          </w:tcPr>
          <w:p>
            <w:pPr>
              <w:jc w:val="right"/>
            </w:pPr>
            <w:r>
              <w:rPr>
                <w:rFonts w:ascii="宋体" w:hAnsi="宋体" w:eastAsia="宋体" w:cs="宋体"/>
                <w:b w:val="0"/>
                <w:i w:val="0"/>
                <w:color w:val="000000"/>
                <w:sz w:val="19"/>
              </w:rPr>
              <w:t>1,830.61</w:t>
            </w:r>
          </w:p>
        </w:tc>
        <w:tc>
          <w:tcPr>
            <w:tcW w:w="1600" w:type="dxa"/>
            <w:vAlign w:val="center"/>
          </w:tcPr>
          <w:p>
            <w:pPr>
              <w:jc w:val="right"/>
            </w:pPr>
            <w:r>
              <w:rPr>
                <w:rFonts w:ascii="宋体" w:hAnsi="宋体" w:eastAsia="宋体" w:cs="宋体"/>
                <w:b w:val="0"/>
                <w:i w:val="0"/>
                <w:color w:val="000000"/>
                <w:sz w:val="19"/>
              </w:rPr>
              <w:t>273.03</w:t>
            </w:r>
          </w:p>
        </w:tc>
        <w:tc>
          <w:tcPr>
            <w:tcW w:w="1600" w:type="dxa"/>
            <w:vAlign w:val="center"/>
          </w:tcPr>
          <w:p>
            <w:pPr>
              <w:jc w:val="right"/>
            </w:pPr>
            <w:r>
              <w:rPr>
                <w:rFonts w:ascii="宋体" w:hAnsi="宋体" w:eastAsia="宋体" w:cs="宋体"/>
                <w:b w:val="0"/>
                <w:i w:val="0"/>
                <w:color w:val="000000"/>
                <w:sz w:val="19"/>
              </w:rPr>
              <w:t>1,557.58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21205</w:t>
            </w:r>
          </w:p>
        </w:tc>
        <w:tc>
          <w:tcPr>
            <w:tcW w:w="3480" w:type="dxa"/>
            <w:vAlign w:val="center"/>
          </w:tcPr>
          <w:p>
            <w:pPr>
              <w:jc w:val="left"/>
            </w:pPr>
            <w:r>
              <w:rPr>
                <w:rFonts w:ascii="宋体" w:hAnsi="宋体" w:eastAsia="宋体" w:cs="宋体"/>
                <w:b w:val="0"/>
                <w:i w:val="0"/>
                <w:color w:val="000000"/>
                <w:sz w:val="19"/>
              </w:rPr>
              <w:t>城乡社区环境卫生</w:t>
            </w:r>
          </w:p>
        </w:tc>
        <w:tc>
          <w:tcPr>
            <w:tcW w:w="1600" w:type="dxa"/>
            <w:vAlign w:val="center"/>
          </w:tcPr>
          <w:p>
            <w:pPr>
              <w:jc w:val="right"/>
            </w:pPr>
            <w:r>
              <w:rPr>
                <w:rFonts w:ascii="宋体" w:hAnsi="宋体" w:eastAsia="宋体" w:cs="宋体"/>
                <w:b w:val="0"/>
                <w:i w:val="0"/>
                <w:color w:val="000000"/>
                <w:sz w:val="19"/>
              </w:rPr>
              <w:t>638.39</w:t>
            </w:r>
          </w:p>
        </w:tc>
        <w:tc>
          <w:tcPr>
            <w:tcW w:w="1600" w:type="dxa"/>
            <w:vAlign w:val="center"/>
          </w:tcPr>
          <w:p>
            <w:pPr>
              <w:jc w:val="right"/>
            </w:pPr>
            <w:r>
              <w:rPr>
                <w:rFonts w:ascii="宋体" w:hAnsi="宋体" w:eastAsia="宋体" w:cs="宋体"/>
                <w:b w:val="0"/>
                <w:i w:val="0"/>
                <w:color w:val="000000"/>
                <w:sz w:val="19"/>
              </w:rPr>
              <w:t>638.39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2120501</w:t>
            </w:r>
          </w:p>
        </w:tc>
        <w:tc>
          <w:tcPr>
            <w:tcW w:w="3480" w:type="dxa"/>
            <w:vAlign w:val="center"/>
          </w:tcPr>
          <w:p>
            <w:pPr>
              <w:jc w:val="left"/>
            </w:pPr>
            <w:r>
              <w:rPr>
                <w:rFonts w:ascii="宋体" w:hAnsi="宋体" w:eastAsia="宋体" w:cs="宋体"/>
                <w:b w:val="0"/>
                <w:i w:val="0"/>
                <w:color w:val="000000"/>
                <w:sz w:val="19"/>
              </w:rPr>
              <w:t>城乡社区环境卫生</w:t>
            </w:r>
          </w:p>
        </w:tc>
        <w:tc>
          <w:tcPr>
            <w:tcW w:w="1600" w:type="dxa"/>
            <w:vAlign w:val="center"/>
          </w:tcPr>
          <w:p>
            <w:pPr>
              <w:jc w:val="right"/>
            </w:pPr>
            <w:r>
              <w:rPr>
                <w:rFonts w:ascii="宋体" w:hAnsi="宋体" w:eastAsia="宋体" w:cs="宋体"/>
                <w:b w:val="0"/>
                <w:i w:val="0"/>
                <w:color w:val="000000"/>
                <w:sz w:val="19"/>
              </w:rPr>
              <w:t>638.39</w:t>
            </w:r>
          </w:p>
        </w:tc>
        <w:tc>
          <w:tcPr>
            <w:tcW w:w="1600" w:type="dxa"/>
            <w:vAlign w:val="center"/>
          </w:tcPr>
          <w:p>
            <w:pPr>
              <w:jc w:val="right"/>
            </w:pPr>
            <w:r>
              <w:rPr>
                <w:rFonts w:ascii="宋体" w:hAnsi="宋体" w:eastAsia="宋体" w:cs="宋体"/>
                <w:b w:val="0"/>
                <w:i w:val="0"/>
                <w:color w:val="000000"/>
                <w:sz w:val="19"/>
              </w:rPr>
              <w:t>638.39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42.00</w:t>
            </w:r>
          </w:p>
        </w:tc>
        <w:tc>
          <w:tcPr>
            <w:tcW w:w="1600" w:type="dxa"/>
            <w:vAlign w:val="center"/>
          </w:tcPr>
          <w:p>
            <w:pPr>
              <w:jc w:val="right"/>
            </w:pPr>
            <w:r>
              <w:rPr>
                <w:rFonts w:ascii="宋体" w:hAnsi="宋体" w:eastAsia="宋体" w:cs="宋体"/>
                <w:b w:val="0"/>
                <w:i w:val="0"/>
                <w:color w:val="000000"/>
                <w:sz w:val="19"/>
              </w:rPr>
              <w:t>42.00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42.00</w:t>
            </w:r>
          </w:p>
        </w:tc>
        <w:tc>
          <w:tcPr>
            <w:tcW w:w="1600" w:type="dxa"/>
            <w:vAlign w:val="center"/>
          </w:tcPr>
          <w:p>
            <w:pPr>
              <w:jc w:val="right"/>
            </w:pPr>
            <w:r>
              <w:rPr>
                <w:rFonts w:ascii="宋体" w:hAnsi="宋体" w:eastAsia="宋体" w:cs="宋体"/>
                <w:b w:val="0"/>
                <w:i w:val="0"/>
                <w:color w:val="000000"/>
                <w:sz w:val="19"/>
              </w:rPr>
              <w:t>42.00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42.00</w:t>
            </w:r>
          </w:p>
        </w:tc>
        <w:tc>
          <w:tcPr>
            <w:tcW w:w="1600" w:type="dxa"/>
            <w:vAlign w:val="center"/>
          </w:tcPr>
          <w:p>
            <w:pPr>
              <w:jc w:val="right"/>
            </w:pPr>
            <w:r>
              <w:rPr>
                <w:rFonts w:ascii="宋体" w:hAnsi="宋体" w:eastAsia="宋体" w:cs="宋体"/>
                <w:b w:val="0"/>
                <w:i w:val="0"/>
                <w:color w:val="000000"/>
                <w:sz w:val="19"/>
              </w:rPr>
              <w:t>42.00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单位：许昌市园林绿化中心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2,269.20</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45.78</w:t>
            </w:r>
          </w:p>
        </w:tc>
        <w:tc>
          <w:tcPr>
            <w:tcW w:w="1420" w:type="dxa"/>
            <w:vAlign w:val="center"/>
          </w:tcPr>
          <w:p>
            <w:pPr>
              <w:jc w:val="right"/>
            </w:pPr>
            <w:r>
              <w:rPr>
                <w:rFonts w:ascii="宋体" w:hAnsi="宋体" w:eastAsia="宋体" w:cs="宋体"/>
                <w:b w:val="0"/>
                <w:i w:val="0"/>
                <w:color w:val="000000"/>
                <w:sz w:val="18"/>
              </w:rPr>
              <w:t>45.78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397.44</w:t>
            </w:r>
          </w:p>
        </w:tc>
        <w:tc>
          <w:tcPr>
            <w:tcW w:w="1420" w:type="dxa"/>
            <w:vAlign w:val="center"/>
          </w:tcPr>
          <w:p>
            <w:pPr>
              <w:jc w:val="right"/>
            </w:pPr>
            <w:r>
              <w:rPr>
                <w:rFonts w:ascii="宋体" w:hAnsi="宋体" w:eastAsia="宋体" w:cs="宋体"/>
                <w:b w:val="0"/>
                <w:i w:val="0"/>
                <w:color w:val="000000"/>
                <w:sz w:val="18"/>
              </w:rPr>
              <w:t>397.44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21.23</w:t>
            </w:r>
          </w:p>
        </w:tc>
        <w:tc>
          <w:tcPr>
            <w:tcW w:w="1420" w:type="dxa"/>
            <w:vAlign w:val="center"/>
          </w:tcPr>
          <w:p>
            <w:pPr>
              <w:jc w:val="right"/>
            </w:pPr>
            <w:r>
              <w:rPr>
                <w:rFonts w:ascii="宋体" w:hAnsi="宋体" w:eastAsia="宋体" w:cs="宋体"/>
                <w:b w:val="0"/>
                <w:i w:val="0"/>
                <w:color w:val="000000"/>
                <w:sz w:val="18"/>
              </w:rPr>
              <w:t>21.23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2,469.00</w:t>
            </w:r>
          </w:p>
        </w:tc>
        <w:tc>
          <w:tcPr>
            <w:tcW w:w="1420" w:type="dxa"/>
            <w:vAlign w:val="center"/>
          </w:tcPr>
          <w:p>
            <w:pPr>
              <w:jc w:val="right"/>
            </w:pPr>
            <w:r>
              <w:rPr>
                <w:rFonts w:ascii="宋体" w:hAnsi="宋体" w:eastAsia="宋体" w:cs="宋体"/>
                <w:b w:val="0"/>
                <w:i w:val="0"/>
                <w:color w:val="000000"/>
                <w:sz w:val="18"/>
              </w:rPr>
              <w:t>2,469.00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42.00</w:t>
            </w:r>
          </w:p>
        </w:tc>
        <w:tc>
          <w:tcPr>
            <w:tcW w:w="1420" w:type="dxa"/>
            <w:vAlign w:val="center"/>
          </w:tcPr>
          <w:p>
            <w:pPr>
              <w:jc w:val="right"/>
            </w:pPr>
            <w:r>
              <w:rPr>
                <w:rFonts w:ascii="宋体" w:hAnsi="宋体" w:eastAsia="宋体" w:cs="宋体"/>
                <w:b w:val="0"/>
                <w:i w:val="0"/>
                <w:color w:val="000000"/>
                <w:sz w:val="18"/>
              </w:rPr>
              <w:t>42.00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2,269.20</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2,975.46</w:t>
            </w:r>
          </w:p>
        </w:tc>
        <w:tc>
          <w:tcPr>
            <w:tcW w:w="1420" w:type="dxa"/>
            <w:vAlign w:val="center"/>
          </w:tcPr>
          <w:p>
            <w:pPr>
              <w:jc w:val="right"/>
            </w:pPr>
            <w:r>
              <w:rPr>
                <w:rFonts w:ascii="宋体" w:hAnsi="宋体" w:eastAsia="宋体" w:cs="宋体"/>
                <w:b w:val="0"/>
                <w:i w:val="0"/>
                <w:color w:val="000000"/>
                <w:sz w:val="18"/>
              </w:rPr>
              <w:t>2,975.46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706.26</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706.26</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2,975.46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2,975.46</w:t>
            </w:r>
          </w:p>
        </w:tc>
        <w:tc>
          <w:tcPr>
            <w:tcW w:w="1420" w:type="dxa"/>
            <w:vAlign w:val="center"/>
          </w:tcPr>
          <w:p>
            <w:pPr>
              <w:jc w:val="right"/>
            </w:pPr>
            <w:r>
              <w:rPr>
                <w:rFonts w:ascii="宋体" w:hAnsi="宋体" w:eastAsia="宋体" w:cs="宋体"/>
                <w:b w:val="0"/>
                <w:i w:val="0"/>
                <w:color w:val="000000"/>
                <w:sz w:val="18"/>
              </w:rPr>
              <w:t>2,975.46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单位：许昌市园林绿化中心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2,975.46</w:t>
            </w:r>
          </w:p>
        </w:tc>
        <w:tc>
          <w:tcPr>
            <w:tcW w:w="2700" w:type="dxa"/>
            <w:vAlign w:val="center"/>
          </w:tcPr>
          <w:p>
            <w:pPr>
              <w:jc w:val="right"/>
            </w:pPr>
            <w:r>
              <w:rPr>
                <w:rFonts w:ascii="宋体" w:hAnsi="宋体" w:eastAsia="宋体" w:cs="宋体"/>
                <w:b/>
                <w:i w:val="0"/>
                <w:color w:val="000000"/>
                <w:sz w:val="25"/>
              </w:rPr>
              <w:t>1,417.88</w:t>
            </w:r>
          </w:p>
        </w:tc>
        <w:tc>
          <w:tcPr>
            <w:tcW w:w="2658" w:type="dxa"/>
            <w:vAlign w:val="center"/>
          </w:tcPr>
          <w:p>
            <w:pPr>
              <w:jc w:val="right"/>
            </w:pPr>
            <w:r>
              <w:rPr>
                <w:rFonts w:ascii="宋体" w:hAnsi="宋体" w:eastAsia="宋体" w:cs="宋体"/>
                <w:b/>
                <w:i w:val="0"/>
                <w:color w:val="000000"/>
                <w:sz w:val="25"/>
              </w:rPr>
              <w:t>1,557.58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45.78</w:t>
            </w:r>
          </w:p>
        </w:tc>
        <w:tc>
          <w:tcPr>
            <w:tcW w:w="2700" w:type="dxa"/>
            <w:vAlign w:val="center"/>
          </w:tcPr>
          <w:p>
            <w:pPr>
              <w:jc w:val="right"/>
            </w:pPr>
            <w:r>
              <w:rPr>
                <w:rFonts w:ascii="宋体" w:hAnsi="宋体" w:eastAsia="宋体" w:cs="宋体"/>
                <w:b w:val="0"/>
                <w:i w:val="0"/>
                <w:color w:val="000000"/>
                <w:sz w:val="25"/>
              </w:rPr>
              <w:t>45.78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4.82</w:t>
            </w:r>
          </w:p>
        </w:tc>
        <w:tc>
          <w:tcPr>
            <w:tcW w:w="2700" w:type="dxa"/>
            <w:vAlign w:val="center"/>
          </w:tcPr>
          <w:p>
            <w:pPr>
              <w:jc w:val="right"/>
            </w:pPr>
            <w:r>
              <w:rPr>
                <w:rFonts w:ascii="宋体" w:hAnsi="宋体" w:eastAsia="宋体" w:cs="宋体"/>
                <w:b w:val="0"/>
                <w:i w:val="0"/>
                <w:color w:val="000000"/>
                <w:sz w:val="25"/>
              </w:rPr>
              <w:t>4.82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4.82</w:t>
            </w:r>
          </w:p>
        </w:tc>
        <w:tc>
          <w:tcPr>
            <w:tcW w:w="2700" w:type="dxa"/>
            <w:vAlign w:val="center"/>
          </w:tcPr>
          <w:p>
            <w:pPr>
              <w:jc w:val="right"/>
            </w:pPr>
            <w:r>
              <w:rPr>
                <w:rFonts w:ascii="宋体" w:hAnsi="宋体" w:eastAsia="宋体" w:cs="宋体"/>
                <w:b w:val="0"/>
                <w:i w:val="0"/>
                <w:color w:val="000000"/>
                <w:sz w:val="25"/>
              </w:rPr>
              <w:t>4.82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40.96</w:t>
            </w:r>
          </w:p>
        </w:tc>
        <w:tc>
          <w:tcPr>
            <w:tcW w:w="2700" w:type="dxa"/>
            <w:vAlign w:val="center"/>
          </w:tcPr>
          <w:p>
            <w:pPr>
              <w:jc w:val="right"/>
            </w:pPr>
            <w:r>
              <w:rPr>
                <w:rFonts w:ascii="宋体" w:hAnsi="宋体" w:eastAsia="宋体" w:cs="宋体"/>
                <w:b w:val="0"/>
                <w:i w:val="0"/>
                <w:color w:val="000000"/>
                <w:sz w:val="25"/>
              </w:rPr>
              <w:t>40.96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40.96</w:t>
            </w:r>
          </w:p>
        </w:tc>
        <w:tc>
          <w:tcPr>
            <w:tcW w:w="2700" w:type="dxa"/>
            <w:vAlign w:val="center"/>
          </w:tcPr>
          <w:p>
            <w:pPr>
              <w:jc w:val="right"/>
            </w:pPr>
            <w:r>
              <w:rPr>
                <w:rFonts w:ascii="宋体" w:hAnsi="宋体" w:eastAsia="宋体" w:cs="宋体"/>
                <w:b w:val="0"/>
                <w:i w:val="0"/>
                <w:color w:val="000000"/>
                <w:sz w:val="25"/>
              </w:rPr>
              <w:t>40.96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397.44</w:t>
            </w:r>
          </w:p>
        </w:tc>
        <w:tc>
          <w:tcPr>
            <w:tcW w:w="2700" w:type="dxa"/>
            <w:vAlign w:val="center"/>
          </w:tcPr>
          <w:p>
            <w:pPr>
              <w:jc w:val="right"/>
            </w:pPr>
            <w:r>
              <w:rPr>
                <w:rFonts w:ascii="宋体" w:hAnsi="宋体" w:eastAsia="宋体" w:cs="宋体"/>
                <w:b w:val="0"/>
                <w:i w:val="0"/>
                <w:color w:val="000000"/>
                <w:sz w:val="25"/>
              </w:rPr>
              <w:t>397.44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381.12</w:t>
            </w:r>
          </w:p>
        </w:tc>
        <w:tc>
          <w:tcPr>
            <w:tcW w:w="2700" w:type="dxa"/>
            <w:vAlign w:val="center"/>
          </w:tcPr>
          <w:p>
            <w:pPr>
              <w:jc w:val="right"/>
            </w:pPr>
            <w:r>
              <w:rPr>
                <w:rFonts w:ascii="宋体" w:hAnsi="宋体" w:eastAsia="宋体" w:cs="宋体"/>
                <w:b w:val="0"/>
                <w:i w:val="0"/>
                <w:color w:val="000000"/>
                <w:sz w:val="25"/>
              </w:rPr>
              <w:t>381.12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334.48</w:t>
            </w:r>
          </w:p>
        </w:tc>
        <w:tc>
          <w:tcPr>
            <w:tcW w:w="2700" w:type="dxa"/>
            <w:vAlign w:val="center"/>
          </w:tcPr>
          <w:p>
            <w:pPr>
              <w:jc w:val="right"/>
            </w:pPr>
            <w:r>
              <w:rPr>
                <w:rFonts w:ascii="宋体" w:hAnsi="宋体" w:eastAsia="宋体" w:cs="宋体"/>
                <w:b w:val="0"/>
                <w:i w:val="0"/>
                <w:color w:val="000000"/>
                <w:sz w:val="25"/>
              </w:rPr>
              <w:t>334.48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46.64</w:t>
            </w:r>
          </w:p>
        </w:tc>
        <w:tc>
          <w:tcPr>
            <w:tcW w:w="2700" w:type="dxa"/>
            <w:vAlign w:val="center"/>
          </w:tcPr>
          <w:p>
            <w:pPr>
              <w:jc w:val="right"/>
            </w:pPr>
            <w:r>
              <w:rPr>
                <w:rFonts w:ascii="宋体" w:hAnsi="宋体" w:eastAsia="宋体" w:cs="宋体"/>
                <w:b w:val="0"/>
                <w:i w:val="0"/>
                <w:color w:val="000000"/>
                <w:sz w:val="25"/>
              </w:rPr>
              <w:t>46.64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16.33</w:t>
            </w:r>
          </w:p>
        </w:tc>
        <w:tc>
          <w:tcPr>
            <w:tcW w:w="2700" w:type="dxa"/>
            <w:vAlign w:val="center"/>
          </w:tcPr>
          <w:p>
            <w:pPr>
              <w:jc w:val="right"/>
            </w:pPr>
            <w:r>
              <w:rPr>
                <w:rFonts w:ascii="宋体" w:hAnsi="宋体" w:eastAsia="宋体" w:cs="宋体"/>
                <w:b w:val="0"/>
                <w:i w:val="0"/>
                <w:color w:val="000000"/>
                <w:sz w:val="25"/>
              </w:rPr>
              <w:t>16.33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16.33</w:t>
            </w:r>
          </w:p>
        </w:tc>
        <w:tc>
          <w:tcPr>
            <w:tcW w:w="2700" w:type="dxa"/>
            <w:vAlign w:val="center"/>
          </w:tcPr>
          <w:p>
            <w:pPr>
              <w:jc w:val="right"/>
            </w:pPr>
            <w:r>
              <w:rPr>
                <w:rFonts w:ascii="宋体" w:hAnsi="宋体" w:eastAsia="宋体" w:cs="宋体"/>
                <w:b w:val="0"/>
                <w:i w:val="0"/>
                <w:color w:val="000000"/>
                <w:sz w:val="25"/>
              </w:rPr>
              <w:t>16.33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21.23</w:t>
            </w:r>
          </w:p>
        </w:tc>
        <w:tc>
          <w:tcPr>
            <w:tcW w:w="2700" w:type="dxa"/>
            <w:vAlign w:val="center"/>
          </w:tcPr>
          <w:p>
            <w:pPr>
              <w:jc w:val="right"/>
            </w:pPr>
            <w:r>
              <w:rPr>
                <w:rFonts w:ascii="宋体" w:hAnsi="宋体" w:eastAsia="宋体" w:cs="宋体"/>
                <w:b w:val="0"/>
                <w:i w:val="0"/>
                <w:color w:val="000000"/>
                <w:sz w:val="25"/>
              </w:rPr>
              <w:t>21.23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21.23</w:t>
            </w:r>
          </w:p>
        </w:tc>
        <w:tc>
          <w:tcPr>
            <w:tcW w:w="2700" w:type="dxa"/>
            <w:vAlign w:val="center"/>
          </w:tcPr>
          <w:p>
            <w:pPr>
              <w:jc w:val="right"/>
            </w:pPr>
            <w:r>
              <w:rPr>
                <w:rFonts w:ascii="宋体" w:hAnsi="宋体" w:eastAsia="宋体" w:cs="宋体"/>
                <w:b w:val="0"/>
                <w:i w:val="0"/>
                <w:color w:val="000000"/>
                <w:sz w:val="25"/>
              </w:rPr>
              <w:t>21.23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21.23</w:t>
            </w:r>
          </w:p>
        </w:tc>
        <w:tc>
          <w:tcPr>
            <w:tcW w:w="2700" w:type="dxa"/>
            <w:vAlign w:val="center"/>
          </w:tcPr>
          <w:p>
            <w:pPr>
              <w:jc w:val="right"/>
            </w:pPr>
            <w:r>
              <w:rPr>
                <w:rFonts w:ascii="宋体" w:hAnsi="宋体" w:eastAsia="宋体" w:cs="宋体"/>
                <w:b w:val="0"/>
                <w:i w:val="0"/>
                <w:color w:val="000000"/>
                <w:sz w:val="25"/>
              </w:rPr>
              <w:t>21.23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w:t>
            </w:r>
          </w:p>
        </w:tc>
        <w:tc>
          <w:tcPr>
            <w:tcW w:w="4700" w:type="dxa"/>
            <w:vAlign w:val="center"/>
          </w:tcPr>
          <w:p>
            <w:pPr>
              <w:jc w:val="left"/>
            </w:pPr>
            <w:r>
              <w:rPr>
                <w:rFonts w:ascii="宋体" w:hAnsi="宋体" w:eastAsia="宋体" w:cs="宋体"/>
                <w:b w:val="0"/>
                <w:i w:val="0"/>
                <w:color w:val="000000"/>
                <w:sz w:val="25"/>
              </w:rPr>
              <w:t>城乡社区支出</w:t>
            </w:r>
          </w:p>
        </w:tc>
        <w:tc>
          <w:tcPr>
            <w:tcW w:w="2700" w:type="dxa"/>
            <w:vAlign w:val="center"/>
          </w:tcPr>
          <w:p>
            <w:pPr>
              <w:jc w:val="right"/>
            </w:pPr>
            <w:r>
              <w:rPr>
                <w:rFonts w:ascii="宋体" w:hAnsi="宋体" w:eastAsia="宋体" w:cs="宋体"/>
                <w:b w:val="0"/>
                <w:i w:val="0"/>
                <w:color w:val="000000"/>
                <w:sz w:val="25"/>
              </w:rPr>
              <w:t>2,469.00</w:t>
            </w:r>
          </w:p>
        </w:tc>
        <w:tc>
          <w:tcPr>
            <w:tcW w:w="2700" w:type="dxa"/>
            <w:vAlign w:val="center"/>
          </w:tcPr>
          <w:p>
            <w:pPr>
              <w:jc w:val="right"/>
            </w:pPr>
            <w:r>
              <w:rPr>
                <w:rFonts w:ascii="宋体" w:hAnsi="宋体" w:eastAsia="宋体" w:cs="宋体"/>
                <w:b w:val="0"/>
                <w:i w:val="0"/>
                <w:color w:val="000000"/>
                <w:sz w:val="25"/>
              </w:rPr>
              <w:t>911.42</w:t>
            </w:r>
          </w:p>
        </w:tc>
        <w:tc>
          <w:tcPr>
            <w:tcW w:w="2658" w:type="dxa"/>
            <w:vAlign w:val="center"/>
          </w:tcPr>
          <w:p>
            <w:pPr>
              <w:jc w:val="right"/>
            </w:pPr>
            <w:r>
              <w:rPr>
                <w:rFonts w:ascii="宋体" w:hAnsi="宋体" w:eastAsia="宋体" w:cs="宋体"/>
                <w:b w:val="0"/>
                <w:i w:val="0"/>
                <w:color w:val="000000"/>
                <w:sz w:val="25"/>
              </w:rPr>
              <w:t>1,557.58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w:t>
            </w:r>
          </w:p>
        </w:tc>
        <w:tc>
          <w:tcPr>
            <w:tcW w:w="4700" w:type="dxa"/>
            <w:vAlign w:val="center"/>
          </w:tcPr>
          <w:p>
            <w:pPr>
              <w:jc w:val="left"/>
            </w:pPr>
            <w:r>
              <w:rPr>
                <w:rFonts w:ascii="宋体" w:hAnsi="宋体" w:eastAsia="宋体" w:cs="宋体"/>
                <w:b w:val="0"/>
                <w:i w:val="0"/>
                <w:color w:val="000000"/>
                <w:sz w:val="25"/>
              </w:rPr>
              <w:t>城乡社区公共设施</w:t>
            </w:r>
          </w:p>
        </w:tc>
        <w:tc>
          <w:tcPr>
            <w:tcW w:w="2700" w:type="dxa"/>
            <w:vAlign w:val="center"/>
          </w:tcPr>
          <w:p>
            <w:pPr>
              <w:jc w:val="right"/>
            </w:pPr>
            <w:r>
              <w:rPr>
                <w:rFonts w:ascii="宋体" w:hAnsi="宋体" w:eastAsia="宋体" w:cs="宋体"/>
                <w:b w:val="0"/>
                <w:i w:val="0"/>
                <w:color w:val="000000"/>
                <w:sz w:val="25"/>
              </w:rPr>
              <w:t>1,830.61</w:t>
            </w:r>
          </w:p>
        </w:tc>
        <w:tc>
          <w:tcPr>
            <w:tcW w:w="2700" w:type="dxa"/>
            <w:vAlign w:val="center"/>
          </w:tcPr>
          <w:p>
            <w:pPr>
              <w:jc w:val="right"/>
            </w:pPr>
            <w:r>
              <w:rPr>
                <w:rFonts w:ascii="宋体" w:hAnsi="宋体" w:eastAsia="宋体" w:cs="宋体"/>
                <w:b w:val="0"/>
                <w:i w:val="0"/>
                <w:color w:val="000000"/>
                <w:sz w:val="25"/>
              </w:rPr>
              <w:t>273.03</w:t>
            </w:r>
          </w:p>
        </w:tc>
        <w:tc>
          <w:tcPr>
            <w:tcW w:w="2658" w:type="dxa"/>
            <w:vAlign w:val="center"/>
          </w:tcPr>
          <w:p>
            <w:pPr>
              <w:jc w:val="right"/>
            </w:pPr>
            <w:r>
              <w:rPr>
                <w:rFonts w:ascii="宋体" w:hAnsi="宋体" w:eastAsia="宋体" w:cs="宋体"/>
                <w:b w:val="0"/>
                <w:i w:val="0"/>
                <w:color w:val="000000"/>
                <w:sz w:val="25"/>
              </w:rPr>
              <w:t>1,557.58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2120399</w:t>
            </w:r>
          </w:p>
        </w:tc>
        <w:tc>
          <w:tcPr>
            <w:tcW w:w="4700" w:type="dxa"/>
            <w:vAlign w:val="center"/>
          </w:tcPr>
          <w:p>
            <w:pPr>
              <w:jc w:val="left"/>
            </w:pPr>
            <w:r>
              <w:rPr>
                <w:rFonts w:ascii="宋体" w:hAnsi="宋体" w:eastAsia="宋体" w:cs="宋体"/>
                <w:b w:val="0"/>
                <w:i w:val="0"/>
                <w:color w:val="000000"/>
                <w:sz w:val="25"/>
              </w:rPr>
              <w:t>其他城乡社区公共设施支出</w:t>
            </w:r>
          </w:p>
        </w:tc>
        <w:tc>
          <w:tcPr>
            <w:tcW w:w="2700" w:type="dxa"/>
            <w:vAlign w:val="center"/>
          </w:tcPr>
          <w:p>
            <w:pPr>
              <w:jc w:val="right"/>
            </w:pPr>
            <w:r>
              <w:rPr>
                <w:rFonts w:ascii="宋体" w:hAnsi="宋体" w:eastAsia="宋体" w:cs="宋体"/>
                <w:b w:val="0"/>
                <w:i w:val="0"/>
                <w:color w:val="000000"/>
                <w:sz w:val="25"/>
              </w:rPr>
              <w:t>1,830.61</w:t>
            </w:r>
          </w:p>
        </w:tc>
        <w:tc>
          <w:tcPr>
            <w:tcW w:w="2700" w:type="dxa"/>
            <w:vAlign w:val="center"/>
          </w:tcPr>
          <w:p>
            <w:pPr>
              <w:jc w:val="right"/>
            </w:pPr>
            <w:r>
              <w:rPr>
                <w:rFonts w:ascii="宋体" w:hAnsi="宋体" w:eastAsia="宋体" w:cs="宋体"/>
                <w:b w:val="0"/>
                <w:i w:val="0"/>
                <w:color w:val="000000"/>
                <w:sz w:val="25"/>
              </w:rPr>
              <w:t>273.03</w:t>
            </w:r>
          </w:p>
        </w:tc>
        <w:tc>
          <w:tcPr>
            <w:tcW w:w="2658" w:type="dxa"/>
            <w:vAlign w:val="center"/>
          </w:tcPr>
          <w:p>
            <w:pPr>
              <w:jc w:val="right"/>
            </w:pPr>
            <w:r>
              <w:rPr>
                <w:rFonts w:ascii="宋体" w:hAnsi="宋体" w:eastAsia="宋体" w:cs="宋体"/>
                <w:b w:val="0"/>
                <w:i w:val="0"/>
                <w:color w:val="000000"/>
                <w:sz w:val="25"/>
              </w:rPr>
              <w:t>1,557.58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21205</w:t>
            </w:r>
          </w:p>
        </w:tc>
        <w:tc>
          <w:tcPr>
            <w:tcW w:w="4700" w:type="dxa"/>
            <w:vAlign w:val="center"/>
          </w:tcPr>
          <w:p>
            <w:pPr>
              <w:jc w:val="left"/>
            </w:pPr>
            <w:r>
              <w:rPr>
                <w:rFonts w:ascii="宋体" w:hAnsi="宋体" w:eastAsia="宋体" w:cs="宋体"/>
                <w:b w:val="0"/>
                <w:i w:val="0"/>
                <w:color w:val="000000"/>
                <w:sz w:val="25"/>
              </w:rPr>
              <w:t>城乡社区环境卫生</w:t>
            </w:r>
          </w:p>
        </w:tc>
        <w:tc>
          <w:tcPr>
            <w:tcW w:w="2700" w:type="dxa"/>
            <w:vAlign w:val="center"/>
          </w:tcPr>
          <w:p>
            <w:pPr>
              <w:jc w:val="right"/>
            </w:pPr>
            <w:r>
              <w:rPr>
                <w:rFonts w:ascii="宋体" w:hAnsi="宋体" w:eastAsia="宋体" w:cs="宋体"/>
                <w:b w:val="0"/>
                <w:i w:val="0"/>
                <w:color w:val="000000"/>
                <w:sz w:val="25"/>
              </w:rPr>
              <w:t>638.39</w:t>
            </w:r>
          </w:p>
        </w:tc>
        <w:tc>
          <w:tcPr>
            <w:tcW w:w="2700" w:type="dxa"/>
            <w:vAlign w:val="center"/>
          </w:tcPr>
          <w:p>
            <w:pPr>
              <w:jc w:val="right"/>
            </w:pPr>
            <w:r>
              <w:rPr>
                <w:rFonts w:ascii="宋体" w:hAnsi="宋体" w:eastAsia="宋体" w:cs="宋体"/>
                <w:b w:val="0"/>
                <w:i w:val="0"/>
                <w:color w:val="000000"/>
                <w:sz w:val="25"/>
              </w:rPr>
              <w:t>638.39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2120501</w:t>
            </w:r>
          </w:p>
        </w:tc>
        <w:tc>
          <w:tcPr>
            <w:tcW w:w="4700" w:type="dxa"/>
            <w:vAlign w:val="center"/>
          </w:tcPr>
          <w:p>
            <w:pPr>
              <w:jc w:val="left"/>
            </w:pPr>
            <w:r>
              <w:rPr>
                <w:rFonts w:ascii="宋体" w:hAnsi="宋体" w:eastAsia="宋体" w:cs="宋体"/>
                <w:b w:val="0"/>
                <w:i w:val="0"/>
                <w:color w:val="000000"/>
                <w:sz w:val="25"/>
              </w:rPr>
              <w:t>城乡社区环境卫生</w:t>
            </w:r>
          </w:p>
        </w:tc>
        <w:tc>
          <w:tcPr>
            <w:tcW w:w="2700" w:type="dxa"/>
            <w:vAlign w:val="center"/>
          </w:tcPr>
          <w:p>
            <w:pPr>
              <w:jc w:val="right"/>
            </w:pPr>
            <w:r>
              <w:rPr>
                <w:rFonts w:ascii="宋体" w:hAnsi="宋体" w:eastAsia="宋体" w:cs="宋体"/>
                <w:b w:val="0"/>
                <w:i w:val="0"/>
                <w:color w:val="000000"/>
                <w:sz w:val="25"/>
              </w:rPr>
              <w:t>638.39</w:t>
            </w:r>
          </w:p>
        </w:tc>
        <w:tc>
          <w:tcPr>
            <w:tcW w:w="2700" w:type="dxa"/>
            <w:vAlign w:val="center"/>
          </w:tcPr>
          <w:p>
            <w:pPr>
              <w:jc w:val="right"/>
            </w:pPr>
            <w:r>
              <w:rPr>
                <w:rFonts w:ascii="宋体" w:hAnsi="宋体" w:eastAsia="宋体" w:cs="宋体"/>
                <w:b w:val="0"/>
                <w:i w:val="0"/>
                <w:color w:val="000000"/>
                <w:sz w:val="25"/>
              </w:rPr>
              <w:t>638.39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42.00</w:t>
            </w:r>
          </w:p>
        </w:tc>
        <w:tc>
          <w:tcPr>
            <w:tcW w:w="2700" w:type="dxa"/>
            <w:vAlign w:val="center"/>
          </w:tcPr>
          <w:p>
            <w:pPr>
              <w:jc w:val="right"/>
            </w:pPr>
            <w:r>
              <w:rPr>
                <w:rFonts w:ascii="宋体" w:hAnsi="宋体" w:eastAsia="宋体" w:cs="宋体"/>
                <w:b w:val="0"/>
                <w:i w:val="0"/>
                <w:color w:val="000000"/>
                <w:sz w:val="25"/>
              </w:rPr>
              <w:t>42.00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42.00</w:t>
            </w:r>
          </w:p>
        </w:tc>
        <w:tc>
          <w:tcPr>
            <w:tcW w:w="2700" w:type="dxa"/>
            <w:vAlign w:val="center"/>
          </w:tcPr>
          <w:p>
            <w:pPr>
              <w:jc w:val="right"/>
            </w:pPr>
            <w:r>
              <w:rPr>
                <w:rFonts w:ascii="宋体" w:hAnsi="宋体" w:eastAsia="宋体" w:cs="宋体"/>
                <w:b w:val="0"/>
                <w:i w:val="0"/>
                <w:color w:val="000000"/>
                <w:sz w:val="25"/>
              </w:rPr>
              <w:t>42.00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42.00</w:t>
            </w:r>
          </w:p>
        </w:tc>
        <w:tc>
          <w:tcPr>
            <w:tcW w:w="2700" w:type="dxa"/>
            <w:vAlign w:val="center"/>
          </w:tcPr>
          <w:p>
            <w:pPr>
              <w:jc w:val="right"/>
            </w:pPr>
            <w:r>
              <w:rPr>
                <w:rFonts w:ascii="宋体" w:hAnsi="宋体" w:eastAsia="宋体" w:cs="宋体"/>
                <w:b w:val="0"/>
                <w:i w:val="0"/>
                <w:color w:val="000000"/>
                <w:sz w:val="25"/>
              </w:rPr>
              <w:t>42.00</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单位：许昌市园林绿化中心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1,007.48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48.52</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190.13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11.60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330.89</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263.88</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109.31</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0.39</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46.64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4.17</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1.10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21.23</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4.49</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2.90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1.63</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42.00</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8.69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0.51</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361.88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334.48</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16.33</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11.07</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3.00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4.82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5.11</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2.88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0.39</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0.25</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1,369.36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48.52</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单位：许昌市园林绿化中心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单位：许昌市园林绿化中心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单位：许昌市园林绿化中心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2.88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2.88</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bookmarkStart w:id="2" w:name="_GoBack"/>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2023年度收、支总计均为2975.46万元。与上年度相比，收、支总计各增加542.80万元，增长22.31%。主要原因是支付往年度工程款和补发2017-2018年人员经费缺口。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2269.20万元，其中：财政拨款收入2269.20万元，占100.00%；上级补助收入0.00万元，占0.00%；事业收入0.00万元，占0.00%；经营收入0.00万元，占0.00%；附属单位上缴收入0.00万元，占0.00%；其他收入0.00万元，占0.00%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2023年度支出合计2975.46万元，其中：基本支出1417.88万元，占47.65%；项目支出1557.58万元，占52.35%；上缴上级支出0.00万元，占0.00%；经营支出0.00万元，占0.00%；对附属单位补助支出0.00万元，占0.00%。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2023年度财政拨款收、支总计均为2975.46万元。与上年度相比，财政拨款收、支总计各增加542.80万元，增长22.31%。主要原因是支付往年度工程款和补发2017-2018年人员经费缺口。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2023年度一般公共预算财政拨款支出2975.46万元，占支出合计的100.00%。与上年度相比，一般公共预算财政拨款支出增加542.80万元，增长22.31%。主要原因是支付往年度工程款和补发2017-2018年人员经费缺口。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2975.46万元，主要用于以下方面：一般公共服务支出（类）45.78万元，占1.54%；社会保障和就业支出（类）397.44万元，占13.36%；卫生健康支出（类）21.23万元，占0.71%；城乡社区支出（类）2469.00万元，占82.98%；住房保障支出（类）42.00万元，占1.41%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2023年度一般公共预算财政拨款支出年初预算为1703.93万元，支出决算为2975.46万元，完成年初预算的174.62%。其中：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年初预算数为4.82万元，决算数4.82万元,完成年初预算的100.00%，决算数与年初预算数不存在差异。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年初预算数为0.00万元，决算数40.96万元,决算数与年初预算数存在差异的主要原因是2021年平安建设奖未列入年初预算。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年初预算数为333.39万元，决算数334.48万元,完成年初预算的100.33%，决算数与年初预算数存在差异的主要原因是个别在职人员转退休。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年初预算数为52.73万元，决算数46.64万元,完成年初预算的88.45%，决算数与年初预算数存在差异的主要原因是个别在职人员转退休。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5.社会保障和就业支出（类）抚恤（款）死亡抚恤（项）</w:t>
      </w:r>
      <w:r>
        <w:rPr>
          <w:rFonts w:hint="default" w:ascii="仿宋" w:hAnsi="仿宋" w:eastAsia="仿宋" w:cs="仿宋"/>
          <w:kern w:val="2"/>
          <w:sz w:val="32"/>
          <w:szCs w:val="32"/>
          <w:lang w:val="en-US" w:eastAsia="zh-CN"/>
        </w:rPr>
        <w:t>年初预算数为0.00万元，决算数16.33万元,决算数与年初预算数存在差异的主要原因是死亡抚恤金未列入年初预算。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年初预算数为25.66万元，决算数21.23万元,完成年初预算的82.74%，决算数与年初预算数存在差异的主要原因是个别在职人员转退休。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7.城乡社区支出（类）城乡社区公共设施（款）其他城乡社区公共设施支出（项）</w:t>
      </w:r>
      <w:r>
        <w:rPr>
          <w:rFonts w:hint="default" w:ascii="仿宋" w:hAnsi="仿宋" w:eastAsia="仿宋" w:cs="仿宋"/>
          <w:kern w:val="2"/>
          <w:sz w:val="32"/>
          <w:szCs w:val="32"/>
          <w:lang w:val="en-US" w:eastAsia="zh-CN"/>
        </w:rPr>
        <w:t>年初预算数为578.49万元，决算数1830.61万元,完成年初预算的316.45%，决算数与年初预算数存在差异的主要原因是2023年度市管区域公共绿地管养经费未列入年初预算。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8.城乡社区支出（类）城乡社区环境卫生（款）城乡社区环境卫生（项）</w:t>
      </w:r>
      <w:r>
        <w:rPr>
          <w:rFonts w:hint="default" w:ascii="仿宋" w:hAnsi="仿宋" w:eastAsia="仿宋" w:cs="仿宋"/>
          <w:kern w:val="2"/>
          <w:sz w:val="32"/>
          <w:szCs w:val="32"/>
          <w:lang w:val="en-US" w:eastAsia="zh-CN"/>
        </w:rPr>
        <w:t>年初预算数为659.96万元，决算数638.39万元,完成年初预算的96.73%，决算数与年初预算数存在差异的主要原因是个别项目工程款未完全拨付。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年初预算数为48.88万元，决算数42.00万元,完成年初预算的85.92%，决算数与年初预算数存在差异的主要原因是个别在职人员转退休。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1417.88万元。其中：人员经费1369.36万元，主要包括：基本工资、津贴补贴、奖金、绩效工资、机关事业单位基本养老保险缴费、职工基本医疗保险缴费、其他社会保障缴费、住房公积金、其他工资福利支出、退休费、抚恤金、生活补助。公用经费48.52万元，主要包括：办公费、水费、电费、邮电费、取暖费、差旅费、维修（护）费、劳务费、工会经费、福利费、公务用车运行维护费、其他交通费用、其他商品和服务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2023年度“三公”经费财政拨款支出预算为2.88万元，支出决算为2.88万元，完成预算的100.00%。2023年度“三公”经费支出决算数与预算数无差异。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2.88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预算为2.88万元，支出决算为2.88万元，完成预算的100.00%。决算数与预算数无差异。其中：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2.88万元。主要用于用于公务用车燃料费、维修费、过路费、车辆保险费等。2023年期末，单位开支财政拨款的公务用车保有量为</w:t>
      </w:r>
      <w:r>
        <w:rPr>
          <w:rFonts w:hint="eastAsia" w:ascii="仿宋" w:hAnsi="仿宋" w:eastAsia="仿宋" w:cs="仿宋"/>
          <w:kern w:val="2"/>
          <w:sz w:val="32"/>
          <w:szCs w:val="32"/>
          <w:lang w:val="en-US" w:eastAsia="zh-CN"/>
        </w:rPr>
        <w:t>10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425.53万元，其中：政府采购货物支出0.00万元、政府采购工程支出392.81万元、政府采购服务支出32.72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2023年期末，本单位共有车辆10辆，其中：省级领导干部用车0辆、主要领导干部用车0辆、机要通信用车1辆、应急保障车0辆、执法执勤用车0辆、特种专业技术用车0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辆、离退休干部用车0辆、其他用车9辆；单价100万元（含）以上设备（不含车辆）0台（套）。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2269.20万元。自评得分为97.5分，等级为““优””。从单位整体自评情况来看，2023年，我单位扎实开展公共绿地养护管理督导工作，以项目建设为抓手，以巩固提升生态园林城市创建成果为重点，切实履行园林绿化管理职能，预算执行情况、投入管理指标、产出指标、效益指标均圆满达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基于项目预期目标的实现程度，我单位对2023年度单位预算项目支出（含单位参与分配的转移支付项目）开展绩效自评，涉及项目15个，项目金额2329.24万元。其中：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（1）2022年安全隐患排除项目，自评得分为98.50分，等级为“优”，预算执行率100%，项目已按目标实施完成。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（2）2022年第四季度市管区域公共绿地管养经费项目，自评得分为98.43分，自评结果为“优”，预算执行率100%，项目已按目标实施完成。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（3）2022年第三季度市管区域公共绿地管养经费项目，自评得分为99.25分，自评结果为“优”，预算执行率100%，项目已按目标实施完成。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（4）2022年市管区域道路游园提升5个项目前期费用，自评得分为100分，自评结果为“优”，预算执行率100%，项目已按目标实施完成。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（5）2022年市管区域口袋公园建设项目，自评得分为78.50分，自评结果为“良”，预算执行率0%，项目已按目标实施完成，由于中标单位财务原因未提供支付手续，未完成项目款支付。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（6）2022年望田路（毓秀路—文博路）提升项目，自评得分为98.5分，自评结果为“优”，预算执行率100%，项目已按目标实施完成。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（7）2022年新兴路（京广铁路—清潩河）绿化带提升项目，自评得分为98.5分，自评结果为“优”，预算执行率100%，项目已按目标实施完成。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（8）2022年中立交南北游园提升改造项目，自评得分为98.5分，自评结果为“优”，预算执行率100%，项目已按目标实施完成。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（9）2023年文峰路（八一路—许由路）分车绿化带提升改造工程方案规划编制费用项目，自评得分为100分，自评结果为“优”，预算执行率100%，项目已按目标实施完成。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（10）2017年许昌市中心区道路游园广场绿化提升工程（二标）项目，自评得分为99分，自评结果为“优”，预算执行率100%，项目已按目标实施完成。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（11）2017年中心区文峰广场滨河广场应急避险场所设施完善工程（一期）项目，自评得分为99.5分，自评结果为“优”，预算执行率100%，项目已按目标实施完成。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（12）2019年市管区域立体绿化建设和绿满大地项目，自评得分为99分，自评结果为“优”，预算执行率100%，项目已按目标实施完成。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（13）2020年市管区域立体绿化工程项目，自评得分为100分，自评结果为“优”，预算执行率100%，项目已按目标实施完成。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（14）2021年毓秀路综合整治提升工程（园林绿化）20%进度款项目，自评得分为99分，自评结果为“优”，预算执行率100%，项目已按目标实施完成。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2023年市管区域公共绿地管养经费项目，自评得分为92.89分，自评结果为“优”，预算执行率43.92%，项目已按目标实施完成。根据项目实施进度，对2023年第一、第二季度市管区域公共绿地管养经费进行支付，2023年第三、第四季度市管区域公共绿地管养经费2024年度支付。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从项目绩效自评情况来看，15个项目平均绩效自评得分为97.30分，评价等级均为“优”。下一步，我单位将依据项目绩效自评结果，继续认真做好项目管理工作。。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bookmarkEnd w:id="2"/>
    <w:tbl>
      <w:tblPr>
        <w:tblStyle w:val="11"/>
        <w:tblW w:w="9420" w:type="dxa"/>
        <w:tblInd w:w="93" w:type="dxa"/>
        <w:tblLayout w:type="autofit"/>
        <w:tblCellMar>
          <w:top w:w="0" w:type="dxa"/>
          <w:left w:w="108" w:type="dxa"/>
          <w:bottom w:w="0" w:type="dxa"/>
          <w:right w:w="108" w:type="dxa"/>
        </w:tblCellMar>
      </w:tblPr>
      <w:tblGrid>
        <w:gridCol w:w="484"/>
        <w:gridCol w:w="456"/>
        <w:gridCol w:w="1176"/>
        <w:gridCol w:w="1656"/>
        <w:gridCol w:w="1030"/>
        <w:gridCol w:w="1030"/>
        <w:gridCol w:w="1416"/>
        <w:gridCol w:w="696"/>
        <w:gridCol w:w="776"/>
        <w:gridCol w:w="700"/>
      </w:tblGrid>
      <w:tr>
        <w:tblPrEx>
          <w:tblCellMar>
            <w:top w:w="0" w:type="dxa"/>
            <w:left w:w="108" w:type="dxa"/>
            <w:bottom w:w="0" w:type="dxa"/>
            <w:right w:w="108" w:type="dxa"/>
          </w:tblCellMar>
        </w:tblPrEx>
        <w:trPr>
          <w:trHeight w:val="630" w:hRule="atLeast"/>
        </w:trPr>
        <w:tc>
          <w:tcPr>
            <w:tcW w:w="9420" w:type="dxa"/>
            <w:gridSpan w:val="10"/>
            <w:tcBorders>
              <w:top w:val="nil"/>
              <w:left w:val="nil"/>
              <w:bottom w:val="nil"/>
              <w:right w:val="nil"/>
            </w:tcBorders>
            <w:shd w:val="clear" w:color="auto" w:fill="auto"/>
            <w:vAlign w:val="center"/>
          </w:tcPr>
          <w:p>
            <w:pPr>
              <w:pStyle w:val="10"/>
              <w:widowControl/>
              <w:jc w:val="center"/>
              <w:textAlignment w:val="center"/>
              <w:rPr>
                <w:rFonts w:ascii="方正小标宋简体" w:hAnsi="方正小标宋简体" w:eastAsia="方正小标宋简体" w:cs="方正小标宋简体"/>
                <w:color w:val="000000"/>
                <w:sz w:val="48"/>
                <w:szCs w:val="48"/>
              </w:rPr>
            </w:pPr>
            <w:r>
              <w:rPr>
                <w:rFonts w:ascii="方正小标宋简体" w:hAnsi="方正小标宋简体" w:eastAsia="方正小标宋简体" w:cs="方正小标宋简体"/>
                <w:color w:val="000000"/>
                <w:kern w:val="0"/>
                <w:sz w:val="48"/>
                <w:szCs w:val="48"/>
              </w:rPr>
              <w:t>单位整体自评表</w:t>
            </w:r>
          </w:p>
        </w:tc>
      </w:tr>
      <w:tr>
        <w:tblPrEx>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许昌市园林绿化中心</w:t>
            </w:r>
          </w:p>
        </w:tc>
      </w:tr>
      <w:tr>
        <w:tblPrEx>
          <w:tblCellMar>
            <w:top w:w="0" w:type="dxa"/>
            <w:left w:w="108" w:type="dxa"/>
            <w:bottom w:w="0" w:type="dxa"/>
            <w:right w:w="108" w:type="dxa"/>
          </w:tblCellMar>
        </w:tblPrEx>
        <w:trPr>
          <w:trHeight w:val="680" w:hRule="atLeast"/>
        </w:trPr>
        <w:tc>
          <w:tcPr>
            <w:tcW w:w="9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w:t>
            </w:r>
            <w:r>
              <w:br w:type="textWrapping"/>
            </w:r>
            <w:r>
              <w:rPr>
                <w:rFonts w:hint="eastAsia" w:ascii="宋体" w:hAnsi="宋体" w:eastAsia="宋体" w:cs="宋体"/>
                <w:color w:val="000000"/>
                <w:kern w:val="0"/>
                <w:sz w:val="24"/>
              </w:rPr>
              <w:t>算数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w:t>
            </w:r>
            <w:r>
              <w:br w:type="textWrapping"/>
            </w:r>
            <w:r>
              <w:rPr>
                <w:rFonts w:hint="eastAsia" w:ascii="宋体" w:hAnsi="宋体" w:eastAsia="宋体" w:cs="宋体"/>
                <w:color w:val="000000"/>
                <w:kern w:val="0"/>
                <w:sz w:val="24"/>
              </w:rPr>
              <w:t>算数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w:t>
            </w:r>
            <w:r>
              <w:br w:type="textWrapping"/>
            </w:r>
            <w:r>
              <w:rPr>
                <w:rFonts w:hint="eastAsia" w:ascii="宋体" w:hAnsi="宋体" w:eastAsia="宋体" w:cs="宋体"/>
                <w:color w:val="000000"/>
                <w:kern w:val="0"/>
                <w:sz w:val="24"/>
              </w:rPr>
              <w:t>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预算执</w:t>
            </w:r>
            <w:r>
              <w:br w:type="textWrapping"/>
            </w:r>
            <w:r>
              <w:rPr>
                <w:rFonts w:hint="eastAsia" w:ascii="宋体" w:hAnsi="宋体" w:eastAsia="宋体" w:cs="宋体"/>
                <w:color w:val="000000"/>
                <w:kern w:val="0"/>
                <w:sz w:val="24"/>
              </w:rPr>
              <w:t>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48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1703.93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2975.46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2975.46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10 </w:t>
            </w:r>
          </w:p>
        </w:tc>
      </w:tr>
      <w:tr>
        <w:tblPrEx>
          <w:tblCellMar>
            <w:top w:w="0" w:type="dxa"/>
            <w:left w:w="108" w:type="dxa"/>
            <w:bottom w:w="0" w:type="dxa"/>
            <w:right w:w="108" w:type="dxa"/>
          </w:tblCellMar>
        </w:tblPrEx>
        <w:trPr>
          <w:trHeight w:val="48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1703.93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2975.46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2975.46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66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财政专户管理</w:t>
            </w:r>
            <w:r>
              <w:br w:type="textWrapping"/>
            </w:r>
            <w:r>
              <w:rPr>
                <w:rFonts w:hint="eastAsia" w:ascii="宋体" w:hAnsi="宋体" w:eastAsia="宋体" w:cs="宋体"/>
                <w:color w:val="000000"/>
                <w:kern w:val="0"/>
                <w:sz w:val="24"/>
              </w:rPr>
              <w:t>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48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495" w:hRule="atLeast"/>
        </w:trPr>
        <w:tc>
          <w:tcPr>
            <w:tcW w:w="9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年度履职目标</w:t>
            </w:r>
          </w:p>
        </w:tc>
        <w:tc>
          <w:tcPr>
            <w:tcW w:w="4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45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目标名称</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主要内容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目标完成情况</w:t>
            </w:r>
          </w:p>
        </w:tc>
      </w:tr>
      <w:tr>
        <w:tblPrEx>
          <w:tblCellMar>
            <w:top w:w="0" w:type="dxa"/>
            <w:left w:w="108" w:type="dxa"/>
            <w:bottom w:w="0" w:type="dxa"/>
            <w:right w:w="108" w:type="dxa"/>
          </w:tblCellMar>
        </w:tblPrEx>
        <w:trPr>
          <w:trHeight w:val="120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目标1：</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深入贯彻落实习近平新时代中国特色社会主义思想，强化基层党组织政治功能，加强中心党建工作。</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完成。结合“三会一课”、主题党日、政治理论学习，印发党员学习资料每人35套，确保党员每月研读、学习不少于15篇。</w:t>
            </w:r>
          </w:p>
        </w:tc>
      </w:tr>
      <w:tr>
        <w:tblPrEx>
          <w:tblCellMar>
            <w:top w:w="0" w:type="dxa"/>
            <w:left w:w="108" w:type="dxa"/>
            <w:bottom w:w="0" w:type="dxa"/>
            <w:right w:w="108" w:type="dxa"/>
          </w:tblCellMar>
        </w:tblPrEx>
        <w:trPr>
          <w:trHeight w:val="156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目标2：</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强化园林绿化中心的职责功能，担当意识，持续推进城市绿化建设，实现建成区三率指标稳步增长，巩固国家生态园林城市创建成果。</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完成。持续推进城市绿化建设，2023年许昌市中心城区园林绿化项目</w:t>
            </w:r>
            <w:bookmarkStart w:id="0" w:name="OLE_LINK4"/>
            <w:r>
              <w:rPr>
                <w:rFonts w:hint="eastAsia" w:ascii="宋体" w:hAnsi="宋体" w:eastAsia="宋体" w:cs="宋体"/>
                <w:color w:val="000000"/>
                <w:kern w:val="0"/>
                <w:sz w:val="24"/>
              </w:rPr>
              <w:t>共六大类62项，</w:t>
            </w:r>
            <w:bookmarkEnd w:id="0"/>
            <w:r>
              <w:rPr>
                <w:rFonts w:hint="eastAsia" w:ascii="宋体" w:hAnsi="宋体" w:eastAsia="宋体" w:cs="宋体"/>
                <w:color w:val="000000"/>
                <w:kern w:val="0"/>
                <w:sz w:val="24"/>
              </w:rPr>
              <w:t>绿面积861.47亩,绿道长度18.85 公里，立体绿化 10 公里,投资概算12927.6万元。</w:t>
            </w:r>
          </w:p>
        </w:tc>
      </w:tr>
      <w:tr>
        <w:tblPrEx>
          <w:tblCellMar>
            <w:top w:w="0" w:type="dxa"/>
            <w:left w:w="108" w:type="dxa"/>
            <w:bottom w:w="0" w:type="dxa"/>
            <w:right w:w="108" w:type="dxa"/>
          </w:tblCellMar>
        </w:tblPrEx>
        <w:trPr>
          <w:trHeight w:val="128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目标3：</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协助主管部门做好城区园林绿化督导考核工作；对全市园林绿化行业进行监督管理、综合协调、督导考核。</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完成。开展全市园林绿化月导考评工作，全年共考评12次；每季度参加魏都区组织的原市管区域公共绿地综合考评工作，全年共考评4次。</w:t>
            </w:r>
          </w:p>
        </w:tc>
      </w:tr>
      <w:tr>
        <w:tblPrEx>
          <w:tblCellMar>
            <w:top w:w="0" w:type="dxa"/>
            <w:left w:w="108" w:type="dxa"/>
            <w:bottom w:w="0" w:type="dxa"/>
            <w:right w:w="108" w:type="dxa"/>
          </w:tblCellMar>
        </w:tblPrEx>
        <w:trPr>
          <w:trHeight w:val="190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目标4：</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组织开展我市国家（生态）园林城市复检、省级园林乡镇和省、市级园林式单位（小区）申报评审工作。</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完成。印发了《许昌市国家生态园林城市创建指挥部办公室关于申报许昌市园林单位（园林小区）和道路、公园、广场绿化达标的通知》（许创园办〔2023〕2号），完成2023年园林单位、园林小区和道路、公园、广场绿化达标申报验收工作。</w:t>
            </w:r>
          </w:p>
        </w:tc>
      </w:tr>
      <w:tr>
        <w:tblPrEx>
          <w:tblCellMar>
            <w:top w:w="0" w:type="dxa"/>
            <w:left w:w="108" w:type="dxa"/>
            <w:bottom w:w="0" w:type="dxa"/>
            <w:right w:w="108" w:type="dxa"/>
          </w:tblCellMar>
        </w:tblPrEx>
        <w:trPr>
          <w:trHeight w:val="114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目标5：</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负责中心城区内树木的移植、砍伐及临时占用城市绿化用地等事项的初步审核。</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完成。审核长期占用绿地11件，延续绿地占用10件，临时占用绿地13件，房地产景观设计6件。</w:t>
            </w:r>
          </w:p>
        </w:tc>
      </w:tr>
      <w:tr>
        <w:tblPrEx>
          <w:tblCellMar>
            <w:top w:w="0" w:type="dxa"/>
            <w:left w:w="108" w:type="dxa"/>
            <w:bottom w:w="0" w:type="dxa"/>
            <w:right w:w="108" w:type="dxa"/>
          </w:tblCellMar>
        </w:tblPrEx>
        <w:trPr>
          <w:trHeight w:val="480" w:hRule="atLeast"/>
        </w:trPr>
        <w:tc>
          <w:tcPr>
            <w:tcW w:w="9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年度主要任务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任务名称</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主要内容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任务完成情况</w:t>
            </w:r>
          </w:p>
        </w:tc>
      </w:tr>
      <w:tr>
        <w:tblPrEx>
          <w:tblCellMar>
            <w:top w:w="0" w:type="dxa"/>
            <w:left w:w="108" w:type="dxa"/>
            <w:bottom w:w="0" w:type="dxa"/>
            <w:right w:w="108" w:type="dxa"/>
          </w:tblCellMar>
        </w:tblPrEx>
        <w:trPr>
          <w:trHeight w:val="132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任务1：</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组织开展国家（生态）园林城市复检工作</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完成。按照国家（生态）园林城市复检工作要求，认真组织相关部门开展相关资料收集、整理、归档、上报等工作。</w:t>
            </w:r>
          </w:p>
        </w:tc>
      </w:tr>
      <w:tr>
        <w:tblPrEx>
          <w:tblCellMar>
            <w:top w:w="0" w:type="dxa"/>
            <w:left w:w="108" w:type="dxa"/>
            <w:bottom w:w="0" w:type="dxa"/>
            <w:right w:w="108" w:type="dxa"/>
          </w:tblCellMar>
        </w:tblPrEx>
        <w:trPr>
          <w:trHeight w:val="134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任务2：</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组织开展园林绿化达标活动</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完成。2023年11月对审核通过的</w:t>
            </w:r>
            <w:bookmarkStart w:id="1" w:name="OLE_LINK2"/>
            <w:r>
              <w:rPr>
                <w:rFonts w:hint="eastAsia" w:ascii="宋体" w:hAnsi="宋体" w:eastAsia="宋体" w:cs="宋体"/>
                <w:color w:val="000000"/>
                <w:kern w:val="0"/>
                <w:sz w:val="24"/>
              </w:rPr>
              <w:t>市级</w:t>
            </w:r>
            <w:bookmarkEnd w:id="1"/>
            <w:r>
              <w:rPr>
                <w:rFonts w:hint="eastAsia" w:ascii="宋体" w:hAnsi="宋体" w:eastAsia="宋体" w:cs="宋体"/>
                <w:color w:val="000000"/>
                <w:kern w:val="0"/>
                <w:sz w:val="24"/>
              </w:rPr>
              <w:t>12个园林单位、23个园林式小区、2条达标道路、2个达标公园进行命名表彰。省住建厅未开展升级园林达标评审活动。</w:t>
            </w:r>
          </w:p>
        </w:tc>
      </w:tr>
      <w:tr>
        <w:tblPrEx>
          <w:tblCellMar>
            <w:top w:w="0" w:type="dxa"/>
            <w:left w:w="108" w:type="dxa"/>
            <w:bottom w:w="0" w:type="dxa"/>
            <w:right w:w="108" w:type="dxa"/>
          </w:tblCellMar>
        </w:tblPrEx>
        <w:trPr>
          <w:trHeight w:val="174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任务3：</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督导全市园林绿化养护工作，参加魏都区考评市管区域公共绿地管养工作</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完成。认真做好全市园林绿化养护管理督导工作；根据《许昌市城市管理局关于印发许昌市市管区域园林绿化养护管理考评办法(试行）的通知》要求做好市管区域公共绿地管养工作季综评。</w:t>
            </w:r>
          </w:p>
        </w:tc>
      </w:tr>
      <w:tr>
        <w:tblPrEx>
          <w:tblCellMar>
            <w:top w:w="0" w:type="dxa"/>
            <w:left w:w="108" w:type="dxa"/>
            <w:bottom w:w="0" w:type="dxa"/>
            <w:right w:w="108" w:type="dxa"/>
          </w:tblCellMar>
        </w:tblPrEx>
        <w:trPr>
          <w:trHeight w:val="92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任务4：</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督促、协调项目单位按期完成2023年市管区域园林绿化项目建设</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完成。目前2023年62项绿化项目已全部建设完成。</w:t>
            </w:r>
          </w:p>
        </w:tc>
      </w:tr>
      <w:tr>
        <w:tblPrEx>
          <w:tblCellMar>
            <w:top w:w="0" w:type="dxa"/>
            <w:left w:w="108" w:type="dxa"/>
            <w:bottom w:w="0" w:type="dxa"/>
            <w:right w:w="108" w:type="dxa"/>
          </w:tblCellMar>
        </w:tblPrEx>
        <w:trPr>
          <w:trHeight w:val="1700" w:hRule="atLeast"/>
        </w:trPr>
        <w:tc>
          <w:tcPr>
            <w:tcW w:w="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任务5：</w:t>
            </w:r>
          </w:p>
        </w:tc>
        <w:tc>
          <w:tcPr>
            <w:tcW w:w="3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做好人大代表建议、政协委员提案、市政府重要工作事项周交办等的办理</w:t>
            </w:r>
          </w:p>
        </w:tc>
        <w:tc>
          <w:tcPr>
            <w:tcW w:w="3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完成。2023年共承办落实领导批示件、书记市长信箱6件；市政府周交办重要事项26件；人大建议1件；政协提案4件。</w:t>
            </w:r>
          </w:p>
        </w:tc>
      </w:tr>
      <w:tr>
        <w:tblPrEx>
          <w:tblCellMar>
            <w:top w:w="0" w:type="dxa"/>
            <w:left w:w="108" w:type="dxa"/>
            <w:bottom w:w="0" w:type="dxa"/>
            <w:right w:w="108" w:type="dxa"/>
          </w:tblCellMar>
        </w:tblPrEx>
        <w:trPr>
          <w:trHeight w:val="945"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66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投入管理指标</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工作目标管理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年度履职目标相关性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74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工作任务科学性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70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绩效指标合理性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70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预算和财务管理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预算编制完整性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68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专项资金细化率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465"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预算执行率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48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预算调整率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48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结转结余率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825"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“三公经费”控制率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66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政府采购执行率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48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决算真实性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68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资金使用合规性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66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管理制度健全性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74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预决算信息公开性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70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资产管理规范性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7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绩效管理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绩效监控完成率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7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绩效自评完成率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585"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部门绩效评价完成率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7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评价结果应用率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90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产出指标</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25</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重点工作任务完成</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国家（生态）园林城市复检工作计划完成率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150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园林绿化达标活动计划完成率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已上报省住建厅，省住建厅未开展评审工作。</w:t>
            </w:r>
          </w:p>
        </w:tc>
      </w:tr>
      <w:tr>
        <w:tblPrEx>
          <w:tblCellMar>
            <w:top w:w="0" w:type="dxa"/>
            <w:left w:w="108" w:type="dxa"/>
            <w:bottom w:w="0" w:type="dxa"/>
            <w:right w:w="108" w:type="dxa"/>
          </w:tblCellMar>
        </w:tblPrEx>
        <w:trPr>
          <w:trHeight w:val="128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市管区域公共绿地管养监督、考评工作计划完成率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13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2023年市管区域园林绿化项目建设计划完成率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114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人大代表建议、政协委员提案办理完成率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164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产出指标</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25</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履职目标实现</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开展“三会一课”、“主题党日”等党建工作年度目标实现率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120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建成区三率指标稳步增长年度目标实现率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178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对全市园林绿化行业监督管理、综合协调、督导考核年度目标实现率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left"/>
              <w:rPr>
                <w:rFonts w:ascii="宋体" w:hAnsi="宋体" w:eastAsia="宋体" w:cs="宋体"/>
                <w:color w:val="000000"/>
                <w:sz w:val="24"/>
              </w:rPr>
            </w:pPr>
          </w:p>
        </w:tc>
      </w:tr>
      <w:tr>
        <w:tblPrEx>
          <w:tblCellMar>
            <w:top w:w="0" w:type="dxa"/>
            <w:left w:w="108" w:type="dxa"/>
            <w:bottom w:w="0" w:type="dxa"/>
            <w:right w:w="108" w:type="dxa"/>
          </w:tblCellMar>
        </w:tblPrEx>
        <w:trPr>
          <w:trHeight w:val="182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省级园林乡镇和省、市级园林式单位（小区）申报评审年度目标实现率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已上报省住建厅，省住建厅未开展评审工作。</w:t>
            </w:r>
          </w:p>
        </w:tc>
      </w:tr>
      <w:tr>
        <w:tblPrEx>
          <w:tblCellMar>
            <w:top w:w="0" w:type="dxa"/>
            <w:left w:w="108" w:type="dxa"/>
            <w:bottom w:w="0" w:type="dxa"/>
            <w:right w:w="108" w:type="dxa"/>
          </w:tblCellMar>
        </w:tblPrEx>
        <w:trPr>
          <w:trHeight w:val="216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中心城区内树木的移植、砍伐及临时占用城市绿化用地等事项初步审核年度目标实现率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2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效益指标</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履职效益</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公众认可或好评率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559"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职工满意度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ascii="宋体" w:hAnsi="宋体" w:eastAsia="宋体" w:cs="宋体"/>
                <w:color w:val="000000"/>
                <w:sz w:val="24"/>
              </w:rPr>
            </w:pPr>
          </w:p>
        </w:tc>
      </w:tr>
      <w:tr>
        <w:tblPrEx>
          <w:tblCellMar>
            <w:top w:w="0" w:type="dxa"/>
            <w:left w:w="108" w:type="dxa"/>
            <w:bottom w:w="0" w:type="dxa"/>
            <w:right w:w="108" w:type="dxa"/>
          </w:tblCellMar>
        </w:tblPrEx>
        <w:trPr>
          <w:trHeight w:val="66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服务对象满意度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ascii="宋体" w:hAnsi="宋体" w:eastAsia="宋体" w:cs="宋体"/>
                <w:color w:val="000000"/>
                <w:sz w:val="24"/>
              </w:rPr>
            </w:pPr>
          </w:p>
        </w:tc>
      </w:tr>
      <w:tr>
        <w:tblPrEx>
          <w:tblCellMar>
            <w:top w:w="0" w:type="dxa"/>
            <w:left w:w="108" w:type="dxa"/>
            <w:bottom w:w="0" w:type="dxa"/>
            <w:right w:w="108" w:type="dxa"/>
          </w:tblCellMar>
        </w:tblPrEx>
        <w:trPr>
          <w:trHeight w:val="46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97.5</w:t>
            </w:r>
          </w:p>
        </w:tc>
      </w:tr>
    </w:tbl>
    <w:p>
      <w:pPr>
        <w:pStyle w:val="10"/>
        <w:sectPr>
          <w:pgSz w:w="11906" w:h="16838"/>
          <w:pgMar w:top="1440" w:right="1080" w:bottom="1440" w:left="1080" w:header="851" w:footer="992" w:gutter="0"/>
          <w:cols w:space="425" w:num="1"/>
          <w:docGrid w:type="lines" w:linePitch="312" w:charSpace="0"/>
        </w:sectPr>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701"/>
        <w:gridCol w:w="744"/>
        <w:gridCol w:w="2136"/>
        <w:gridCol w:w="1416"/>
        <w:gridCol w:w="2057"/>
        <w:gridCol w:w="1861"/>
        <w:gridCol w:w="1416"/>
        <w:gridCol w:w="1016"/>
        <w:gridCol w:w="936"/>
        <w:gridCol w:w="1891"/>
      </w:tblGrid>
      <w:tr>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Pr>
          <w:p>
            <w:pPr>
              <w:pStyle w:val="10"/>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2022年安全隐患排除项目</w:t>
            </w:r>
          </w:p>
        </w:tc>
      </w:tr>
      <w:tr>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Style w:val="13"/>
                <w:rFonts w:hint="default"/>
              </w:rPr>
              <w:t xml:space="preserve"> </w:t>
            </w:r>
            <w:r>
              <w:rPr>
                <w:rStyle w:val="14"/>
                <w:rFonts w:hint="default"/>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76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00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5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2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8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 xml:space="preserve">1.消除安全隐患，增加人民幸福感； </w:t>
            </w:r>
            <w:r>
              <w:br w:type="textWrapping"/>
            </w:r>
            <w:r>
              <w:rPr>
                <w:rFonts w:hint="eastAsia" w:ascii="宋体" w:hAnsi="宋体" w:eastAsia="宋体" w:cs="宋体"/>
                <w:color w:val="000000"/>
                <w:kern w:val="0"/>
                <w:sz w:val="24"/>
              </w:rPr>
              <w:t>2.完成工程项目验收、工程款支付。</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消除安全隐患，增加人民幸福感；</w:t>
            </w:r>
            <w:r>
              <w:br w:type="textWrapping"/>
            </w:r>
            <w:r>
              <w:rPr>
                <w:rFonts w:hint="eastAsia" w:ascii="宋体" w:hAnsi="宋体" w:eastAsia="宋体" w:cs="宋体"/>
                <w:color w:val="000000"/>
                <w:kern w:val="0"/>
                <w:sz w:val="24"/>
              </w:rPr>
              <w:t>完成安全隐患排除项目的验收、工程款支付等工作。</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项目工程款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=144.189326万元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清除杨树数量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=138株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138株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排除安全隐患地方个数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补植补栽苗木数量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≥1967平方米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1967平方米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工程安全事故发生次数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工程款支付完成时间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=2023年底前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2023年底前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工程完成及时率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提升居民生活环境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养护期内清绿地垃圾时存在不及时情况。持续加强督导。</w:t>
            </w:r>
          </w:p>
        </w:tc>
      </w:tr>
      <w:tr>
        <w:tblPrEx>
          <w:tblCellMar>
            <w:top w:w="0" w:type="dxa"/>
            <w:left w:w="108" w:type="dxa"/>
            <w:bottom w:w="0" w:type="dxa"/>
            <w:right w:w="108" w:type="dxa"/>
          </w:tblCellMar>
        </w:tblPrEx>
        <w:trPr>
          <w:trHeight w:val="47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消除安全隐患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54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增加绿量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美化环境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养护期内清绿地垃圾时存在不及时情况。持续加强督导。</w:t>
            </w:r>
          </w:p>
        </w:tc>
      </w:tr>
      <w:tr>
        <w:tblPrEx>
          <w:tblCellMar>
            <w:top w:w="0" w:type="dxa"/>
            <w:left w:w="108" w:type="dxa"/>
            <w:bottom w:w="0" w:type="dxa"/>
            <w:right w:w="108" w:type="dxa"/>
          </w:tblCellMar>
        </w:tblPrEx>
        <w:trPr>
          <w:trHeight w:val="76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支付企业满意度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481"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bl>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665"/>
        <w:gridCol w:w="965"/>
        <w:gridCol w:w="2390"/>
        <w:gridCol w:w="1585"/>
        <w:gridCol w:w="1761"/>
        <w:gridCol w:w="1733"/>
        <w:gridCol w:w="1417"/>
        <w:gridCol w:w="1017"/>
        <w:gridCol w:w="937"/>
        <w:gridCol w:w="1704"/>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pPr>
              <w:pStyle w:val="10"/>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2022年第四季度市管区域公共绿地管养经费</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w:t>
            </w:r>
            <w:r>
              <w:rPr>
                <w:rStyle w:val="16"/>
                <w:rFonts w:hint="default"/>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305.46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305.46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280.34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91.78 %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9.18</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305.46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305.46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280.34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91.78 %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67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93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2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0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2535" w:hRule="atLeast"/>
        </w:trPr>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1.严格按照《许昌市市管区域园林绿化养护管理考评办法（试行）》，对市管区域园林绿化养护管理进行监管考核，加强日常巡查，定期开展市管区域养护质量考评；</w:t>
            </w:r>
            <w:r>
              <w:br w:type="textWrapping"/>
            </w:r>
            <w:r>
              <w:rPr>
                <w:rFonts w:hint="eastAsia" w:ascii="宋体" w:hAnsi="宋体" w:eastAsia="宋体" w:cs="宋体"/>
                <w:color w:val="000000"/>
                <w:kern w:val="0"/>
                <w:sz w:val="24"/>
              </w:rPr>
              <w:t>2.督促管养单位认真做好日常卫生保洁、绿化植物整形修剪、浇灌、施肥、病虫害防治、缺株断档补植补栽等绿化监管管理工作；</w:t>
            </w:r>
            <w:r>
              <w:br w:type="textWrapping"/>
            </w:r>
            <w:r>
              <w:rPr>
                <w:rFonts w:hint="eastAsia" w:ascii="宋体" w:hAnsi="宋体" w:eastAsia="宋体" w:cs="宋体"/>
                <w:color w:val="000000"/>
                <w:kern w:val="0"/>
                <w:sz w:val="24"/>
              </w:rPr>
              <w:t>3.督促管养单位认真做好所管区域安全、秩序的监督管理及数字城管案件的处理工作；</w:t>
            </w:r>
            <w:r>
              <w:br w:type="textWrapping"/>
            </w:r>
            <w:r>
              <w:rPr>
                <w:rFonts w:hint="eastAsia" w:ascii="宋体" w:hAnsi="宋体" w:eastAsia="宋体" w:cs="宋体"/>
                <w:color w:val="000000"/>
                <w:kern w:val="0"/>
                <w:sz w:val="24"/>
              </w:rPr>
              <w:t>4.完成第四季度养护费支付。</w:t>
            </w:r>
          </w:p>
        </w:tc>
        <w:tc>
          <w:tcPr>
            <w:tcW w:w="0" w:type="auto"/>
            <w:gridSpan w:val="6"/>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坚持对中心区122条道路、14个游园广场精细化养护管理进行月考核、季综评，根据季综评考评得分情况及时申请资金拨付。同时，强化管养经费预算、财务、绩效管理工作，专款专用，圆满完成年度目标工作任务。</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二级养护绿地管养经费标准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一级养护绿地管养经费标准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精细化管养游园广场数量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精细化管养道路数量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精细化管养月考核良好率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养护费支付完成时间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2023年3月底前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管养时间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=3个月</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3个月</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精细化管养水平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14.25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个别绿地精细化管养水平仍需提高。持续加强督导。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公共绿地整洁美化率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市民对养护管理满意度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98.43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jc w:val="center"/>
        <w:rPr>
          <w:rFonts w:ascii="宋体" w:hAnsi="宋体" w:eastAsia="宋体" w:cs="宋体"/>
          <w:color w:val="000000"/>
          <w:kern w:val="0"/>
          <w:sz w:val="40"/>
          <w:szCs w:val="40"/>
        </w:rPr>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665"/>
        <w:gridCol w:w="965"/>
        <w:gridCol w:w="2390"/>
        <w:gridCol w:w="1585"/>
        <w:gridCol w:w="1761"/>
        <w:gridCol w:w="1733"/>
        <w:gridCol w:w="1417"/>
        <w:gridCol w:w="1017"/>
        <w:gridCol w:w="937"/>
        <w:gridCol w:w="1704"/>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pPr>
              <w:pStyle w:val="10"/>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2022年第三季度市管区域公共绿地管养经费</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w:t>
            </w:r>
            <w:r>
              <w:rPr>
                <w:rStyle w:val="16"/>
                <w:rFonts w:hint="default"/>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280.73</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280.73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91.78 %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9.18</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280.73</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280.73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91.78 %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67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93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2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0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2535" w:hRule="atLeast"/>
        </w:trPr>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1.严格按照《许昌市市管区域园林绿化养护管理考评办法（试行）》，对市管区域园林绿化养护管理进行监管考核，加强日常巡查，定期开展市管区域养护质量考评；</w:t>
            </w:r>
            <w:r>
              <w:br w:type="textWrapping"/>
            </w:r>
            <w:r>
              <w:rPr>
                <w:rFonts w:hint="eastAsia" w:ascii="宋体" w:hAnsi="宋体" w:eastAsia="宋体" w:cs="宋体"/>
                <w:color w:val="000000"/>
                <w:kern w:val="0"/>
                <w:sz w:val="24"/>
              </w:rPr>
              <w:t>2.督促管养单位认真做好日常卫生保洁、绿化植物整形修剪、浇灌、施肥、病虫害防治、缺株断档补植补栽等绿化监管管理工作；</w:t>
            </w:r>
            <w:r>
              <w:br w:type="textWrapping"/>
            </w:r>
            <w:r>
              <w:rPr>
                <w:rFonts w:hint="eastAsia" w:ascii="宋体" w:hAnsi="宋体" w:eastAsia="宋体" w:cs="宋体"/>
                <w:color w:val="000000"/>
                <w:kern w:val="0"/>
                <w:sz w:val="24"/>
              </w:rPr>
              <w:t>3.督促管养单位认真做好所管区域安全、秩序的监督管理及数字城管案件的处理工作；</w:t>
            </w:r>
            <w:r>
              <w:br w:type="textWrapping"/>
            </w:r>
            <w:r>
              <w:rPr>
                <w:rFonts w:hint="eastAsia" w:ascii="宋体" w:hAnsi="宋体" w:eastAsia="宋体" w:cs="宋体"/>
                <w:color w:val="000000"/>
                <w:kern w:val="0"/>
                <w:sz w:val="24"/>
              </w:rPr>
              <w:t>4.完成第四季度养护费支付。</w:t>
            </w:r>
          </w:p>
        </w:tc>
        <w:tc>
          <w:tcPr>
            <w:tcW w:w="0" w:type="auto"/>
            <w:gridSpan w:val="6"/>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坚持对中心区122条道路、14个游园广场精细化养护管理进行月考核、季综评，根据季综评考评得分情况及时申请资金拨付。同时，强化管养经费预算、财务、绩效管理工作，专款专用，圆满完成年度目标工作任务。</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二级养护绿地管养经费标准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一级养护绿地管养经费标准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精细化管养游园广场数量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精细化管养道路数量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精细化管养月考核良好率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养护费支付完成时间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2023年3月底前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管养时间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=3个月</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3个月</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精细化管养水平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14.25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个别绿地精细化管养水平仍需提高。持续加强督导。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公共绿地整洁美化率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市民对养护管理满意度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98.43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jc w:val="center"/>
        <w:rPr>
          <w:rFonts w:ascii="宋体" w:hAnsi="宋体" w:eastAsia="宋体" w:cs="宋体"/>
          <w:color w:val="000000"/>
          <w:kern w:val="0"/>
          <w:sz w:val="40"/>
          <w:szCs w:val="40"/>
        </w:rPr>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721"/>
        <w:gridCol w:w="818"/>
        <w:gridCol w:w="2172"/>
        <w:gridCol w:w="1440"/>
        <w:gridCol w:w="2030"/>
        <w:gridCol w:w="2025"/>
        <w:gridCol w:w="1416"/>
        <w:gridCol w:w="1016"/>
        <w:gridCol w:w="936"/>
        <w:gridCol w:w="1600"/>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pPr>
              <w:pStyle w:val="10"/>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2022年市管区域道路游园提升5个项目前期费用</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16.72</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16.72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16.72</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16.72</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1454"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05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3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67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540"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735" w:hRule="atLeast"/>
        </w:trPr>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完成2022年市管区域道路游园提升5个项目前期费用的支付。</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已完成2022年市管区域道路游园提升5个项目前期费用的支付。</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前期费用</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=16.7155万元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16.72万元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前期费用项目个数</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=5个</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5个</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前期工作完成及时率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前期费用支付完成时间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7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提高城市品位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55"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提升居民生活环境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4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≥98%</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98%</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710"/>
        <w:gridCol w:w="758"/>
        <w:gridCol w:w="2136"/>
        <w:gridCol w:w="1416"/>
        <w:gridCol w:w="2018"/>
        <w:gridCol w:w="1920"/>
        <w:gridCol w:w="1416"/>
        <w:gridCol w:w="936"/>
        <w:gridCol w:w="936"/>
        <w:gridCol w:w="1928"/>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pPr>
              <w:pStyle w:val="10"/>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2022年市管区域口袋公园建设项目</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17.51</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17.51</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70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w:t>
            </w:r>
            <w:r>
              <w:br w:type="textWrapping"/>
            </w:r>
            <w:r>
              <w:rPr>
                <w:rFonts w:hint="eastAsia" w:ascii="宋体" w:hAnsi="宋体" w:eastAsia="宋体" w:cs="宋体"/>
                <w:color w:val="000000"/>
                <w:kern w:val="0"/>
                <w:sz w:val="24"/>
              </w:rPr>
              <w:t>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12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82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9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1493" w:hRule="atLeast"/>
        </w:trPr>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1.为广大市民和游人提供更多的休闲场所；</w:t>
            </w:r>
            <w:r>
              <w:br w:type="textWrapping"/>
            </w:r>
            <w:r>
              <w:rPr>
                <w:rFonts w:hint="eastAsia" w:ascii="宋体" w:hAnsi="宋体" w:eastAsia="宋体" w:cs="宋体"/>
                <w:color w:val="000000"/>
                <w:kern w:val="0"/>
                <w:sz w:val="24"/>
              </w:rPr>
              <w:t>2.完成工程项目验收、工程款支付。</w:t>
            </w:r>
          </w:p>
        </w:tc>
        <w:tc>
          <w:tcPr>
            <w:tcW w:w="0" w:type="auto"/>
            <w:gridSpan w:val="6"/>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项目已实施完成，为广大市民和游人提供了更多的休闲场所；完成工程项目验收。由于中标单位财务原因，无法提供支付手续，工程款未支付。</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项目工程款</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=38.357987万元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未完成支付，下一步积极与中标单位对接支付工作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整理绿化用地</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=656.82平方米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656.82平方米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铺种草皮</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=144.7平方米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144.7平方米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工程验收合格率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工程安全事故发生次数</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工程完成及时率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工程款支付完成时间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提升居民生活环境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养护期内清绿地垃圾时存在不及时情况。持续加强督导。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提高城市品位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增加绿量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美化环境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4.5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养护期内绿地垃圾时存在不及时情况。持续加强督导。</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市民满意度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78.50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705"/>
        <w:gridCol w:w="750"/>
        <w:gridCol w:w="2136"/>
        <w:gridCol w:w="1416"/>
        <w:gridCol w:w="1993"/>
        <w:gridCol w:w="1898"/>
        <w:gridCol w:w="1416"/>
        <w:gridCol w:w="1016"/>
        <w:gridCol w:w="936"/>
        <w:gridCol w:w="1908"/>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pPr>
              <w:pStyle w:val="10"/>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2022年望田路（毓秀路—文博路）提升项目</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29.9</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29.9</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29.9</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82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02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82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85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1493" w:hRule="atLeast"/>
        </w:trPr>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1.提高市民生活质量和满足感，提升城市环境水平；</w:t>
            </w:r>
            <w:r>
              <w:br w:type="textWrapping"/>
            </w:r>
            <w:r>
              <w:rPr>
                <w:rFonts w:hint="eastAsia" w:ascii="宋体" w:hAnsi="宋体" w:eastAsia="宋体" w:cs="宋体"/>
                <w:color w:val="000000"/>
                <w:kern w:val="0"/>
                <w:sz w:val="24"/>
              </w:rPr>
              <w:t>2.完成项目验收、工程款支付。</w:t>
            </w:r>
          </w:p>
        </w:tc>
        <w:tc>
          <w:tcPr>
            <w:tcW w:w="0" w:type="auto"/>
            <w:gridSpan w:val="6"/>
            <w:tcBorders>
              <w:top w:val="single" w:color="auto" w:sz="4" w:space="0"/>
              <w:left w:val="nil"/>
              <w:bottom w:val="single" w:color="auto" w:sz="4" w:space="0"/>
              <w:right w:val="single" w:color="auto" w:sz="4" w:space="0"/>
            </w:tcBorders>
            <w:shd w:val="clear" w:color="auto" w:fill="auto"/>
            <w:noWrap/>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提高市民的生活质量和满足感，提升城市环境水平；</w:t>
            </w:r>
            <w:r>
              <w:br w:type="textWrapping"/>
            </w:r>
            <w:r>
              <w:rPr>
                <w:rFonts w:hint="eastAsia" w:ascii="宋体" w:hAnsi="宋体" w:eastAsia="宋体" w:cs="宋体"/>
                <w:color w:val="000000"/>
                <w:kern w:val="0"/>
                <w:sz w:val="24"/>
              </w:rPr>
              <w:t>完成望田路（毓秀路—文博路）提升项目的验收、工程款支付。</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项目工程款</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=65.136844万元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29.90万元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整理绿化用地</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=1005.4平方米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1005.4平方米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起挖柳树</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=92株</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92株</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工程安全事故发生次数</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工程验收合格率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工程款支付完成时间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工程完成及时率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0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提高城市品位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1035"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提升居民生活环境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4.5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养护期内清绿地垃圾时存在不及时情况。持续加强督导。</w:t>
            </w:r>
          </w:p>
        </w:tc>
      </w:tr>
      <w:tr>
        <w:tblPrEx>
          <w:tblCellMar>
            <w:top w:w="0" w:type="dxa"/>
            <w:left w:w="108" w:type="dxa"/>
            <w:bottom w:w="0" w:type="dxa"/>
            <w:right w:w="108" w:type="dxa"/>
          </w:tblCellMar>
        </w:tblPrEx>
        <w:trPr>
          <w:trHeight w:val="1005"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美化环境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养护期内绿地垃圾时存在不及时情况。持续加强督导。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增加绿量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市民满意度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98.50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jc w:val="center"/>
        <w:rPr>
          <w:rFonts w:ascii="宋体" w:hAnsi="宋体" w:eastAsia="宋体" w:cs="宋体"/>
          <w:color w:val="000000"/>
          <w:kern w:val="0"/>
          <w:sz w:val="40"/>
          <w:szCs w:val="40"/>
        </w:rPr>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524"/>
        <w:gridCol w:w="502"/>
        <w:gridCol w:w="1751"/>
        <w:gridCol w:w="1176"/>
        <w:gridCol w:w="2658"/>
        <w:gridCol w:w="2371"/>
        <w:gridCol w:w="1176"/>
        <w:gridCol w:w="856"/>
        <w:gridCol w:w="792"/>
        <w:gridCol w:w="2368"/>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pPr>
              <w:pStyle w:val="10"/>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2022年新兴路（京广铁路—清潩河）绿化带提升项目</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45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52.04</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52.04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40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52.04</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52.04</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76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w:t>
            </w:r>
            <w:r>
              <w:br w:type="textWrapping"/>
            </w:r>
            <w:r>
              <w:rPr>
                <w:rFonts w:hint="eastAsia" w:ascii="宋体" w:hAnsi="宋体" w:eastAsia="宋体" w:cs="宋体"/>
                <w:color w:val="000000"/>
                <w:kern w:val="0"/>
                <w:sz w:val="24"/>
              </w:rPr>
              <w:t>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97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8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5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1493" w:hRule="atLeast"/>
        </w:trPr>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1.增加绿量，美化环境；</w:t>
            </w:r>
            <w:r>
              <w:br w:type="textWrapping"/>
            </w:r>
            <w:r>
              <w:rPr>
                <w:rFonts w:hint="eastAsia" w:ascii="宋体" w:hAnsi="宋体" w:eastAsia="宋体" w:cs="宋体"/>
                <w:color w:val="000000"/>
                <w:kern w:val="0"/>
                <w:sz w:val="24"/>
              </w:rPr>
              <w:t>2.完成工程项目验收、工程款支付。</w:t>
            </w:r>
          </w:p>
        </w:tc>
        <w:tc>
          <w:tcPr>
            <w:tcW w:w="0" w:type="auto"/>
            <w:gridSpan w:val="6"/>
            <w:tcBorders>
              <w:top w:val="single" w:color="auto" w:sz="4" w:space="0"/>
              <w:left w:val="nil"/>
              <w:bottom w:val="single" w:color="auto" w:sz="4" w:space="0"/>
              <w:right w:val="single" w:color="auto" w:sz="4" w:space="0"/>
            </w:tcBorders>
            <w:shd w:val="clear" w:color="auto" w:fill="auto"/>
            <w:noWrap/>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提高市民的生活质量和满足感，提升城市环境水平；完成望田路（毓秀路—文博路）提升项目的验收、工程款支付。</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项目工程款</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=113.513092万元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52.04万元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栽植龙柏数量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=284平方米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284平方米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栽植红叶石楠数量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=2401平方米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2401平方米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栽植法桐数量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=7棵</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7棵</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栽植无刺构骨数量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=838平方米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838平方米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工程验收合格率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工程安全事故发生次数</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工程款支付完成时间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工程完成及时率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提升居民生态环境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养护期内绿地垃圾时存在不及时情况。持续加强督导。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提高城市品位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美化环境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4.5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养护期内绿地垃圾时存在不及时情况。持续加强督导。</w:t>
            </w:r>
          </w:p>
        </w:tc>
      </w:tr>
      <w:tr>
        <w:tblPrEx>
          <w:tblCellMar>
            <w:top w:w="0" w:type="dxa"/>
            <w:left w:w="108" w:type="dxa"/>
            <w:bottom w:w="0" w:type="dxa"/>
            <w:right w:w="108" w:type="dxa"/>
          </w:tblCellMar>
        </w:tblPrEx>
        <w:trPr>
          <w:trHeight w:val="575"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增加绿量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0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90"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市民满意度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28"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98.50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524"/>
        <w:gridCol w:w="502"/>
        <w:gridCol w:w="1751"/>
        <w:gridCol w:w="1176"/>
        <w:gridCol w:w="2644"/>
        <w:gridCol w:w="2359"/>
        <w:gridCol w:w="1176"/>
        <w:gridCol w:w="856"/>
        <w:gridCol w:w="792"/>
        <w:gridCol w:w="2394"/>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pPr>
              <w:pStyle w:val="10"/>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2022年中立交南北游园提升改造项目</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60.33</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60.33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60.33</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60.33</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69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w:t>
            </w:r>
            <w:r>
              <w:br w:type="textWrapping"/>
            </w:r>
            <w:r>
              <w:rPr>
                <w:rFonts w:hint="eastAsia" w:ascii="宋体" w:hAnsi="宋体" w:eastAsia="宋体" w:cs="宋体"/>
                <w:color w:val="000000"/>
                <w:kern w:val="0"/>
                <w:sz w:val="24"/>
              </w:rPr>
              <w:t>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00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6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6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1215" w:hRule="atLeast"/>
        </w:trPr>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1.为广大市民提供安全、整洁、舒适的休闲娱乐场所；</w:t>
            </w:r>
            <w:r>
              <w:br w:type="textWrapping"/>
            </w:r>
            <w:r>
              <w:rPr>
                <w:rFonts w:hint="eastAsia" w:ascii="宋体" w:hAnsi="宋体" w:eastAsia="宋体" w:cs="宋体"/>
                <w:color w:val="000000"/>
                <w:kern w:val="0"/>
                <w:sz w:val="24"/>
              </w:rPr>
              <w:t>2.完成面工程项目验收、工程款支付。</w:t>
            </w:r>
          </w:p>
        </w:tc>
        <w:tc>
          <w:tcPr>
            <w:tcW w:w="0" w:type="auto"/>
            <w:gridSpan w:val="6"/>
            <w:tcBorders>
              <w:top w:val="single" w:color="auto" w:sz="4" w:space="0"/>
              <w:left w:val="nil"/>
              <w:bottom w:val="single" w:color="auto" w:sz="4" w:space="0"/>
              <w:right w:val="single" w:color="000000" w:sz="4" w:space="0"/>
            </w:tcBorders>
            <w:shd w:val="clear" w:color="auto" w:fill="auto"/>
            <w:noWrap/>
          </w:tcPr>
          <w:p>
            <w:pPr>
              <w:pStyle w:val="10"/>
              <w:widowControl/>
              <w:jc w:val="left"/>
              <w:textAlignment w:val="top"/>
              <w:rPr>
                <w:rFonts w:ascii="宋体" w:hAnsi="宋体" w:eastAsia="宋体" w:cs="宋体"/>
                <w:color w:val="000000"/>
                <w:sz w:val="24"/>
              </w:rPr>
            </w:pPr>
            <w:r>
              <w:br w:type="textWrapping"/>
            </w:r>
            <w:r>
              <w:rPr>
                <w:rFonts w:hint="eastAsia" w:ascii="宋体" w:hAnsi="宋体" w:eastAsia="宋体" w:cs="宋体"/>
                <w:color w:val="000000"/>
                <w:kern w:val="0"/>
                <w:sz w:val="24"/>
              </w:rPr>
              <w:t>为广大市民提供安全、整洁、舒适的休闲娱乐场所；完成中立交南北游园提升改造项目的验收、工程款支付等工作。</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项目工程款</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=131.382412万元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60.33万元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99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铺沙盖转</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=306.26平方米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306.26平方米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990"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整理绿化用地</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=2955平方米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2955平方米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工程安全事故发生次数</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工程验收合格率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工程完成及时率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工程款支付完成时间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提升居民生活环境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养护期内清理绿地垃圾存在不及时情况。持续加强督导。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提高城市品位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美化环境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4.5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养护期内清理绿地垃圾存在不及时情况。持续加强督导。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增加绿量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市民满意度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98.50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696"/>
        <w:gridCol w:w="898"/>
        <w:gridCol w:w="2312"/>
        <w:gridCol w:w="1533"/>
        <w:gridCol w:w="1852"/>
        <w:gridCol w:w="1948"/>
        <w:gridCol w:w="1416"/>
        <w:gridCol w:w="1016"/>
        <w:gridCol w:w="936"/>
        <w:gridCol w:w="1567"/>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pPr>
              <w:pStyle w:val="10"/>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2023年文峰路（八一路—许由路）分车绿化带提升改造工程方案规划编制费用</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300"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70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w:t>
            </w:r>
            <w:r>
              <w:br w:type="textWrapping"/>
            </w:r>
            <w:r>
              <w:rPr>
                <w:rFonts w:hint="eastAsia" w:ascii="宋体" w:hAnsi="宋体" w:eastAsia="宋体" w:cs="宋体"/>
                <w:color w:val="000000"/>
                <w:kern w:val="0"/>
                <w:sz w:val="24"/>
              </w:rPr>
              <w:t>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96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66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72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1493" w:hRule="atLeast"/>
        </w:trPr>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1.完成文峰路（八一路—许由路）分车绿带提升改造工程规划方案费用支付；</w:t>
            </w:r>
            <w:r>
              <w:br w:type="textWrapping"/>
            </w:r>
            <w:r>
              <w:rPr>
                <w:rFonts w:hint="eastAsia" w:ascii="宋体" w:hAnsi="宋体" w:eastAsia="宋体" w:cs="宋体"/>
                <w:color w:val="000000"/>
                <w:kern w:val="0"/>
                <w:sz w:val="24"/>
              </w:rPr>
              <w:t>2.解决交通拥堵现象，确保车辆和行人的安全通行，在文峰路通车更加顺畅的同时提升周边环境。</w:t>
            </w:r>
          </w:p>
        </w:tc>
        <w:tc>
          <w:tcPr>
            <w:tcW w:w="0" w:type="auto"/>
            <w:gridSpan w:val="6"/>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完成对文峰路（八一路—许由路）分车绿化带提升改造工程方案规划方案预算费用支付；解决交通拥堵现象、确保车辆和行人的安全通行，在文峰路通车更加顺畅的同时提升周边环境。</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文峰路（八一路-许由路）分车绿带提升改造工程规划方案费用</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=16万元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16万元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31"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分车绿带提升改造道路数量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31"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完成规划成果数量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=1项</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1项</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37"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规划成果合格率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8"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规划费用支付完成时间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=7月底前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7月底前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规划方案完成及时率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消除原行道树安全隐患</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排除</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提升城市品位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提升绿化景观</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有效提升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支付企业满意度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市民满意度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1035"/>
        <w:gridCol w:w="1134"/>
        <w:gridCol w:w="3714"/>
        <w:gridCol w:w="1282"/>
        <w:gridCol w:w="1282"/>
        <w:gridCol w:w="1106"/>
        <w:gridCol w:w="956"/>
        <w:gridCol w:w="905"/>
        <w:gridCol w:w="2731"/>
        <w:gridCol w:w="29"/>
      </w:tblGrid>
      <w:tr>
        <w:tblPrEx>
          <w:tblCellMar>
            <w:top w:w="0" w:type="dxa"/>
            <w:left w:w="108" w:type="dxa"/>
            <w:bottom w:w="0" w:type="dxa"/>
            <w:right w:w="108" w:type="dxa"/>
          </w:tblCellMar>
        </w:tblPrEx>
        <w:trPr>
          <w:gridAfter w:val="1"/>
          <w:wAfter w:w="10" w:type="pct"/>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2017年许昌市中心区道路游园广场绿化提升工程（二标）</w:t>
            </w:r>
          </w:p>
        </w:tc>
      </w:tr>
      <w:tr>
        <w:tblPrEx>
          <w:tblCellMar>
            <w:top w:w="0" w:type="dxa"/>
            <w:left w:w="108" w:type="dxa"/>
            <w:bottom w:w="0" w:type="dxa"/>
            <w:right w:w="108" w:type="dxa"/>
          </w:tblCellMar>
        </w:tblPrEx>
        <w:trPr>
          <w:gridAfter w:val="1"/>
          <w:wAfter w:w="10" w:type="pct"/>
          <w:trHeight w:val="37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主管部门</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许昌市城市管理局</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实施单位</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许昌市园林绿化中心</w:t>
            </w:r>
          </w:p>
        </w:tc>
      </w:tr>
      <w:tr>
        <w:tblPrEx>
          <w:tblCellMar>
            <w:top w:w="0" w:type="dxa"/>
            <w:left w:w="108" w:type="dxa"/>
            <w:bottom w:w="0" w:type="dxa"/>
            <w:right w:w="108" w:type="dxa"/>
          </w:tblCellMar>
        </w:tblPrEx>
        <w:trPr>
          <w:gridAfter w:val="1"/>
          <w:wAfter w:w="10" w:type="pct"/>
          <w:trHeight w:val="63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项目资金</w:t>
            </w:r>
            <w:r>
              <w:br w:type="textWrapping"/>
            </w:r>
            <w:r>
              <w:rPr>
                <w:rFonts w:hint="eastAsia" w:ascii="宋体" w:hAnsi="宋体" w:eastAsia="宋体" w:cs="宋体"/>
                <w:kern w:val="0"/>
                <w:sz w:val="24"/>
              </w:rPr>
              <w:t>（万元）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年初预算数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全年预算数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全年执行数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执行率</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r>
      <w:tr>
        <w:tblPrEx>
          <w:tblCellMar>
            <w:top w:w="0" w:type="dxa"/>
            <w:left w:w="108" w:type="dxa"/>
            <w:bottom w:w="0" w:type="dxa"/>
            <w:right w:w="108" w:type="dxa"/>
          </w:tblCellMar>
        </w:tblPrEx>
        <w:trPr>
          <w:gridAfter w:val="1"/>
          <w:wAfter w:w="10" w:type="pct"/>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年度资金总额</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15.44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15.44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r>
      <w:tr>
        <w:tblPrEx>
          <w:tblCellMar>
            <w:top w:w="0" w:type="dxa"/>
            <w:left w:w="108" w:type="dxa"/>
            <w:bottom w:w="0" w:type="dxa"/>
            <w:right w:w="108" w:type="dxa"/>
          </w:tblCellMar>
        </w:tblPrEx>
        <w:trPr>
          <w:gridAfter w:val="1"/>
          <w:wAfter w:w="10" w:type="pct"/>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财政拨款</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15.44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15.44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gridAfter w:val="1"/>
          <w:wAfter w:w="10" w:type="pct"/>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财政专户管理资金</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gridAfter w:val="1"/>
          <w:wAfter w:w="10" w:type="pct"/>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xml:space="preserve"> 单位资金</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gridAfter w:val="1"/>
          <w:wAfter w:w="10" w:type="pct"/>
          <w:trHeight w:val="480"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资金管理情况</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情况说明</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分值（20）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存在问题和改进措施</w:t>
            </w:r>
          </w:p>
        </w:tc>
      </w:tr>
      <w:tr>
        <w:tblPrEx>
          <w:tblCellMar>
            <w:top w:w="0" w:type="dxa"/>
            <w:left w:w="108" w:type="dxa"/>
            <w:bottom w:w="0" w:type="dxa"/>
            <w:right w:w="108" w:type="dxa"/>
          </w:tblCellMar>
        </w:tblPrEx>
        <w:trPr>
          <w:gridAfter w:val="1"/>
          <w:wAfter w:w="10" w:type="pct"/>
          <w:trHeight w:val="64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安排科学性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按照部门预算编制和资金管理办法的要求，进行项目论证、评审、立项等必要程序。</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gridAfter w:val="1"/>
          <w:wAfter w:w="10" w:type="pct"/>
          <w:trHeight w:val="9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拨付合规性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严格按照国库集中支付制度有关规定支付资金，未出现违规将资金从国库转入财政专户或支付到预算单位实有资金账户等问题。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gridAfter w:val="1"/>
          <w:wAfter w:w="10" w:type="pct"/>
          <w:trHeight w:val="6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使用规范性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严格按照下达预算的科目和项目执行，未出现截留、挤占、挪用和擅自调整等问题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gridAfter w:val="1"/>
          <w:wAfter w:w="10" w:type="pct"/>
          <w:trHeight w:val="58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预算绩效管理情况</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将资金纳入绩效管理，设置绩效目标，开展绩效监控。</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gridAfter w:val="1"/>
          <w:wAfter w:w="10" w:type="pct"/>
          <w:trHeight w:val="37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年度总体目标</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预期目标</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实际完成情况</w:t>
            </w:r>
          </w:p>
        </w:tc>
      </w:tr>
      <w:tr>
        <w:tblPrEx>
          <w:tblCellMar>
            <w:top w:w="0" w:type="dxa"/>
            <w:left w:w="108" w:type="dxa"/>
            <w:bottom w:w="0" w:type="dxa"/>
            <w:right w:w="108" w:type="dxa"/>
          </w:tblCellMar>
        </w:tblPrEx>
        <w:trPr>
          <w:gridAfter w:val="1"/>
          <w:wAfter w:w="10" w:type="pct"/>
          <w:trHeight w:val="1122" w:hRule="atLeast"/>
        </w:trPr>
        <w:tc>
          <w:tcPr>
            <w:vMerge w:val="continue"/>
            <w:tcBorders>
              <w:top w:val="nil"/>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1：为广大市民和游人提供安全整洁、舒适宜人的休闲娱乐场所；</w:t>
            </w:r>
            <w:r>
              <w:br w:type="textWrapping"/>
            </w:r>
            <w:r>
              <w:rPr>
                <w:rFonts w:hint="eastAsia" w:ascii="宋体" w:hAnsi="宋体" w:eastAsia="宋体" w:cs="宋体"/>
                <w:kern w:val="0"/>
                <w:sz w:val="24"/>
              </w:rPr>
              <w:t>2：提高市民的生活质量和满足感，提升城市环境水平；</w:t>
            </w:r>
            <w:r>
              <w:br w:type="textWrapping"/>
            </w:r>
            <w:r>
              <w:rPr>
                <w:rFonts w:hint="eastAsia" w:ascii="宋体" w:hAnsi="宋体" w:eastAsia="宋体" w:cs="宋体"/>
                <w:kern w:val="0"/>
                <w:sz w:val="24"/>
              </w:rPr>
              <w:t>3：完成对绿化项目尾款的支付。</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为广大市民和游人提供安全整洁、舒适宜人的休闲娱乐场所；</w:t>
            </w:r>
            <w:r>
              <w:br w:type="textWrapping"/>
            </w:r>
            <w:r>
              <w:rPr>
                <w:rFonts w:hint="eastAsia" w:ascii="宋体" w:hAnsi="宋体" w:eastAsia="宋体" w:cs="宋体"/>
                <w:kern w:val="0"/>
                <w:sz w:val="24"/>
              </w:rPr>
              <w:t>提高市民的生活质量和满足感，提升城市环境水平；完成对绿化项目尾款的支付。</w:t>
            </w:r>
          </w:p>
        </w:tc>
      </w:tr>
      <w:tr>
        <w:tblPrEx>
          <w:tblCellMar>
            <w:top w:w="0" w:type="dxa"/>
            <w:left w:w="108" w:type="dxa"/>
            <w:bottom w:w="0" w:type="dxa"/>
            <w:right w:w="108" w:type="dxa"/>
          </w:tblCellMar>
        </w:tblPrEx>
        <w:trPr>
          <w:gridAfter w:val="1"/>
          <w:wAfter w:w="10" w:type="pct"/>
          <w:trHeight w:val="660" w:hRule="atLeast"/>
        </w:trPr>
        <w:tc>
          <w:tcPr>
            <w:tcW w:w="0" w:type="auto"/>
            <w:gridSpan w:val="9"/>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绩效指标</w:t>
            </w:r>
          </w:p>
        </w:tc>
      </w:tr>
      <w:tr>
        <w:tblPrEx>
          <w:tblCellMar>
            <w:top w:w="0" w:type="dxa"/>
            <w:left w:w="108" w:type="dxa"/>
            <w:bottom w:w="0" w:type="dxa"/>
            <w:right w:w="108" w:type="dxa"/>
          </w:tblCellMar>
        </w:tblPrEx>
        <w:trPr>
          <w:gridAfter w:val="1"/>
          <w:wAfter w:w="10" w:type="pct"/>
          <w:trHeight w:val="66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一级指标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年度指标值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实际完成值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偏差度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偏差原因分析及改进措施</w:t>
            </w:r>
          </w:p>
        </w:tc>
      </w:tr>
      <w:tr>
        <w:tblPrEx>
          <w:tblCellMar>
            <w:top w:w="0" w:type="dxa"/>
            <w:left w:w="108" w:type="dxa"/>
            <w:bottom w:w="0" w:type="dxa"/>
            <w:right w:w="108" w:type="dxa"/>
          </w:tblCellMar>
        </w:tblPrEx>
        <w:trPr>
          <w:gridAfter w:val="1"/>
          <w:wAfter w:w="10" w:type="pct"/>
          <w:trHeight w:val="66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指标1：2017年许昌市中心区道路游园广场绿化提升工程二标尾款</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15.44万元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15.44万元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0" w:type="pct"/>
          <w:trHeight w:val="51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r>
              <w:br w:type="textWrapping"/>
            </w:r>
          </w:p>
        </w:tc>
        <w:tc>
          <w:tcPr>
            <w:tcW w:w="0" w:type="auto"/>
            <w:vMerge w:val="restart"/>
            <w:tcBorders>
              <w:top w:val="nil"/>
              <w:left w:val="single" w:color="auto" w:sz="4" w:space="0"/>
              <w:bottom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指标1：绿化道路</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31条</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31条</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0" w:type="pct"/>
          <w:trHeight w:val="405"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指标1：绿化游园广场</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6个</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6个</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0" w:type="pct"/>
          <w:trHeight w:val="660"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指标1：工程质量验收合格率</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gridAfter w:val="1"/>
          <w:wAfter w:w="10" w:type="pct"/>
          <w:trHeight w:val="660"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指标1：工程完成及时率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　</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gridAfter w:val="1"/>
          <w:wAfter w:w="10" w:type="pct"/>
          <w:trHeight w:val="773"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nil"/>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指标2：尾款支付完成时间</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gridAfter w:val="1"/>
          <w:wAfter w:w="10" w:type="pct"/>
          <w:trHeight w:val="66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指标1：公园广场成为市民休闲健身的乐园</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gridAfter w:val="1"/>
          <w:wAfter w:w="10" w:type="pct"/>
          <w:trHeight w:val="705"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nil"/>
              <w:left w:val="single" w:color="auto" w:sz="4" w:space="0"/>
              <w:bottom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指标1：保护环境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-10.00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kern w:val="0"/>
                <w:sz w:val="24"/>
              </w:rPr>
            </w:pPr>
            <w:r>
              <w:rPr>
                <w:rFonts w:hint="eastAsia" w:ascii="宋体" w:hAnsi="宋体" w:eastAsia="宋体" w:cs="宋体"/>
                <w:kern w:val="0"/>
                <w:sz w:val="24"/>
              </w:rPr>
              <w:t>养护期内清理绿地垃圾时存在不及时情况。持续加强督导。</w:t>
            </w:r>
          </w:p>
        </w:tc>
      </w:tr>
      <w:tr>
        <w:tblPrEx>
          <w:tblCellMar>
            <w:top w:w="0" w:type="dxa"/>
            <w:left w:w="108" w:type="dxa"/>
            <w:bottom w:w="0" w:type="dxa"/>
            <w:right w:w="108" w:type="dxa"/>
          </w:tblCellMar>
        </w:tblPrEx>
        <w:trPr>
          <w:gridAfter w:val="1"/>
          <w:wAfter w:w="10" w:type="pct"/>
          <w:trHeight w:val="660"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指标2：美化市容</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82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r>
              <w:br w:type="textWrapping"/>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指标1：市民满意度</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867"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指标2：支付企业满意度</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gridAfter w:val="1"/>
          <w:wAfter w:w="10" w:type="pct"/>
          <w:trHeight w:val="726"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99.00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bl>
    <w:p>
      <w:pPr>
        <w:pStyle w:val="10"/>
      </w:pPr>
    </w:p>
    <w:p>
      <w:pPr>
        <w:pStyle w:val="10"/>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1004"/>
        <w:gridCol w:w="1072"/>
        <w:gridCol w:w="2830"/>
        <w:gridCol w:w="2079"/>
        <w:gridCol w:w="2079"/>
        <w:gridCol w:w="1090"/>
        <w:gridCol w:w="956"/>
        <w:gridCol w:w="903"/>
        <w:gridCol w:w="2161"/>
      </w:tblGrid>
      <w:tr>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2017年中心区文峰广场滨河广场应急避险场所设施完善工程（一期）</w:t>
            </w:r>
          </w:p>
        </w:tc>
      </w:tr>
      <w:tr>
        <w:tblPrEx>
          <w:tblCellMar>
            <w:top w:w="0" w:type="dxa"/>
            <w:left w:w="108" w:type="dxa"/>
            <w:bottom w:w="0" w:type="dxa"/>
            <w:right w:w="108" w:type="dxa"/>
          </w:tblCellMar>
        </w:tblPrEx>
        <w:trPr>
          <w:trHeight w:val="37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主管部门</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许昌市城市管理局</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实施单位</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许昌市园林绿化中心</w:t>
            </w:r>
          </w:p>
        </w:tc>
      </w:tr>
      <w:tr>
        <w:tblPrEx>
          <w:tblCellMar>
            <w:top w:w="0" w:type="dxa"/>
            <w:left w:w="108" w:type="dxa"/>
            <w:bottom w:w="0" w:type="dxa"/>
            <w:right w:w="108" w:type="dxa"/>
          </w:tblCellMar>
        </w:tblPrEx>
        <w:trPr>
          <w:trHeight w:val="63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项目资金</w:t>
            </w:r>
            <w:r>
              <w:br w:type="textWrapping"/>
            </w:r>
            <w:r>
              <w:rPr>
                <w:rFonts w:hint="eastAsia" w:ascii="宋体" w:hAnsi="宋体" w:eastAsia="宋体" w:cs="宋体"/>
                <w:kern w:val="0"/>
                <w:sz w:val="24"/>
              </w:rPr>
              <w:t>（万元）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年初预算数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全年预算数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全年执行数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执行率</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年度资金总额</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9.</w:t>
            </w:r>
            <w:r>
              <w:rPr>
                <w:rFonts w:hint="eastAsia" w:ascii="宋体" w:hAnsi="宋体" w:eastAsia="宋体" w:cs="宋体"/>
                <w:kern w:val="0"/>
                <w:sz w:val="24"/>
              </w:rPr>
              <w:t>14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9.</w:t>
            </w:r>
            <w:r>
              <w:rPr>
                <w:rFonts w:hint="eastAsia" w:ascii="宋体" w:hAnsi="宋体" w:eastAsia="宋体" w:cs="宋体"/>
                <w:kern w:val="0"/>
                <w:sz w:val="24"/>
              </w:rPr>
              <w:t>14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财政拨款</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9.</w:t>
            </w:r>
            <w:r>
              <w:rPr>
                <w:rFonts w:hint="eastAsia" w:ascii="宋体" w:hAnsi="宋体" w:eastAsia="宋体" w:cs="宋体"/>
                <w:kern w:val="0"/>
                <w:sz w:val="24"/>
              </w:rPr>
              <w:t>14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9.</w:t>
            </w:r>
            <w:r>
              <w:rPr>
                <w:rFonts w:hint="eastAsia" w:ascii="宋体" w:hAnsi="宋体" w:eastAsia="宋体" w:cs="宋体"/>
                <w:kern w:val="0"/>
                <w:sz w:val="24"/>
              </w:rPr>
              <w:t>14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397"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财政专户管理资金</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xml:space="preserve"> 单位资金</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480"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资金管理情况</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情况说明</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分值（20）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存在问题和改进措施</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安排科学性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按照部门预算编制和资金管理办法的要求，进行项目论证、评审、立项等必要程序。</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9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拨付合规性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严格按照国库集中支付制度有关规定支付资金，未出现违规将资金从国库转入财政专户或支付到预算单位实有资金账户等问题。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6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使用规范性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严格按照下达预算的科目和项目执行，未出现截留、挤占、挪用和擅自调整等问题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58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预算绩效管理情况</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将资金纳入绩效管理，设置绩效目标，开展绩效监控。</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37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年度总体目标</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预期目标</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实际完成情况</w:t>
            </w:r>
          </w:p>
        </w:tc>
      </w:tr>
      <w:tr>
        <w:tblPrEx>
          <w:tblCellMar>
            <w:top w:w="0" w:type="dxa"/>
            <w:left w:w="108" w:type="dxa"/>
            <w:bottom w:w="0" w:type="dxa"/>
            <w:right w:w="108" w:type="dxa"/>
          </w:tblCellMar>
        </w:tblPrEx>
        <w:trPr>
          <w:trHeight w:val="1122" w:hRule="atLeast"/>
        </w:trPr>
        <w:tc>
          <w:tcPr>
            <w:vMerge w:val="continue"/>
            <w:tcBorders>
              <w:top w:val="nil"/>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完成绿化工程项目尾款支付。</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完成绿化工程项目尾款支付。</w:t>
            </w:r>
          </w:p>
        </w:tc>
      </w:tr>
      <w:tr>
        <w:tblPrEx>
          <w:tblCellMar>
            <w:top w:w="0" w:type="dxa"/>
            <w:left w:w="108" w:type="dxa"/>
            <w:bottom w:w="0" w:type="dxa"/>
            <w:right w:w="108" w:type="dxa"/>
          </w:tblCellMar>
        </w:tblPrEx>
        <w:trPr>
          <w:trHeight w:val="660" w:hRule="atLeast"/>
        </w:trPr>
        <w:tc>
          <w:tcPr>
            <w:tcW w:w="0" w:type="auto"/>
            <w:gridSpan w:val="9"/>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绩效指标</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一级指标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年度指标值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实际完成值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偏差度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偏差原因分析及改进措施</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指标1：中心区文峰广场滨河广场应急避险场所设施完善工程一期尾款</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9.14万元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9.14万元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r>
              <w:br w:type="textWrapping"/>
            </w:r>
          </w:p>
        </w:tc>
        <w:tc>
          <w:tcPr>
            <w:tcW w:w="0" w:type="auto"/>
            <w:vMerge w:val="restart"/>
            <w:tcBorders>
              <w:top w:val="nil"/>
              <w:left w:val="single" w:color="auto" w:sz="4" w:space="0"/>
              <w:bottom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指标1：应急避险场所设施完善</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2个</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2个</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vMerge w:val="continue"/>
            <w:tcBorders>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vMerge w:val="continue"/>
            <w:tcBorders>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指标2：水龙头</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24个</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24个</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510" w:hRule="atLeast"/>
        </w:trPr>
        <w:tc>
          <w:tcPr>
            <w:vMerge w:val="continue"/>
            <w:tcBorders>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vMerge w:val="continue"/>
            <w:tcBorders>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指标3：应急供水车停车场</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72平方米</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72平方米</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405"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指标4：设置各类标识牌</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51个</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51个</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指标1：工程质保期绿化有效管护率</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kern w:val="0"/>
                <w:sz w:val="24"/>
              </w:rPr>
              <w:t>90%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4.5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sz w:val="24"/>
              </w:rPr>
              <w:t>清理绿地垃圾存在不及时情况。持续加强督导。</w:t>
            </w: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left w:val="nil"/>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指标2：工程质保期安全事故发生次数</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0次</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0次</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指标3：工程设施完善合格率</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801"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指标1：工程质保期任务完成率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　</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73"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nil"/>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指标2：尾款支付完成时间</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指标1：应急救援处置能力和群众自救能力</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05"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nil"/>
              <w:left w:val="single" w:color="auto" w:sz="4" w:space="0"/>
              <w:bottom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指标1：城市综合避险能力</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8</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8</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指标2：保障生态文明建设能力</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8</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8</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r>
              <w:br w:type="textWrapping"/>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指标1：市民满意度</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指标2：支付企业满意度</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39"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99.50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bl>
    <w:p>
      <w:pPr>
        <w:pStyle w:val="10"/>
      </w:pPr>
    </w:p>
    <w:p>
      <w:pPr>
        <w:pStyle w:val="10"/>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930"/>
        <w:gridCol w:w="924"/>
        <w:gridCol w:w="2611"/>
        <w:gridCol w:w="1764"/>
        <w:gridCol w:w="2179"/>
        <w:gridCol w:w="1174"/>
        <w:gridCol w:w="1038"/>
        <w:gridCol w:w="980"/>
        <w:gridCol w:w="2574"/>
      </w:tblGrid>
      <w:tr>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2019年市管区域立体绿化建设和绿满大地项目</w:t>
            </w:r>
          </w:p>
        </w:tc>
      </w:tr>
      <w:tr>
        <w:tblPrEx>
          <w:tblCellMar>
            <w:top w:w="0" w:type="dxa"/>
            <w:left w:w="108" w:type="dxa"/>
            <w:bottom w:w="0" w:type="dxa"/>
            <w:right w:w="108" w:type="dxa"/>
          </w:tblCellMar>
        </w:tblPrEx>
        <w:trPr>
          <w:trHeight w:val="37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主管部门</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许昌市城市管理局</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实施单位</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许昌市园林绿化中心</w:t>
            </w:r>
          </w:p>
        </w:tc>
      </w:tr>
      <w:tr>
        <w:tblPrEx>
          <w:tblCellMar>
            <w:top w:w="0" w:type="dxa"/>
            <w:left w:w="108" w:type="dxa"/>
            <w:bottom w:w="0" w:type="dxa"/>
            <w:right w:w="108" w:type="dxa"/>
          </w:tblCellMar>
        </w:tblPrEx>
        <w:trPr>
          <w:trHeight w:val="63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项目资金</w:t>
            </w:r>
            <w:r>
              <w:br w:type="textWrapping"/>
            </w:r>
            <w:r>
              <w:rPr>
                <w:rFonts w:hint="eastAsia" w:ascii="宋体" w:hAnsi="宋体" w:eastAsia="宋体" w:cs="宋体"/>
                <w:kern w:val="0"/>
                <w:sz w:val="24"/>
              </w:rPr>
              <w:t>（万元）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年初预算数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全年预算数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全年执行数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执行率</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年度资金总额</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53.57</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53.57</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财政拨款</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53.57</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53.57</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397"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财政专户管理资金</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37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xml:space="preserve"> 单位资金</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480"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资金管理情况</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情况说明</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分值（20）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存在问题和改进措施</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安排科学性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按照部门预算编制和资金管理办法的要求，进行项目论证、评审、立项等必要程序。</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9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拨付合规性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严格按照国库集中支付制度有关规定支付资金，未出现违规将资金从国库转入财政专户或支付到预算单位实有资金账户等问题。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6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使用规范性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严格按照下达预算的科目和项目执行，未出现截留、挤占、挪用和擅自调整等问题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58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预算绩效管理情况</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将资金纳入绩效管理，设置绩效目标，开展绩效监控。</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37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年度总体目标</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预期目标</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实际完成情况</w:t>
            </w:r>
          </w:p>
        </w:tc>
      </w:tr>
      <w:tr>
        <w:tblPrEx>
          <w:tblCellMar>
            <w:top w:w="0" w:type="dxa"/>
            <w:left w:w="108" w:type="dxa"/>
            <w:bottom w:w="0" w:type="dxa"/>
            <w:right w:w="108" w:type="dxa"/>
          </w:tblCellMar>
        </w:tblPrEx>
        <w:trPr>
          <w:trHeight w:val="1122" w:hRule="atLeast"/>
        </w:trPr>
        <w:tc>
          <w:tcPr>
            <w:vMerge w:val="continue"/>
            <w:tcBorders>
              <w:top w:val="nil"/>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kern w:val="0"/>
                <w:sz w:val="24"/>
              </w:rPr>
            </w:pPr>
            <w:r>
              <w:rPr>
                <w:rFonts w:hint="eastAsia" w:ascii="宋体" w:hAnsi="宋体" w:eastAsia="宋体" w:cs="宋体"/>
                <w:kern w:val="0"/>
                <w:sz w:val="24"/>
              </w:rPr>
              <w:t>目标1：完成屋顶绿化、墙体绿化、清潩河游园黄土裸露治理；</w:t>
            </w:r>
          </w:p>
          <w:p>
            <w:pPr>
              <w:pStyle w:val="10"/>
              <w:widowControl/>
              <w:jc w:val="left"/>
              <w:textAlignment w:val="center"/>
              <w:rPr>
                <w:rFonts w:ascii="宋体" w:hAnsi="宋体" w:eastAsia="宋体" w:cs="宋体"/>
                <w:kern w:val="0"/>
                <w:sz w:val="24"/>
              </w:rPr>
            </w:pPr>
            <w:r>
              <w:rPr>
                <w:rFonts w:hint="eastAsia" w:ascii="宋体" w:hAnsi="宋体" w:eastAsia="宋体" w:cs="宋体"/>
                <w:kern w:val="0"/>
                <w:sz w:val="24"/>
              </w:rPr>
              <w:t>目标2：改善空气质量，缓解热岛效应，增加城市绿量，提高城市居民生活环境；</w:t>
            </w:r>
          </w:p>
          <w:p>
            <w:pPr>
              <w:pStyle w:val="10"/>
              <w:widowControl/>
              <w:jc w:val="left"/>
              <w:textAlignment w:val="center"/>
              <w:rPr>
                <w:rFonts w:ascii="宋体" w:hAnsi="宋体" w:eastAsia="宋体" w:cs="宋体"/>
                <w:sz w:val="24"/>
              </w:rPr>
            </w:pPr>
            <w:r>
              <w:rPr>
                <w:rFonts w:hint="eastAsia" w:ascii="宋体" w:hAnsi="宋体" w:eastAsia="宋体" w:cs="宋体"/>
                <w:kern w:val="0"/>
                <w:sz w:val="24"/>
              </w:rPr>
              <w:t>目标3：市管区域立体绿化建设和绿满大地项目尾款支付。</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完成屋顶绿化、墙体绿化、清潩河游园黄土裸露治理；改善空气质量，缓解热岛效应，增加城市绿量，提高城市居民生活环境；完成市管区域立体绿化建设和绿满大地项目尾款支付。</w:t>
            </w:r>
          </w:p>
        </w:tc>
      </w:tr>
      <w:tr>
        <w:tblPrEx>
          <w:tblCellMar>
            <w:top w:w="0" w:type="dxa"/>
            <w:left w:w="108" w:type="dxa"/>
            <w:bottom w:w="0" w:type="dxa"/>
            <w:right w:w="108" w:type="dxa"/>
          </w:tblCellMar>
        </w:tblPrEx>
        <w:trPr>
          <w:trHeight w:val="660" w:hRule="atLeast"/>
        </w:trPr>
        <w:tc>
          <w:tcPr>
            <w:tcW w:w="0" w:type="auto"/>
            <w:gridSpan w:val="9"/>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绩效指标</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一级指标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年度指标值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实际完成值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偏差度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偏差原因分析及改进措施</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指标1：立体绿化建设和绿满大地项目尾款</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53.57万元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53.57万元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r>
              <w:br w:type="textWrapping"/>
            </w:r>
          </w:p>
        </w:tc>
        <w:tc>
          <w:tcPr>
            <w:tcW w:w="0" w:type="auto"/>
            <w:vMerge w:val="restart"/>
            <w:tcBorders>
              <w:top w:val="nil"/>
              <w:left w:val="single" w:color="auto" w:sz="4" w:space="0"/>
              <w:bottom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指标1：湖滨桥、新兴路桥、许由路桥、劳动路、新兴路、清潩河墙体绿化数量</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6处</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6处</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vMerge w:val="continue"/>
            <w:tcBorders>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vMerge w:val="continue"/>
            <w:tcBorders>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指标2：八一路、新兴路、许由路、七一路、劳动路等道路绿化数量</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22条</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22条</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510" w:hRule="atLeast"/>
        </w:trPr>
        <w:tc>
          <w:tcPr>
            <w:vMerge w:val="continue"/>
            <w:tcBorders>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vMerge w:val="continue"/>
            <w:tcBorders>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指标3：蝴蝶广场、中立交游园、南熏园等游园广场绿化数量</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6个</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6个</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指标1：工程质保期绿化有效管护率</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4</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4</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left w:val="nil"/>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指标2：工程质保期安全事故发生次数</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0次</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0次</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指标3：工程绿化面积合格率</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801"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指标1：工程质保期任务完成率工程尾款支付完成时间</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　</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73"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nil"/>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指标2：工程尾款支付完成时间</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指标1：质保期绿化带动就业人数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20人</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20人</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05"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nil"/>
              <w:left w:val="single" w:color="auto" w:sz="4" w:space="0"/>
              <w:bottom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指标1：改善城市空间环境和整体形象</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-10.00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kern w:val="0"/>
                <w:sz w:val="24"/>
              </w:rPr>
            </w:pPr>
            <w:r>
              <w:rPr>
                <w:rFonts w:hint="eastAsia" w:ascii="宋体" w:hAnsi="宋体" w:eastAsia="宋体" w:cs="宋体"/>
                <w:kern w:val="0"/>
                <w:sz w:val="24"/>
              </w:rPr>
              <w:t>养护期内清绿地垃圾时存在不及时情况。持续加强督导。</w:t>
            </w: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指标2：保障生态文明建设能力</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r>
              <w:br w:type="textWrapping"/>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指标1：市民满意度</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指标2：支付企业满意度</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39"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99.00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bl>
    <w:p>
      <w:pPr>
        <w:pStyle w:val="10"/>
      </w:pPr>
    </w:p>
    <w:p>
      <w:pPr>
        <w:pStyle w:val="10"/>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1128"/>
        <w:gridCol w:w="1319"/>
        <w:gridCol w:w="2113"/>
        <w:gridCol w:w="2600"/>
        <w:gridCol w:w="2600"/>
        <w:gridCol w:w="1152"/>
        <w:gridCol w:w="956"/>
        <w:gridCol w:w="771"/>
        <w:gridCol w:w="1535"/>
      </w:tblGrid>
      <w:tr>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2020年市管区域立体绿化工程</w:t>
            </w:r>
          </w:p>
        </w:tc>
      </w:tr>
      <w:tr>
        <w:tblPrEx>
          <w:tblCellMar>
            <w:top w:w="0" w:type="dxa"/>
            <w:left w:w="108" w:type="dxa"/>
            <w:bottom w:w="0" w:type="dxa"/>
            <w:right w:w="108" w:type="dxa"/>
          </w:tblCellMar>
        </w:tblPrEx>
        <w:trPr>
          <w:trHeight w:val="37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主管部门</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许昌市城市管理局</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实施单位</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许昌市园林绿化中心</w:t>
            </w:r>
          </w:p>
        </w:tc>
      </w:tr>
      <w:tr>
        <w:tblPrEx>
          <w:tblCellMar>
            <w:top w:w="0" w:type="dxa"/>
            <w:left w:w="108" w:type="dxa"/>
            <w:bottom w:w="0" w:type="dxa"/>
            <w:right w:w="108" w:type="dxa"/>
          </w:tblCellMar>
        </w:tblPrEx>
        <w:trPr>
          <w:trHeight w:val="63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项目资金</w:t>
            </w:r>
            <w:r>
              <w:br w:type="textWrapping"/>
            </w:r>
            <w:r>
              <w:rPr>
                <w:rFonts w:hint="eastAsia" w:ascii="宋体" w:hAnsi="宋体" w:eastAsia="宋体" w:cs="宋体"/>
                <w:kern w:val="0"/>
                <w:sz w:val="24"/>
              </w:rPr>
              <w:t>（万元）</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年初预算数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全年预算数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全年执行数</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执行率</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r>
      <w:tr>
        <w:tblPrEx>
          <w:tblCellMar>
            <w:top w:w="0" w:type="dxa"/>
            <w:left w:w="108" w:type="dxa"/>
            <w:bottom w:w="0" w:type="dxa"/>
            <w:right w:w="108" w:type="dxa"/>
          </w:tblCellMar>
        </w:tblPrEx>
        <w:trPr>
          <w:trHeight w:val="52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年度资金总额</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55.02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55.02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r>
      <w:tr>
        <w:tblPrEx>
          <w:tblCellMar>
            <w:top w:w="0" w:type="dxa"/>
            <w:left w:w="108" w:type="dxa"/>
            <w:bottom w:w="0" w:type="dxa"/>
            <w:right w:w="108" w:type="dxa"/>
          </w:tblCellMar>
        </w:tblPrEx>
        <w:trPr>
          <w:trHeight w:val="510"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财政拨款</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55.02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55.02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52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财政专户管理资金</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529"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xml:space="preserve"> 单位资金</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CellMar>
            <w:top w:w="0" w:type="dxa"/>
            <w:left w:w="108" w:type="dxa"/>
            <w:bottom w:w="0" w:type="dxa"/>
            <w:right w:w="108" w:type="dxa"/>
          </w:tblCellMar>
        </w:tblPrEx>
        <w:trPr>
          <w:trHeight w:val="480"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资金管理情况</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情况说明</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分值（20）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存在问题和改进措施</w:t>
            </w:r>
          </w:p>
        </w:tc>
      </w:tr>
      <w:tr>
        <w:tblPrEx>
          <w:tblCellMar>
            <w:top w:w="0" w:type="dxa"/>
            <w:left w:w="108" w:type="dxa"/>
            <w:bottom w:w="0" w:type="dxa"/>
            <w:right w:w="108" w:type="dxa"/>
          </w:tblCellMar>
        </w:tblPrEx>
        <w:trPr>
          <w:trHeight w:val="64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安排科学性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按照部门预算编制和资金管理办法的要求，进行项目论证、评审、立项等必要程序。</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91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拨付合规性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严格按照国库集中支付制度有关规定支付资金，未出现违规将资金从国库转入财政专户或支付到预算单位实有资金账户等问题。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793"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使用规范性</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严格按照下达预算的科目和项目执行，未出现截留、挤占、挪用和擅自调整等问题。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585"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预算绩效管理情况</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将资金纳入绩效管理，设置绩效目标，开展绩效监控。</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CellMar>
            <w:top w:w="0" w:type="dxa"/>
            <w:left w:w="108" w:type="dxa"/>
            <w:bottom w:w="0" w:type="dxa"/>
            <w:right w:w="108" w:type="dxa"/>
          </w:tblCellMar>
        </w:tblPrEx>
        <w:trPr>
          <w:trHeight w:val="52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年度总体目标</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预期目标</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实际完成情况</w:t>
            </w:r>
          </w:p>
        </w:tc>
      </w:tr>
      <w:tr>
        <w:tblPrEx>
          <w:tblCellMar>
            <w:top w:w="0" w:type="dxa"/>
            <w:left w:w="108" w:type="dxa"/>
            <w:bottom w:w="0" w:type="dxa"/>
            <w:right w:w="108" w:type="dxa"/>
          </w:tblCellMar>
        </w:tblPrEx>
        <w:trPr>
          <w:trHeight w:val="1122" w:hRule="atLeast"/>
        </w:trPr>
        <w:tc>
          <w:tcPr>
            <w:vMerge w:val="continue"/>
            <w:tcBorders>
              <w:top w:val="nil"/>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kern w:val="0"/>
                <w:sz w:val="24"/>
              </w:rPr>
            </w:pPr>
            <w:r>
              <w:rPr>
                <w:rFonts w:hint="eastAsia" w:ascii="宋体" w:hAnsi="宋体" w:eastAsia="宋体" w:cs="宋体"/>
                <w:kern w:val="0"/>
                <w:sz w:val="24"/>
              </w:rPr>
              <w:t>目标1：增加绿量，美化环境；</w:t>
            </w:r>
          </w:p>
          <w:p>
            <w:pPr>
              <w:pStyle w:val="10"/>
              <w:widowControl/>
              <w:jc w:val="left"/>
              <w:textAlignment w:val="center"/>
              <w:rPr>
                <w:rFonts w:ascii="宋体" w:hAnsi="宋体" w:eastAsia="宋体" w:cs="宋体"/>
                <w:sz w:val="24"/>
              </w:rPr>
            </w:pPr>
            <w:r>
              <w:rPr>
                <w:rFonts w:hint="eastAsia" w:ascii="宋体" w:hAnsi="宋体" w:eastAsia="宋体" w:cs="宋体"/>
                <w:kern w:val="0"/>
                <w:sz w:val="24"/>
              </w:rPr>
              <w:t>目标2：完成市管区域立体绿化项目工程尾款支付。</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增加绿量，美化环境；完成市管区域立体绿化项目工程尾款支付。</w:t>
            </w:r>
          </w:p>
        </w:tc>
      </w:tr>
      <w:tr>
        <w:tblPrEx>
          <w:tblCellMar>
            <w:top w:w="0" w:type="dxa"/>
            <w:left w:w="108" w:type="dxa"/>
            <w:bottom w:w="0" w:type="dxa"/>
            <w:right w:w="108" w:type="dxa"/>
          </w:tblCellMar>
        </w:tblPrEx>
        <w:trPr>
          <w:trHeight w:val="660" w:hRule="atLeast"/>
        </w:trPr>
        <w:tc>
          <w:tcPr>
            <w:tcW w:w="0" w:type="auto"/>
            <w:gridSpan w:val="9"/>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绩效指标</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一级指标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年度指标值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实际完成值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偏差度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偏差原因分析及改进措施</w:t>
            </w:r>
          </w:p>
        </w:tc>
      </w:tr>
      <w:tr>
        <w:tblPrEx>
          <w:tblCellMar>
            <w:top w:w="0" w:type="dxa"/>
            <w:left w:w="108" w:type="dxa"/>
            <w:bottom w:w="0" w:type="dxa"/>
            <w:right w:w="108" w:type="dxa"/>
          </w:tblCellMar>
        </w:tblPrEx>
        <w:trPr>
          <w:trHeight w:val="66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指标1：市管区域立体绿化工程尾款</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55.02万元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55.02万元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1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r>
              <w:br w:type="textWrapping"/>
            </w:r>
          </w:p>
        </w:tc>
        <w:tc>
          <w:tcPr>
            <w:tcW w:w="0" w:type="auto"/>
            <w:tcBorders>
              <w:top w:val="nil"/>
              <w:left w:val="single" w:color="auto" w:sz="4" w:space="0"/>
              <w:bottom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指标1：实施立体绿化地方数量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76"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指标1：工程安全事故发生次数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kern w:val="0"/>
                <w:sz w:val="24"/>
              </w:rPr>
              <w:t>0次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14"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指标2：工程验收合格率指标</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24"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指标1：工程完成及时率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　</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42"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nil"/>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指标2：尾款支付完成时间</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tcBorders>
              <w:top w:val="nil"/>
              <w:left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指标1：改善生态环境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改善</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改善</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vMerge w:val="continue"/>
            <w:tcBorders>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 xml:space="preserve">指标2：提升城市品味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提升</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6</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6</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705" w:hRule="atLeast"/>
        </w:trPr>
        <w:tc>
          <w:tcPr>
            <w:vMerge w:val="continue"/>
            <w:tcBorders>
              <w:left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nil"/>
              <w:left w:val="single" w:color="auto" w:sz="4" w:space="0"/>
              <w:bottom w:val="nil"/>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指标1：增加绿量</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nil"/>
              <w:left w:val="single" w:color="auto" w:sz="4" w:space="0"/>
              <w:bottom w:val="nil"/>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指标2：美化环境</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有效改善</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7</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7</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kern w:val="0"/>
                <w:sz w:val="24"/>
              </w:rPr>
            </w:pPr>
          </w:p>
        </w:tc>
      </w:tr>
      <w:tr>
        <w:tblPrEx>
          <w:tblCellMar>
            <w:top w:w="0" w:type="dxa"/>
            <w:left w:w="108" w:type="dxa"/>
            <w:bottom w:w="0" w:type="dxa"/>
            <w:right w:w="108" w:type="dxa"/>
          </w:tblCellMar>
        </w:tblPrEx>
        <w:trPr>
          <w:trHeight w:val="660" w:hRule="atLeast"/>
        </w:trPr>
        <w:tc>
          <w:tcPr>
            <w:tcW w:w="0" w:type="auto"/>
            <w:vMerge w:val="restart"/>
            <w:tcBorders>
              <w:top w:val="nil"/>
              <w:left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r>
              <w:br w:type="textWrapping"/>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指标1：市民满意度</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60" w:hRule="atLeast"/>
        </w:trPr>
        <w:tc>
          <w:tcPr>
            <w:vMerge w:val="continue"/>
            <w:tcBorders>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指标2：支付企业满意度</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539"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kern w:val="0"/>
                <w:sz w:val="24"/>
              </w:rPr>
            </w:pPr>
          </w:p>
        </w:tc>
      </w:tr>
    </w:tbl>
    <w:p>
      <w:pPr>
        <w:pStyle w:val="10"/>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014"/>
        <w:gridCol w:w="2724"/>
        <w:gridCol w:w="1955"/>
        <w:gridCol w:w="2062"/>
        <w:gridCol w:w="1107"/>
        <w:gridCol w:w="977"/>
        <w:gridCol w:w="923"/>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项目名称</w:t>
            </w:r>
          </w:p>
        </w:tc>
        <w:tc>
          <w:tcPr>
            <w:tcW w:w="0" w:type="auto"/>
            <w:gridSpan w:val="8"/>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2021年毓秀路综合整治提升工程（园林绿化）项目20%进度款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主管部门</w:t>
            </w:r>
          </w:p>
        </w:tc>
        <w:tc>
          <w:tcPr>
            <w:tcW w:w="0" w:type="auto"/>
            <w:gridSpan w:val="3"/>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许昌市城市管理局</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实施单位</w:t>
            </w:r>
          </w:p>
        </w:tc>
        <w:tc>
          <w:tcPr>
            <w:tcW w:w="0" w:type="auto"/>
            <w:gridSpan w:val="4"/>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许昌市园林绿化中心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项目资金</w:t>
            </w:r>
            <w:r>
              <w:br w:type="textWrapping"/>
            </w:r>
            <w:r>
              <w:rPr>
                <w:rFonts w:hint="eastAsia" w:ascii="宋体" w:hAnsi="宋体" w:eastAsia="宋体" w:cs="宋体"/>
                <w:kern w:val="0"/>
                <w:sz w:val="24"/>
              </w:rPr>
              <w:t>（万元）</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年初预算数</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全年预算数</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全年执行数</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执行率</w:t>
            </w:r>
          </w:p>
        </w:tc>
        <w:tc>
          <w:tcPr>
            <w:tcW w:w="0" w:type="auto"/>
            <w:gridSpan w:val="2"/>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年度资金总额</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51.22</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51.22</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财政拨款</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51.22</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51.22</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gridSpan w:val="2"/>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财政专户管理资金</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xml:space="preserve"> 单位资金</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　</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color w:val="000000"/>
                <w:kern w:val="0"/>
                <w:sz w:val="24"/>
              </w:rPr>
              <w:t>0.00%</w:t>
            </w:r>
            <w:r>
              <w:rPr>
                <w:rFonts w:hint="eastAsia" w:ascii="宋体" w:hAnsi="宋体" w:eastAsia="宋体" w:cs="宋体"/>
                <w:kern w:val="0"/>
                <w:sz w:val="24"/>
              </w:rPr>
              <w:t>　</w:t>
            </w:r>
          </w:p>
        </w:tc>
        <w:tc>
          <w:tcPr>
            <w:tcW w:w="0" w:type="auto"/>
            <w:gridSpan w:val="2"/>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资金管理情况</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gridSpan w:val="3"/>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情况说明</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分值（20）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gridSpan w:val="2"/>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安排科学性</w:t>
            </w:r>
          </w:p>
        </w:tc>
        <w:tc>
          <w:tcPr>
            <w:tcW w:w="0" w:type="auto"/>
            <w:gridSpan w:val="3"/>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按照部门预算编制和资金管理办法的要求，进行项目论证、评审、立项等必要程序。</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拨付合规性</w:t>
            </w:r>
          </w:p>
        </w:tc>
        <w:tc>
          <w:tcPr>
            <w:tcW w:w="0" w:type="auto"/>
            <w:gridSpan w:val="3"/>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严格按照国库集中支付制度有关规定支付资金，未出现违规将资金从国库转入财政专户或支付到预算单位实有资金账户等问题。</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使用规范性</w:t>
            </w:r>
          </w:p>
        </w:tc>
        <w:tc>
          <w:tcPr>
            <w:tcW w:w="0" w:type="auto"/>
            <w:gridSpan w:val="3"/>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严格按照下达预算的科目和项目执行，未出现截留、挤占、挪用和擅自调整等问题。</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预算绩效管理情况</w:t>
            </w:r>
          </w:p>
        </w:tc>
        <w:tc>
          <w:tcPr>
            <w:tcW w:w="0" w:type="auto"/>
            <w:gridSpan w:val="3"/>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将资金纳入绩效管理，设置绩效目标，开展绩效监控。</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gridSpan w:val="2"/>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年度总体目标</w:t>
            </w:r>
          </w:p>
        </w:tc>
        <w:tc>
          <w:tcPr>
            <w:tcW w:w="0" w:type="auto"/>
            <w:gridSpan w:val="3"/>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预期目标</w:t>
            </w:r>
          </w:p>
        </w:tc>
        <w:tc>
          <w:tcPr>
            <w:tcW w:w="0" w:type="auto"/>
            <w:gridSpan w:val="5"/>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vMerge w:val="continue"/>
            <w:shd w:val="clear" w:color="auto" w:fill="auto"/>
            <w:vAlign w:val="center"/>
          </w:tcPr>
          <w:p>
            <w:pPr>
              <w:pStyle w:val="10"/>
              <w:jc w:val="center"/>
              <w:rPr>
                <w:rFonts w:ascii="宋体" w:hAnsi="宋体" w:eastAsia="宋体" w:cs="宋体"/>
                <w:sz w:val="24"/>
              </w:rPr>
            </w:pPr>
          </w:p>
        </w:tc>
        <w:tc>
          <w:tcPr>
            <w:tcW w:w="0" w:type="auto"/>
            <w:gridSpan w:val="3"/>
            <w:shd w:val="clear" w:color="auto" w:fill="auto"/>
            <w:vAlign w:val="center"/>
          </w:tcPr>
          <w:p>
            <w:pPr>
              <w:pStyle w:val="10"/>
              <w:widowControl/>
              <w:jc w:val="left"/>
              <w:textAlignment w:val="center"/>
              <w:rPr>
                <w:rFonts w:ascii="宋体" w:hAnsi="宋体" w:eastAsia="宋体" w:cs="宋体"/>
                <w:kern w:val="0"/>
                <w:sz w:val="24"/>
              </w:rPr>
            </w:pPr>
            <w:r>
              <w:rPr>
                <w:rFonts w:hint="eastAsia" w:ascii="宋体" w:hAnsi="宋体" w:eastAsia="宋体" w:cs="宋体"/>
                <w:kern w:val="0"/>
                <w:sz w:val="24"/>
              </w:rPr>
              <w:t>目标1：通过改造，实现道路面貌有大变化，新提升，努力打造为老城区的示范街；</w:t>
            </w:r>
          </w:p>
          <w:p>
            <w:pPr>
              <w:pStyle w:val="10"/>
              <w:widowControl/>
              <w:jc w:val="left"/>
              <w:textAlignment w:val="center"/>
              <w:rPr>
                <w:rFonts w:ascii="宋体" w:hAnsi="宋体" w:eastAsia="宋体" w:cs="宋体"/>
                <w:sz w:val="24"/>
              </w:rPr>
            </w:pPr>
            <w:r>
              <w:rPr>
                <w:rFonts w:hint="eastAsia" w:ascii="宋体" w:hAnsi="宋体" w:eastAsia="宋体" w:cs="宋体"/>
                <w:kern w:val="0"/>
                <w:sz w:val="24"/>
              </w:rPr>
              <w:t>目标2：完成2021年毓秀路综合整治提升工程（园林绿化）项目进度款支付。</w:t>
            </w:r>
          </w:p>
        </w:tc>
        <w:tc>
          <w:tcPr>
            <w:tcW w:w="0" w:type="auto"/>
            <w:gridSpan w:val="5"/>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完成改造，实现道路面貌有大变化，新提升，努力打造为老城区的示范街；完成2021年毓秀路综合整治提升工程（园林绿化）项目进度款支付。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gridSpan w:val="9"/>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一级指标</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年度指标值</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实际完成值</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分值</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得分</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偏差度</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指标1：2021年毓秀路综合整治提升工程（园林绿化）项目20%进度款</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51.22万元</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51.22万元</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r>
              <w:br w:type="textWrapping"/>
            </w:r>
          </w:p>
        </w:tc>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指标1：栽植法桐数量</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292棵</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292棵</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vMerge w:val="continue"/>
            <w:shd w:val="clear" w:color="auto" w:fill="auto"/>
            <w:vAlign w:val="center"/>
          </w:tcPr>
          <w:p>
            <w:pPr>
              <w:pStyle w:val="10"/>
              <w:widowControl/>
              <w:jc w:val="center"/>
              <w:textAlignment w:val="center"/>
              <w:rPr>
                <w:rFonts w:ascii="宋体" w:hAnsi="宋体" w:eastAsia="宋体" w:cs="宋体"/>
                <w:kern w:val="0"/>
                <w:sz w:val="24"/>
              </w:rPr>
            </w:pPr>
          </w:p>
        </w:tc>
        <w:tc>
          <w:tcPr>
            <w:vMerge w:val="continue"/>
            <w:shd w:val="clear" w:color="auto" w:fill="auto"/>
            <w:vAlign w:val="center"/>
          </w:tcPr>
          <w:p>
            <w:pPr>
              <w:pStyle w:val="10"/>
              <w:widowControl/>
              <w:jc w:val="center"/>
              <w:textAlignment w:val="center"/>
              <w:rPr>
                <w:rFonts w:ascii="宋体" w:hAnsi="宋体" w:eastAsia="宋体" w:cs="宋体"/>
                <w:kern w:val="0"/>
                <w:sz w:val="24"/>
              </w:rPr>
            </w:pPr>
          </w:p>
        </w:tc>
        <w:tc>
          <w:tcPr>
            <w:tcW w:w="0" w:type="auto"/>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  栽植红叶石楠数量</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3643平方米</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3643平方米</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vMerge w:val="continue"/>
            <w:shd w:val="clear" w:color="auto" w:fill="auto"/>
            <w:vAlign w:val="center"/>
          </w:tcPr>
          <w:p>
            <w:pPr>
              <w:pStyle w:val="10"/>
              <w:jc w:val="center"/>
              <w:rPr>
                <w:rFonts w:ascii="宋体" w:hAnsi="宋体" w:eastAsia="宋体" w:cs="宋体"/>
                <w:sz w:val="24"/>
              </w:rPr>
            </w:pPr>
          </w:p>
        </w:tc>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指标1：工程安全事故发生次数</w:t>
            </w:r>
          </w:p>
        </w:tc>
        <w:tc>
          <w:tcPr>
            <w:tcW w:w="0" w:type="auto"/>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0次</w:t>
            </w:r>
          </w:p>
        </w:tc>
        <w:tc>
          <w:tcPr>
            <w:tcW w:w="0" w:type="auto"/>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0次</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vMerge w:val="continue"/>
            <w:shd w:val="clear" w:color="auto" w:fill="auto"/>
            <w:vAlign w:val="center"/>
          </w:tcPr>
          <w:p>
            <w:pPr>
              <w:pStyle w:val="10"/>
              <w:jc w:val="center"/>
              <w:rPr>
                <w:rFonts w:ascii="宋体" w:hAnsi="宋体" w:eastAsia="宋体" w:cs="宋体"/>
                <w:sz w:val="24"/>
              </w:rPr>
            </w:pPr>
          </w:p>
        </w:tc>
        <w:tc>
          <w:tcPr>
            <w:vMerge w:val="continue"/>
            <w:shd w:val="clear" w:color="auto" w:fill="auto"/>
            <w:vAlign w:val="center"/>
          </w:tcPr>
          <w:p>
            <w:pPr>
              <w:pStyle w:val="10"/>
              <w:widowControl/>
              <w:jc w:val="center"/>
              <w:textAlignment w:val="center"/>
              <w:rPr>
                <w:rFonts w:ascii="宋体" w:hAnsi="宋体" w:eastAsia="宋体" w:cs="宋体"/>
                <w:kern w:val="0"/>
                <w:sz w:val="24"/>
              </w:rPr>
            </w:pPr>
          </w:p>
        </w:tc>
        <w:tc>
          <w:tcPr>
            <w:tcW w:w="0" w:type="auto"/>
            <w:shd w:val="clear" w:color="auto" w:fill="auto"/>
            <w:vAlign w:val="center"/>
          </w:tcPr>
          <w:p>
            <w:pPr>
              <w:pStyle w:val="10"/>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指标2：工程验收合格率</w:t>
            </w:r>
          </w:p>
        </w:tc>
        <w:tc>
          <w:tcPr>
            <w:tcW w:w="0" w:type="auto"/>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shd w:val="clear" w:color="auto" w:fill="auto"/>
            <w:noWrap/>
            <w:vAlign w:val="center"/>
          </w:tcPr>
          <w:p>
            <w:pPr>
              <w:pStyle w:val="10"/>
              <w:widowControl/>
              <w:jc w:val="center"/>
              <w:textAlignment w:val="center"/>
              <w:rPr>
                <w:rFonts w:ascii="宋体" w:hAnsi="宋体" w:eastAsia="宋体" w:cs="宋体"/>
                <w:color w:val="000000"/>
                <w:kern w:val="0"/>
                <w:sz w:val="24"/>
              </w:rPr>
            </w:pPr>
            <w:r>
              <w:rPr>
                <w:rFonts w:hint="eastAsia" w:ascii="宋体" w:hAnsi="宋体" w:eastAsia="宋体" w:cs="宋体"/>
                <w:kern w:val="0"/>
                <w:sz w:val="24"/>
              </w:rPr>
              <w:t>100%</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vMerge w:val="continue"/>
            <w:shd w:val="clear" w:color="auto" w:fill="auto"/>
            <w:vAlign w:val="center"/>
          </w:tcPr>
          <w:p>
            <w:pPr>
              <w:pStyle w:val="10"/>
              <w:jc w:val="center"/>
              <w:rPr>
                <w:rFonts w:ascii="宋体" w:hAnsi="宋体" w:eastAsia="宋体" w:cs="宋体"/>
                <w:sz w:val="24"/>
              </w:rPr>
            </w:pPr>
          </w:p>
        </w:tc>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指标1：工程完成及时率</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　</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vMerge w:val="continue"/>
            <w:shd w:val="clear" w:color="auto" w:fill="auto"/>
            <w:vAlign w:val="center"/>
          </w:tcPr>
          <w:p>
            <w:pPr>
              <w:pStyle w:val="10"/>
              <w:jc w:val="center"/>
              <w:rPr>
                <w:rFonts w:ascii="宋体" w:hAnsi="宋体" w:eastAsia="宋体" w:cs="宋体"/>
                <w:sz w:val="24"/>
              </w:rPr>
            </w:pPr>
          </w:p>
        </w:tc>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指标2：20%进度款支付完成时间</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2023年年底前</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指标1：增强市民爱绿护绿意识</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提升</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指标1：提高生态环境质量</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sz w:val="24"/>
              </w:rPr>
              <w:t>-10.00</w:t>
            </w:r>
          </w:p>
        </w:tc>
        <w:tc>
          <w:tcPr>
            <w:tcW w:w="0" w:type="auto"/>
            <w:shd w:val="clear" w:color="auto" w:fill="auto"/>
            <w:vAlign w:val="center"/>
          </w:tcPr>
          <w:p>
            <w:pPr>
              <w:pStyle w:val="10"/>
              <w:widowControl/>
              <w:jc w:val="left"/>
              <w:textAlignment w:val="center"/>
              <w:rPr>
                <w:rFonts w:ascii="宋体" w:hAnsi="宋体" w:eastAsia="宋体" w:cs="宋体"/>
                <w:kern w:val="0"/>
                <w:sz w:val="24"/>
              </w:rPr>
            </w:pPr>
            <w:r>
              <w:rPr>
                <w:rFonts w:hint="eastAsia" w:ascii="宋体" w:hAnsi="宋体" w:eastAsia="宋体" w:cs="宋体"/>
                <w:kern w:val="0"/>
                <w:sz w:val="24"/>
              </w:rPr>
              <w:t>养护期内清绿地垃圾时存在不及时情况。持续加强督导。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r>
              <w:br w:type="textWrapping"/>
            </w:r>
          </w:p>
        </w:tc>
        <w:tc>
          <w:tcPr>
            <w:tcW w:w="0" w:type="auto"/>
            <w:vMerge w:val="restart"/>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指标1：市民满意度</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3</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vMerge w:val="continue"/>
            <w:shd w:val="clear" w:color="auto" w:fill="auto"/>
            <w:vAlign w:val="center"/>
          </w:tcPr>
          <w:p>
            <w:pPr>
              <w:pStyle w:val="10"/>
              <w:jc w:val="center"/>
              <w:rPr>
                <w:rFonts w:ascii="宋体" w:hAnsi="宋体" w:eastAsia="宋体" w:cs="宋体"/>
                <w:sz w:val="24"/>
              </w:rPr>
            </w:pPr>
          </w:p>
        </w:tc>
        <w:tc>
          <w:tcPr>
            <w:vMerge w:val="continue"/>
            <w:shd w:val="clear" w:color="auto" w:fill="auto"/>
            <w:vAlign w:val="center"/>
          </w:tcPr>
          <w:p>
            <w:pPr>
              <w:pStyle w:val="10"/>
              <w:jc w:val="center"/>
              <w:rPr>
                <w:rFonts w:ascii="宋体" w:hAnsi="宋体" w:eastAsia="宋体" w:cs="宋体"/>
                <w:sz w:val="24"/>
              </w:rPr>
            </w:pPr>
          </w:p>
        </w:tc>
        <w:tc>
          <w:tcPr>
            <w:tcW w:w="0" w:type="auto"/>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指标2：支付企业满意度</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≧95%</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r>
              <w:rPr>
                <w:rFonts w:hint="eastAsia" w:ascii="宋体" w:hAnsi="宋体" w:eastAsia="宋体" w:cs="宋体"/>
                <w:kern w:val="0"/>
                <w:sz w:val="24"/>
              </w:rPr>
              <w:t>0.00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gridSpan w:val="5"/>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总分</w:t>
            </w:r>
          </w:p>
        </w:tc>
        <w:tc>
          <w:tcPr>
            <w:tcW w:w="0" w:type="auto"/>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0" w:type="auto"/>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100.00</w:t>
            </w:r>
          </w:p>
        </w:tc>
        <w:tc>
          <w:tcPr>
            <w:tcW w:w="0" w:type="auto"/>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shd w:val="clear" w:color="auto" w:fill="auto"/>
            <w:vAlign w:val="center"/>
          </w:tcPr>
          <w:p>
            <w:pPr>
              <w:pStyle w:val="10"/>
              <w:widowControl/>
              <w:jc w:val="center"/>
              <w:textAlignment w:val="center"/>
              <w:rPr>
                <w:rFonts w:ascii="宋体" w:hAnsi="宋体" w:eastAsia="宋体" w:cs="宋体"/>
                <w:kern w:val="0"/>
                <w:sz w:val="24"/>
              </w:rPr>
            </w:pPr>
          </w:p>
        </w:tc>
      </w:tr>
    </w:tbl>
    <w:p>
      <w:pPr>
        <w:pStyle w:val="10"/>
      </w:pPr>
    </w:p>
    <w:p>
      <w:pPr>
        <w:pStyle w:val="10"/>
      </w:pPr>
    </w:p>
    <w:p>
      <w:pPr>
        <w:pStyle w:val="10"/>
        <w:jc w:val="center"/>
      </w:pPr>
      <w:r>
        <w:rPr>
          <w:rFonts w:hint="eastAsia" w:ascii="宋体" w:hAnsi="宋体" w:eastAsia="宋体" w:cs="宋体"/>
          <w:color w:val="000000"/>
          <w:kern w:val="0"/>
          <w:sz w:val="40"/>
          <w:szCs w:val="40"/>
        </w:rPr>
        <w:t>项目单位自评表</w:t>
      </w:r>
    </w:p>
    <w:tbl>
      <w:tblPr>
        <w:tblStyle w:val="11"/>
        <w:tblW w:w="5000" w:type="pct"/>
        <w:tblInd w:w="0" w:type="dxa"/>
        <w:tblLayout w:type="autofit"/>
        <w:tblCellMar>
          <w:top w:w="0" w:type="dxa"/>
          <w:left w:w="108" w:type="dxa"/>
          <w:bottom w:w="0" w:type="dxa"/>
          <w:right w:w="108" w:type="dxa"/>
        </w:tblCellMar>
      </w:tblPr>
      <w:tblGrid>
        <w:gridCol w:w="668"/>
        <w:gridCol w:w="981"/>
        <w:gridCol w:w="2400"/>
        <w:gridCol w:w="1591"/>
        <w:gridCol w:w="1754"/>
        <w:gridCol w:w="1754"/>
        <w:gridCol w:w="1416"/>
        <w:gridCol w:w="936"/>
        <w:gridCol w:w="936"/>
        <w:gridCol w:w="1738"/>
      </w:tblGrid>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pPr>
              <w:pStyle w:val="10"/>
              <w:widowControl/>
              <w:jc w:val="center"/>
              <w:textAlignment w:val="top"/>
              <w:rPr>
                <w:rFonts w:ascii="宋体" w:hAnsi="宋体" w:eastAsia="宋体" w:cs="宋体"/>
                <w:color w:val="000000"/>
                <w:sz w:val="24"/>
              </w:rPr>
            </w:pPr>
            <w:r>
              <w:rPr>
                <w:rFonts w:hint="eastAsia" w:ascii="宋体" w:hAnsi="宋体" w:eastAsia="宋体" w:cs="宋体"/>
                <w:color w:val="000000"/>
                <w:kern w:val="0"/>
                <w:sz w:val="24"/>
              </w:rPr>
              <w:t>2023年市管区域公共绿地管养经费</w:t>
            </w:r>
          </w:p>
        </w:tc>
      </w:tr>
      <w:tr>
        <w:tblPrEx>
          <w:tblCellMar>
            <w:top w:w="0" w:type="dxa"/>
            <w:left w:w="108" w:type="dxa"/>
            <w:bottom w:w="0" w:type="dxa"/>
            <w:right w:w="108" w:type="dxa"/>
          </w:tblCellMar>
        </w:tblPrEx>
        <w:trPr>
          <w:trHeight w:val="28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许昌市城市管理局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许昌市园林绿化中心</w:t>
            </w:r>
          </w:p>
        </w:tc>
      </w:tr>
      <w:tr>
        <w:tblPrEx>
          <w:tblCellMar>
            <w:top w:w="0" w:type="dxa"/>
            <w:left w:w="108" w:type="dxa"/>
            <w:bottom w:w="0" w:type="dxa"/>
            <w:right w:w="108" w:type="dxa"/>
          </w:tblCellMar>
        </w:tblPrEx>
        <w:trPr>
          <w:trHeight w:val="28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r>
      <w:tr>
        <w:tblPrEx>
          <w:tblCellMar>
            <w:top w:w="0" w:type="dxa"/>
            <w:left w:w="108" w:type="dxa"/>
            <w:bottom w:w="0" w:type="dxa"/>
            <w:right w:w="108" w:type="dxa"/>
          </w:tblCellMar>
        </w:tblPrEx>
        <w:trPr>
          <w:trHeight w:val="31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w:t>
            </w:r>
            <w:r>
              <w:rPr>
                <w:rStyle w:val="16"/>
                <w:rFonts w:hint="default"/>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570.98</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570.98</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10.00</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570.98</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570.98</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285"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518"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r>
      <w:tr>
        <w:tblPrEx>
          <w:tblCellMar>
            <w:top w:w="0" w:type="dxa"/>
            <w:left w:w="108" w:type="dxa"/>
            <w:bottom w:w="0" w:type="dxa"/>
            <w:right w:w="108" w:type="dxa"/>
          </w:tblCellMar>
        </w:tblPrEx>
        <w:trPr>
          <w:trHeight w:val="575" w:hRule="atLeast"/>
        </w:trPr>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分值（20）</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存在问题和改进措施</w:t>
            </w:r>
          </w:p>
        </w:tc>
      </w:tr>
      <w:tr>
        <w:tblPrEx>
          <w:tblCellMar>
            <w:top w:w="0" w:type="dxa"/>
            <w:left w:w="108" w:type="dxa"/>
            <w:bottom w:w="0" w:type="dxa"/>
            <w:right w:w="108" w:type="dxa"/>
          </w:tblCellMar>
        </w:tblPrEx>
        <w:trPr>
          <w:trHeight w:val="1454"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930"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566"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1067" w:hRule="atLeast"/>
        </w:trPr>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pStyle w:val="10"/>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nil"/>
              <w:left w:val="nil"/>
              <w:bottom w:val="single" w:color="auto" w:sz="4" w:space="0"/>
              <w:right w:val="single" w:color="auto"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无</w:t>
            </w:r>
          </w:p>
        </w:tc>
      </w:tr>
      <w:tr>
        <w:tblPrEx>
          <w:tblCellMar>
            <w:top w:w="0" w:type="dxa"/>
            <w:left w:w="108" w:type="dxa"/>
            <w:bottom w:w="0" w:type="dxa"/>
            <w:right w:w="108" w:type="dxa"/>
          </w:tblCellMar>
        </w:tblPrEx>
        <w:trPr>
          <w:trHeight w:val="435"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实际完成情况</w:t>
            </w:r>
          </w:p>
        </w:tc>
      </w:tr>
      <w:tr>
        <w:tblPrEx>
          <w:tblCellMar>
            <w:top w:w="0" w:type="dxa"/>
            <w:left w:w="108" w:type="dxa"/>
            <w:bottom w:w="0" w:type="dxa"/>
            <w:right w:w="108" w:type="dxa"/>
          </w:tblCellMar>
        </w:tblPrEx>
        <w:trPr>
          <w:trHeight w:val="2535" w:hRule="atLeast"/>
        </w:trPr>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1.严格按照《许昌市市管区域园林绿化养护管理考评办法（试行）》，对市管区域园林绿化养护管理进行监管考核，加强日常巡查，定期开展市管区域养护质量考评；</w:t>
            </w:r>
            <w:r>
              <w:br w:type="textWrapping"/>
            </w:r>
            <w:r>
              <w:rPr>
                <w:rFonts w:hint="eastAsia" w:ascii="宋体" w:hAnsi="宋体" w:eastAsia="宋体" w:cs="宋体"/>
                <w:color w:val="000000"/>
                <w:kern w:val="0"/>
                <w:sz w:val="24"/>
              </w:rPr>
              <w:t>2.督促管养单位认真做好日常卫生保洁、绿化植物整形修剪、浇灌、施肥、病虫害防治、缺株断档补植补栽等绿化监管管理工作；</w:t>
            </w:r>
            <w:r>
              <w:br w:type="textWrapping"/>
            </w:r>
            <w:r>
              <w:rPr>
                <w:rFonts w:hint="eastAsia" w:ascii="宋体" w:hAnsi="宋体" w:eastAsia="宋体" w:cs="宋体"/>
                <w:color w:val="000000"/>
                <w:kern w:val="0"/>
                <w:sz w:val="24"/>
              </w:rPr>
              <w:t>3.督促管养单位认真做好所管区域安全、秩序的监督管理及数字城管案件的处理工作；</w:t>
            </w:r>
            <w:r>
              <w:br w:type="textWrapping"/>
            </w:r>
            <w:r>
              <w:rPr>
                <w:rFonts w:hint="eastAsia" w:ascii="宋体" w:hAnsi="宋体" w:eastAsia="宋体" w:cs="宋体"/>
                <w:color w:val="000000"/>
                <w:kern w:val="0"/>
                <w:sz w:val="24"/>
              </w:rPr>
              <w:t>4.完成养护费支付。</w:t>
            </w:r>
          </w:p>
        </w:tc>
        <w:tc>
          <w:tcPr>
            <w:tcW w:w="0" w:type="auto"/>
            <w:gridSpan w:val="6"/>
            <w:tcBorders>
              <w:top w:val="single" w:color="auto" w:sz="4" w:space="0"/>
              <w:left w:val="nil"/>
              <w:bottom w:val="single" w:color="auto" w:sz="4" w:space="0"/>
              <w:right w:val="single" w:color="000000" w:sz="4" w:space="0"/>
            </w:tcBorders>
            <w:shd w:val="clear" w:color="auto" w:fill="auto"/>
            <w:vAlign w:val="center"/>
          </w:tcPr>
          <w:p>
            <w:pPr>
              <w:pStyle w:val="10"/>
              <w:widowControl/>
              <w:textAlignment w:val="top"/>
              <w:rPr>
                <w:rFonts w:ascii="宋体" w:hAnsi="宋体" w:eastAsia="宋体" w:cs="宋体"/>
                <w:color w:val="000000"/>
                <w:sz w:val="24"/>
              </w:rPr>
            </w:pPr>
            <w:r>
              <w:rPr>
                <w:rFonts w:hint="eastAsia" w:ascii="宋体" w:hAnsi="宋体" w:eastAsia="宋体" w:cs="宋体"/>
                <w:color w:val="000000"/>
                <w:kern w:val="0"/>
                <w:sz w:val="24"/>
              </w:rPr>
              <w:t>坚持对中心区122条道路、14个游园广场精细化养护管理进行月考核、季综评，根据季综评考评得分情况及时申请资金拨付。同时，强化管养经费预算、财务、绩效管理工作，专款专用，圆满完成年度目标工作任务。</w:t>
            </w:r>
          </w:p>
        </w:tc>
      </w:tr>
      <w:tr>
        <w:tblPrEx>
          <w:tblCellMar>
            <w:top w:w="0" w:type="dxa"/>
            <w:left w:w="108" w:type="dxa"/>
            <w:bottom w:w="0" w:type="dxa"/>
            <w:right w:w="108" w:type="dxa"/>
          </w:tblCellMar>
        </w:tblPrEx>
        <w:trPr>
          <w:trHeight w:val="312" w:hRule="atLeast"/>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r>
      <w:tr>
        <w:tblPrEx>
          <w:tblCellMar>
            <w:top w:w="0" w:type="dxa"/>
            <w:left w:w="108" w:type="dxa"/>
            <w:bottom w:w="0" w:type="dxa"/>
            <w:right w:w="108" w:type="dxa"/>
          </w:tblCellMar>
        </w:tblPrEx>
        <w:trPr>
          <w:trHeight w:val="312" w:hRule="atLeast"/>
        </w:trPr>
        <w:tc>
          <w:tcPr>
            <w:gridSpan w:val="10"/>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pStyle w:val="10"/>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偏差原因分析及改进措施</w:t>
            </w:r>
          </w:p>
        </w:tc>
      </w:tr>
      <w:tr>
        <w:tblPrEx>
          <w:tblCellMar>
            <w:top w:w="0" w:type="dxa"/>
            <w:left w:w="108" w:type="dxa"/>
            <w:bottom w:w="0" w:type="dxa"/>
            <w:right w:w="108" w:type="dxa"/>
          </w:tblCellMar>
        </w:tblPrEx>
        <w:trPr>
          <w:trHeight w:val="312" w:hRule="atLeast"/>
        </w:trPr>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c>
          <w:tcPr>
            <w:vMerge w:val="continue"/>
            <w:tcBorders>
              <w:top w:val="nil"/>
              <w:left w:val="single" w:color="auto" w:sz="4" w:space="0"/>
              <w:bottom w:val="single" w:color="000000" w:sz="4" w:space="0"/>
              <w:right w:val="single" w:color="auto" w:sz="4" w:space="0"/>
            </w:tcBorders>
            <w:shd w:val="clear" w:color="auto" w:fill="auto"/>
            <w:vAlign w:val="center"/>
          </w:tcPr>
          <w:p>
            <w:pPr>
              <w:pStyle w:val="10"/>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经济成本指标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指标1：一级养护绿地管养经费标准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13元/平方米.年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指标2：二级养护绿地管养经费标准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11元/平方米.年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指标1：精细化管养道路数量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122条</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指标2：精细化管养游园广场数量</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14个</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指标1：精细化管养月考核良好率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≥96%</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指标1：管养时间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6个月</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6个月</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指标2：养护费支付完成时间</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2023.12月底前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2023.12月底前</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社会效益指标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指标1：精细化管养水平</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提高</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13.5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kern w:val="0"/>
                <w:sz w:val="24"/>
              </w:rPr>
              <w:t>养护期内清绿地垃圾时存在不及时情况。持续加强督导。</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生态效益指标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指标1：公共绿地整洁美化率</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服务对象满意度指标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指标1：市民对养护管理满意度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jc w:val="center"/>
              <w:rPr>
                <w:rFonts w:ascii="宋体" w:hAnsi="宋体" w:eastAsia="宋体" w:cs="宋体"/>
                <w:sz w:val="24"/>
              </w:rPr>
            </w:pP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pStyle w:val="10"/>
              <w:widowControl/>
              <w:jc w:val="left"/>
              <w:textAlignment w:val="center"/>
              <w:rPr>
                <w:rFonts w:ascii="宋体" w:hAnsi="宋体" w:eastAsia="宋体" w:cs="宋体"/>
                <w:sz w:val="24"/>
              </w:rPr>
            </w:pPr>
            <w:r>
              <w:rPr>
                <w:rFonts w:hint="eastAsia" w:ascii="宋体" w:hAnsi="宋体" w:eastAsia="宋体" w:cs="宋体"/>
                <w:color w:val="000000"/>
                <w:kern w:val="0"/>
                <w:sz w:val="24"/>
              </w:rPr>
              <w:t>指标2：支付企业满意度</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≥92%</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0.00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762"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98.50</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c>
          <w:tcPr>
            <w:tcW w:w="0" w:type="auto"/>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ascii="宋体" w:hAnsi="宋体" w:eastAsia="宋体" w:cs="宋体"/>
                <w:sz w:val="24"/>
              </w:rPr>
            </w:pPr>
            <w:r>
              <w:rPr>
                <w:rFonts w:hint="eastAsia" w:ascii="宋体" w:hAnsi="宋体" w:eastAsia="宋体" w:cs="宋体"/>
                <w:kern w:val="0"/>
                <w:sz w:val="24"/>
              </w:rPr>
              <w:t>　</w:t>
            </w:r>
          </w:p>
        </w:tc>
      </w:tr>
    </w:tbl>
    <w:p>
      <w:pPr>
        <w:pStyle w:val="10"/>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fQX7de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DAFA7"/>
    <w:multiLevelType w:val="multilevel"/>
    <w:tmpl w:val="EFBDAFA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6C9E3A63"/>
    <w:rsid w:val="F7FDDDF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c59a71a7-6996-4818-9105-36416cbc3c36"/>
    <w:qFormat/>
    <w:uiPriority w:val="0"/>
    <w:pPr>
      <w:widowControl w:val="0"/>
      <w:jc w:val="both"/>
    </w:pPr>
    <w:rPr>
      <w:rFonts w:asciiTheme="minorHAnsi" w:hAnsiTheme="minorHAnsi" w:eastAsiaTheme="minorEastAsia" w:cstheme="minorBidi"/>
      <w:kern w:val="2"/>
      <w:sz w:val="21"/>
      <w:szCs w:val="24"/>
    </w:rPr>
  </w:style>
  <w:style w:type="table" w:customStyle="1" w:styleId="11">
    <w:name w:val="Normal Table_e020dc58-4fd6-4a98-a4f7-f84515dacdeb"/>
    <w:semiHidden/>
    <w:unhideWhenUsed/>
    <w:qFormat/>
    <w:uiPriority w:val="99"/>
    <w:tblPr>
      <w:tblCellMar>
        <w:top w:w="0" w:type="dxa"/>
        <w:left w:w="108" w:type="dxa"/>
        <w:bottom w:w="0" w:type="dxa"/>
        <w:right w:w="108" w:type="dxa"/>
      </w:tblCellMar>
    </w:tblPr>
  </w:style>
  <w:style w:type="character" w:customStyle="1" w:styleId="12">
    <w:name w:val="Default Paragraph Font_cb3d954e-2fff-4717-8249-93612969b50d"/>
    <w:semiHidden/>
    <w:unhideWhenUsed/>
    <w:qFormat/>
    <w:uiPriority w:val="1"/>
  </w:style>
  <w:style w:type="character" w:customStyle="1" w:styleId="13">
    <w:name w:val="font21"/>
    <w:basedOn w:val="12"/>
    <w:qFormat/>
    <w:uiPriority w:val="0"/>
    <w:rPr>
      <w:rFonts w:hint="eastAsia" w:ascii="宋体" w:hAnsi="宋体" w:eastAsia="宋体" w:cs="宋体"/>
      <w:color w:val="000000"/>
      <w:sz w:val="24"/>
      <w:szCs w:val="24"/>
      <w:u w:val="none"/>
    </w:rPr>
  </w:style>
  <w:style w:type="character" w:customStyle="1" w:styleId="14">
    <w:name w:val="font31"/>
    <w:basedOn w:val="12"/>
    <w:qFormat/>
    <w:uiPriority w:val="0"/>
    <w:rPr>
      <w:rFonts w:hint="eastAsia" w:ascii="宋体" w:hAnsi="宋体" w:eastAsia="宋体" w:cs="宋体"/>
      <w:color w:val="000000"/>
      <w:sz w:val="24"/>
      <w:szCs w:val="24"/>
      <w:u w:val="none"/>
    </w:rPr>
  </w:style>
  <w:style w:type="character" w:customStyle="1" w:styleId="15">
    <w:name w:val="Default Paragraph Font_cf5780f2-f354-4248-8453-2863a8aec698"/>
    <w:semiHidden/>
    <w:unhideWhenUsed/>
    <w:qFormat/>
    <w:uiPriority w:val="1"/>
  </w:style>
  <w:style w:type="character" w:customStyle="1" w:styleId="16">
    <w:name w:val="font7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16</TotalTime>
  <ScaleCrop>false</ScaleCrop>
  <LinksUpToDate>false</LinksUpToDate>
  <CharactersWithSpaces>19414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huanghe</cp:lastModifiedBy>
  <dcterms:modified xsi:type="dcterms:W3CDTF">2024-10-09T17:34:46Z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DF94CE1DC53D4C5F990C8EECCB3F5EB2_13</vt:lpwstr>
  </property>
</Properties>
</file>