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许昌市卫生医学考试中心（许昌市计划生育药具管理站）</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许昌市卫生医学考试中心（许昌市计划生育药具管理站）</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许昌市卫生医学考试中心（许昌市计划生育药具管理站）概况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组织卫生健康系统考试，提供计生药具管理服务。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许昌市卫生医学考试中心（许昌市计划生育药具管理站）</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办公室、财务室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许昌市卫生医学考试中心（许昌市计划生育药具管理站）</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2023年度，经中共许昌市委机构编制委员会研究同意，许昌市卫生医学考试中心（许昌市计划生育药具管理站）、许昌市保健服务中心合并组建许昌市卫生健康综合服务中心。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许昌市卫生医学考试中心</w:t>
        <w:br/>
        <w:t xml:space="preserve">    许昌市保健服务中心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324.12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4.72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93.15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230.91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3.34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324.12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332.12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8.00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332.12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332.12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324.12</w:t>
            </w:r>
          </w:p>
        </w:tc>
        <w:tc>
          <w:tcPr>
            <w:tcW w:w="1440" w:type="dxa"/>
            <w:tcBorders/>
            <w:vAlign w:val="center"/>
          </w:tcPr>
          <w:p>
            <w:pPr>
              <w:jc w:val="right"/>
            </w:pPr>
            <w:r>
              <w:rPr>
                <w:rFonts w:ascii="宋体" w:eastAsia="宋体" w:hAnsi="宋体" w:cs="宋体"/>
                <w:b/>
                <w:i w:val="0"/>
                <w:color w:val="000000"/>
                <w:sz w:val="17"/>
              </w:rPr>
              <w:t xml:space="preserve">324.12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4.72</w:t>
            </w:r>
          </w:p>
        </w:tc>
        <w:tc>
          <w:tcPr>
            <w:tcW w:w="1440" w:type="dxa"/>
            <w:tcBorders/>
            <w:vAlign w:val="center"/>
          </w:tcPr>
          <w:p>
            <w:pPr>
              <w:jc w:val="right"/>
            </w:pPr>
            <w:r>
              <w:rPr>
                <w:rFonts w:ascii="宋体" w:eastAsia="宋体" w:hAnsi="宋体" w:cs="宋体"/>
                <w:b w:val="0"/>
                <w:i w:val="0"/>
                <w:color w:val="000000"/>
                <w:sz w:val="17"/>
              </w:rPr>
              <w:t xml:space="preserve">4.72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0.42</w:t>
            </w:r>
          </w:p>
        </w:tc>
        <w:tc>
          <w:tcPr>
            <w:tcW w:w="1440" w:type="dxa"/>
            <w:tcBorders/>
            <w:vAlign w:val="center"/>
          </w:tcPr>
          <w:p>
            <w:pPr>
              <w:jc w:val="right"/>
            </w:pPr>
            <w:r>
              <w:rPr>
                <w:rFonts w:ascii="宋体" w:eastAsia="宋体" w:hAnsi="宋体" w:cs="宋体"/>
                <w:b w:val="0"/>
                <w:i w:val="0"/>
                <w:color w:val="000000"/>
                <w:sz w:val="17"/>
              </w:rPr>
              <w:t xml:space="preserve">0.42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0.42</w:t>
            </w:r>
          </w:p>
        </w:tc>
        <w:tc>
          <w:tcPr>
            <w:tcW w:w="1440" w:type="dxa"/>
            <w:tcBorders/>
            <w:vAlign w:val="center"/>
          </w:tcPr>
          <w:p>
            <w:pPr>
              <w:jc w:val="right"/>
            </w:pPr>
            <w:r>
              <w:rPr>
                <w:rFonts w:ascii="宋体" w:eastAsia="宋体" w:hAnsi="宋体" w:cs="宋体"/>
                <w:b w:val="0"/>
                <w:i w:val="0"/>
                <w:color w:val="000000"/>
                <w:sz w:val="17"/>
              </w:rPr>
              <w:t xml:space="preserve">0.42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93.15</w:t>
            </w:r>
          </w:p>
        </w:tc>
        <w:tc>
          <w:tcPr>
            <w:tcW w:w="1440" w:type="dxa"/>
            <w:tcBorders/>
            <w:vAlign w:val="center"/>
          </w:tcPr>
          <w:p>
            <w:pPr>
              <w:jc w:val="right"/>
            </w:pPr>
            <w:r>
              <w:rPr>
                <w:rFonts w:ascii="宋体" w:eastAsia="宋体" w:hAnsi="宋体" w:cs="宋体"/>
                <w:b w:val="0"/>
                <w:i w:val="0"/>
                <w:color w:val="000000"/>
                <w:sz w:val="17"/>
              </w:rPr>
              <w:t xml:space="preserve">93.15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80.02</w:t>
            </w:r>
          </w:p>
        </w:tc>
        <w:tc>
          <w:tcPr>
            <w:tcW w:w="1440" w:type="dxa"/>
            <w:tcBorders/>
            <w:vAlign w:val="center"/>
          </w:tcPr>
          <w:p>
            <w:pPr>
              <w:jc w:val="right"/>
            </w:pPr>
            <w:r>
              <w:rPr>
                <w:rFonts w:ascii="宋体" w:eastAsia="宋体" w:hAnsi="宋体" w:cs="宋体"/>
                <w:b w:val="0"/>
                <w:i w:val="0"/>
                <w:color w:val="000000"/>
                <w:sz w:val="17"/>
              </w:rPr>
              <w:t xml:space="preserve">80.02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13.13</w:t>
            </w:r>
          </w:p>
        </w:tc>
        <w:tc>
          <w:tcPr>
            <w:tcW w:w="1440" w:type="dxa"/>
            <w:tcBorders/>
            <w:vAlign w:val="center"/>
          </w:tcPr>
          <w:p>
            <w:pPr>
              <w:jc w:val="right"/>
            </w:pPr>
            <w:r>
              <w:rPr>
                <w:rFonts w:ascii="宋体" w:eastAsia="宋体" w:hAnsi="宋体" w:cs="宋体"/>
                <w:b w:val="0"/>
                <w:i w:val="0"/>
                <w:color w:val="000000"/>
                <w:sz w:val="17"/>
              </w:rPr>
              <w:t xml:space="preserve">13.13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13.13</w:t>
            </w:r>
          </w:p>
        </w:tc>
        <w:tc>
          <w:tcPr>
            <w:tcW w:w="1440" w:type="dxa"/>
            <w:tcBorders/>
            <w:vAlign w:val="center"/>
          </w:tcPr>
          <w:p>
            <w:pPr>
              <w:jc w:val="right"/>
            </w:pPr>
            <w:r>
              <w:rPr>
                <w:rFonts w:ascii="宋体" w:eastAsia="宋体" w:hAnsi="宋体" w:cs="宋体"/>
                <w:b w:val="0"/>
                <w:i w:val="0"/>
                <w:color w:val="000000"/>
                <w:sz w:val="17"/>
              </w:rPr>
              <w:t xml:space="preserve">13.13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222.91</w:t>
            </w:r>
          </w:p>
        </w:tc>
        <w:tc>
          <w:tcPr>
            <w:tcW w:w="1440" w:type="dxa"/>
            <w:tcBorders/>
            <w:vAlign w:val="center"/>
          </w:tcPr>
          <w:p>
            <w:pPr>
              <w:jc w:val="right"/>
            </w:pPr>
            <w:r>
              <w:rPr>
                <w:rFonts w:ascii="宋体" w:eastAsia="宋体" w:hAnsi="宋体" w:cs="宋体"/>
                <w:b w:val="0"/>
                <w:i w:val="0"/>
                <w:color w:val="000000"/>
                <w:sz w:val="17"/>
              </w:rPr>
              <w:t xml:space="preserve">222.91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3.55</w:t>
            </w:r>
          </w:p>
        </w:tc>
        <w:tc>
          <w:tcPr>
            <w:tcW w:w="1440" w:type="dxa"/>
            <w:tcBorders/>
            <w:vAlign w:val="center"/>
          </w:tcPr>
          <w:p>
            <w:pPr>
              <w:jc w:val="right"/>
            </w:pPr>
            <w:r>
              <w:rPr>
                <w:rFonts w:ascii="宋体" w:eastAsia="宋体" w:hAnsi="宋体" w:cs="宋体"/>
                <w:b w:val="0"/>
                <w:i w:val="0"/>
                <w:color w:val="000000"/>
                <w:sz w:val="17"/>
              </w:rPr>
              <w:t xml:space="preserve">3.55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其他公共卫生支出</w:t>
            </w:r>
          </w:p>
        </w:tc>
        <w:tc>
          <w:tcPr>
            <w:tcW w:w="1440" w:type="dxa"/>
            <w:tcBorders/>
            <w:vAlign w:val="center"/>
          </w:tcPr>
          <w:p>
            <w:pPr>
              <w:jc w:val="right"/>
            </w:pPr>
            <w:r>
              <w:rPr>
                <w:rFonts w:ascii="宋体" w:eastAsia="宋体" w:hAnsi="宋体" w:cs="宋体"/>
                <w:b w:val="0"/>
                <w:i w:val="0"/>
                <w:color w:val="000000"/>
                <w:sz w:val="17"/>
              </w:rPr>
              <w:t xml:space="preserve">3.55</w:t>
            </w:r>
          </w:p>
        </w:tc>
        <w:tc>
          <w:tcPr>
            <w:tcW w:w="1440" w:type="dxa"/>
            <w:tcBorders/>
            <w:vAlign w:val="center"/>
          </w:tcPr>
          <w:p>
            <w:pPr>
              <w:jc w:val="right"/>
            </w:pPr>
            <w:r>
              <w:rPr>
                <w:rFonts w:ascii="宋体" w:eastAsia="宋体" w:hAnsi="宋体" w:cs="宋体"/>
                <w:b w:val="0"/>
                <w:i w:val="0"/>
                <w:color w:val="000000"/>
                <w:sz w:val="17"/>
              </w:rPr>
              <w:t xml:space="preserve">3.55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计划生育事务</w:t>
            </w:r>
          </w:p>
        </w:tc>
        <w:tc>
          <w:tcPr>
            <w:tcW w:w="1440" w:type="dxa"/>
            <w:tcBorders/>
            <w:vAlign w:val="center"/>
          </w:tcPr>
          <w:p>
            <w:pPr>
              <w:jc w:val="right"/>
            </w:pPr>
            <w:r>
              <w:rPr>
                <w:rFonts w:ascii="宋体" w:eastAsia="宋体" w:hAnsi="宋体" w:cs="宋体"/>
                <w:b w:val="0"/>
                <w:i w:val="0"/>
                <w:color w:val="000000"/>
                <w:sz w:val="17"/>
              </w:rPr>
              <w:t xml:space="preserve">54.75</w:t>
            </w:r>
          </w:p>
        </w:tc>
        <w:tc>
          <w:tcPr>
            <w:tcW w:w="1440" w:type="dxa"/>
            <w:tcBorders/>
            <w:vAlign w:val="center"/>
          </w:tcPr>
          <w:p>
            <w:pPr>
              <w:jc w:val="right"/>
            </w:pPr>
            <w:r>
              <w:rPr>
                <w:rFonts w:ascii="宋体" w:eastAsia="宋体" w:hAnsi="宋体" w:cs="宋体"/>
                <w:b w:val="0"/>
                <w:i w:val="0"/>
                <w:color w:val="000000"/>
                <w:sz w:val="17"/>
              </w:rPr>
              <w:t xml:space="preserve">54.75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2100717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计划生育服务</w:t>
            </w:r>
          </w:p>
        </w:tc>
        <w:tc>
          <w:tcPr>
            <w:tcW w:w="1440" w:type="dxa"/>
            <w:tcBorders/>
            <w:vAlign w:val="center"/>
          </w:tcPr>
          <w:p>
            <w:pPr>
              <w:jc w:val="right"/>
            </w:pPr>
            <w:r>
              <w:rPr>
                <w:rFonts w:ascii="宋体" w:eastAsia="宋体" w:hAnsi="宋体" w:cs="宋体"/>
                <w:b w:val="0"/>
                <w:i w:val="0"/>
                <w:color w:val="000000"/>
                <w:sz w:val="17"/>
              </w:rPr>
              <w:t xml:space="preserve">54.75</w:t>
            </w:r>
          </w:p>
        </w:tc>
        <w:tc>
          <w:tcPr>
            <w:tcW w:w="1440" w:type="dxa"/>
            <w:tcBorders/>
            <w:vAlign w:val="center"/>
          </w:tcPr>
          <w:p>
            <w:pPr>
              <w:jc w:val="right"/>
            </w:pPr>
            <w:r>
              <w:rPr>
                <w:rFonts w:ascii="宋体" w:eastAsia="宋体" w:hAnsi="宋体" w:cs="宋体"/>
                <w:b w:val="0"/>
                <w:i w:val="0"/>
                <w:color w:val="000000"/>
                <w:sz w:val="17"/>
              </w:rPr>
              <w:t xml:space="preserve">54.75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1.86</w:t>
            </w:r>
          </w:p>
        </w:tc>
        <w:tc>
          <w:tcPr>
            <w:tcW w:w="1440" w:type="dxa"/>
            <w:tcBorders/>
            <w:vAlign w:val="center"/>
          </w:tcPr>
          <w:p>
            <w:pPr>
              <w:jc w:val="right"/>
            </w:pPr>
            <w:r>
              <w:rPr>
                <w:rFonts w:ascii="宋体" w:eastAsia="宋体" w:hAnsi="宋体" w:cs="宋体"/>
                <w:b w:val="0"/>
                <w:i w:val="0"/>
                <w:color w:val="000000"/>
                <w:sz w:val="17"/>
              </w:rPr>
              <w:t xml:space="preserve">1.86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1.86</w:t>
            </w:r>
          </w:p>
        </w:tc>
        <w:tc>
          <w:tcPr>
            <w:tcW w:w="1440" w:type="dxa"/>
            <w:tcBorders/>
            <w:vAlign w:val="center"/>
          </w:tcPr>
          <w:p>
            <w:pPr>
              <w:jc w:val="right"/>
            </w:pPr>
            <w:r>
              <w:rPr>
                <w:rFonts w:ascii="宋体" w:eastAsia="宋体" w:hAnsi="宋体" w:cs="宋体"/>
                <w:b w:val="0"/>
                <w:i w:val="0"/>
                <w:color w:val="000000"/>
                <w:sz w:val="17"/>
              </w:rPr>
              <w:t xml:space="preserve">1.86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162.74</w:t>
            </w:r>
          </w:p>
        </w:tc>
        <w:tc>
          <w:tcPr>
            <w:tcW w:w="1440" w:type="dxa"/>
            <w:tcBorders/>
            <w:vAlign w:val="center"/>
          </w:tcPr>
          <w:p>
            <w:pPr>
              <w:jc w:val="right"/>
            </w:pPr>
            <w:r>
              <w:rPr>
                <w:rFonts w:ascii="宋体" w:eastAsia="宋体" w:hAnsi="宋体" w:cs="宋体"/>
                <w:b w:val="0"/>
                <w:i w:val="0"/>
                <w:color w:val="000000"/>
                <w:sz w:val="17"/>
              </w:rPr>
              <w:t xml:space="preserve">162.74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162.74</w:t>
            </w:r>
          </w:p>
        </w:tc>
        <w:tc>
          <w:tcPr>
            <w:tcW w:w="1440" w:type="dxa"/>
            <w:tcBorders/>
            <w:vAlign w:val="center"/>
          </w:tcPr>
          <w:p>
            <w:pPr>
              <w:jc w:val="right"/>
            </w:pPr>
            <w:r>
              <w:rPr>
                <w:rFonts w:ascii="宋体" w:eastAsia="宋体" w:hAnsi="宋体" w:cs="宋体"/>
                <w:b w:val="0"/>
                <w:i w:val="0"/>
                <w:color w:val="000000"/>
                <w:sz w:val="17"/>
              </w:rPr>
              <w:t xml:space="preserve">162.74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3.34</w:t>
            </w:r>
          </w:p>
        </w:tc>
        <w:tc>
          <w:tcPr>
            <w:tcW w:w="1440" w:type="dxa"/>
            <w:tcBorders/>
            <w:vAlign w:val="center"/>
          </w:tcPr>
          <w:p>
            <w:pPr>
              <w:jc w:val="right"/>
            </w:pPr>
            <w:r>
              <w:rPr>
                <w:rFonts w:ascii="宋体" w:eastAsia="宋体" w:hAnsi="宋体" w:cs="宋体"/>
                <w:b w:val="0"/>
                <w:i w:val="0"/>
                <w:color w:val="000000"/>
                <w:sz w:val="17"/>
              </w:rPr>
              <w:t xml:space="preserve">3.34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3.34</w:t>
            </w:r>
          </w:p>
        </w:tc>
        <w:tc>
          <w:tcPr>
            <w:tcW w:w="1440" w:type="dxa"/>
            <w:tcBorders/>
            <w:vAlign w:val="center"/>
          </w:tcPr>
          <w:p>
            <w:pPr>
              <w:jc w:val="right"/>
            </w:pPr>
            <w:r>
              <w:rPr>
                <w:rFonts w:ascii="宋体" w:eastAsia="宋体" w:hAnsi="宋体" w:cs="宋体"/>
                <w:b w:val="0"/>
                <w:i w:val="0"/>
                <w:color w:val="000000"/>
                <w:sz w:val="17"/>
              </w:rPr>
              <w:t xml:space="preserve">3.34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3.34</w:t>
            </w:r>
          </w:p>
        </w:tc>
        <w:tc>
          <w:tcPr>
            <w:tcW w:w="1440" w:type="dxa"/>
            <w:tcBorders/>
            <w:vAlign w:val="center"/>
          </w:tcPr>
          <w:p>
            <w:pPr>
              <w:jc w:val="right"/>
            </w:pPr>
            <w:r>
              <w:rPr>
                <w:rFonts w:ascii="宋体" w:eastAsia="宋体" w:hAnsi="宋体" w:cs="宋体"/>
                <w:b w:val="0"/>
                <w:i w:val="0"/>
                <w:color w:val="000000"/>
                <w:sz w:val="17"/>
              </w:rPr>
              <w:t xml:space="preserve">3.34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332.12</w:t>
            </w:r>
          </w:p>
        </w:tc>
        <w:tc>
          <w:tcPr>
            <w:tcW w:w="1600" w:type="dxa"/>
            <w:tcBorders/>
            <w:vAlign w:val="center"/>
          </w:tcPr>
          <w:p>
            <w:pPr>
              <w:jc w:val="right"/>
            </w:pPr>
            <w:r>
              <w:rPr>
                <w:rFonts w:ascii="宋体" w:eastAsia="宋体" w:hAnsi="宋体" w:cs="宋体"/>
                <w:b/>
                <w:i w:val="0"/>
                <w:color w:val="000000"/>
                <w:sz w:val="19"/>
              </w:rPr>
              <w:t xml:space="preserve">161.38</w:t>
            </w:r>
          </w:p>
        </w:tc>
        <w:tc>
          <w:tcPr>
            <w:tcW w:w="1600" w:type="dxa"/>
            <w:tcBorders/>
            <w:vAlign w:val="center"/>
          </w:tcPr>
          <w:p>
            <w:pPr>
              <w:jc w:val="right"/>
            </w:pPr>
            <w:r>
              <w:rPr>
                <w:rFonts w:ascii="宋体" w:eastAsia="宋体" w:hAnsi="宋体" w:cs="宋体"/>
                <w:b/>
                <w:i w:val="0"/>
                <w:color w:val="000000"/>
                <w:sz w:val="19"/>
              </w:rPr>
              <w:t xml:space="preserve">170.74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4.72</w:t>
            </w:r>
          </w:p>
        </w:tc>
        <w:tc>
          <w:tcPr>
            <w:tcW w:w="1600" w:type="dxa"/>
            <w:tcBorders/>
            <w:vAlign w:val="center"/>
          </w:tcPr>
          <w:p>
            <w:pPr>
              <w:jc w:val="right"/>
            </w:pPr>
            <w:r>
              <w:rPr>
                <w:rFonts w:ascii="宋体" w:eastAsia="宋体" w:hAnsi="宋体" w:cs="宋体"/>
                <w:b w:val="0"/>
                <w:i w:val="0"/>
                <w:color w:val="000000"/>
                <w:sz w:val="19"/>
              </w:rPr>
              <w:t xml:space="preserve">4.72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93.15</w:t>
            </w:r>
          </w:p>
        </w:tc>
        <w:tc>
          <w:tcPr>
            <w:tcW w:w="1600" w:type="dxa"/>
            <w:tcBorders/>
            <w:vAlign w:val="center"/>
          </w:tcPr>
          <w:p>
            <w:pPr>
              <w:jc w:val="right"/>
            </w:pPr>
            <w:r>
              <w:rPr>
                <w:rFonts w:ascii="宋体" w:eastAsia="宋体" w:hAnsi="宋体" w:cs="宋体"/>
                <w:b w:val="0"/>
                <w:i w:val="0"/>
                <w:color w:val="000000"/>
                <w:sz w:val="19"/>
              </w:rPr>
              <w:t xml:space="preserve">93.15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80.02</w:t>
            </w:r>
          </w:p>
        </w:tc>
        <w:tc>
          <w:tcPr>
            <w:tcW w:w="1600" w:type="dxa"/>
            <w:tcBorders/>
            <w:vAlign w:val="center"/>
          </w:tcPr>
          <w:p>
            <w:pPr>
              <w:jc w:val="right"/>
            </w:pPr>
            <w:r>
              <w:rPr>
                <w:rFonts w:ascii="宋体" w:eastAsia="宋体" w:hAnsi="宋体" w:cs="宋体"/>
                <w:b w:val="0"/>
                <w:i w:val="0"/>
                <w:color w:val="000000"/>
                <w:sz w:val="19"/>
              </w:rPr>
              <w:t xml:space="preserve">80.02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13.13</w:t>
            </w:r>
          </w:p>
        </w:tc>
        <w:tc>
          <w:tcPr>
            <w:tcW w:w="1600" w:type="dxa"/>
            <w:tcBorders/>
            <w:vAlign w:val="center"/>
          </w:tcPr>
          <w:p>
            <w:pPr>
              <w:jc w:val="right"/>
            </w:pPr>
            <w:r>
              <w:rPr>
                <w:rFonts w:ascii="宋体" w:eastAsia="宋体" w:hAnsi="宋体" w:cs="宋体"/>
                <w:b w:val="0"/>
                <w:i w:val="0"/>
                <w:color w:val="000000"/>
                <w:sz w:val="19"/>
              </w:rPr>
              <w:t xml:space="preserve">13.13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13.13</w:t>
            </w:r>
          </w:p>
        </w:tc>
        <w:tc>
          <w:tcPr>
            <w:tcW w:w="1600" w:type="dxa"/>
            <w:tcBorders/>
            <w:vAlign w:val="center"/>
          </w:tcPr>
          <w:p>
            <w:pPr>
              <w:jc w:val="right"/>
            </w:pPr>
            <w:r>
              <w:rPr>
                <w:rFonts w:ascii="宋体" w:eastAsia="宋体" w:hAnsi="宋体" w:cs="宋体"/>
                <w:b w:val="0"/>
                <w:i w:val="0"/>
                <w:color w:val="000000"/>
                <w:sz w:val="19"/>
              </w:rPr>
              <w:t xml:space="preserve">13.13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230.91</w:t>
            </w:r>
          </w:p>
        </w:tc>
        <w:tc>
          <w:tcPr>
            <w:tcW w:w="1600" w:type="dxa"/>
            <w:tcBorders/>
            <w:vAlign w:val="center"/>
          </w:tcPr>
          <w:p>
            <w:pPr>
              <w:jc w:val="right"/>
            </w:pPr>
            <w:r>
              <w:rPr>
                <w:rFonts w:ascii="宋体" w:eastAsia="宋体" w:hAnsi="宋体" w:cs="宋体"/>
                <w:b w:val="0"/>
                <w:i w:val="0"/>
                <w:color w:val="000000"/>
                <w:sz w:val="19"/>
              </w:rPr>
              <w:t xml:space="preserve">60.16</w:t>
            </w:r>
          </w:p>
        </w:tc>
        <w:tc>
          <w:tcPr>
            <w:tcW w:w="1600" w:type="dxa"/>
            <w:tcBorders/>
            <w:vAlign w:val="center"/>
          </w:tcPr>
          <w:p>
            <w:pPr>
              <w:jc w:val="right"/>
            </w:pPr>
            <w:r>
              <w:rPr>
                <w:rFonts w:ascii="宋体" w:eastAsia="宋体" w:hAnsi="宋体" w:cs="宋体"/>
                <w:b w:val="0"/>
                <w:i w:val="0"/>
                <w:color w:val="000000"/>
                <w:sz w:val="19"/>
              </w:rPr>
              <w:t xml:space="preserve">170.74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3.55</w:t>
            </w:r>
          </w:p>
        </w:tc>
        <w:tc>
          <w:tcPr>
            <w:tcW w:w="1600" w:type="dxa"/>
            <w:tcBorders/>
            <w:vAlign w:val="center"/>
          </w:tcPr>
          <w:p>
            <w:pPr>
              <w:jc w:val="right"/>
            </w:pPr>
            <w:r>
              <w:rPr>
                <w:rFonts w:ascii="宋体" w:eastAsia="宋体" w:hAnsi="宋体" w:cs="宋体"/>
                <w:b w:val="0"/>
                <w:i w:val="0"/>
                <w:color w:val="000000"/>
                <w:sz w:val="19"/>
              </w:rPr>
              <w:t xml:space="preserve">3.55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其他公共卫生支出</w:t>
            </w:r>
          </w:p>
        </w:tc>
        <w:tc>
          <w:tcPr>
            <w:tcW w:w="1600" w:type="dxa"/>
            <w:tcBorders/>
            <w:vAlign w:val="center"/>
          </w:tcPr>
          <w:p>
            <w:pPr>
              <w:jc w:val="right"/>
            </w:pPr>
            <w:r>
              <w:rPr>
                <w:rFonts w:ascii="宋体" w:eastAsia="宋体" w:hAnsi="宋体" w:cs="宋体"/>
                <w:b w:val="0"/>
                <w:i w:val="0"/>
                <w:color w:val="000000"/>
                <w:sz w:val="19"/>
              </w:rPr>
              <w:t xml:space="preserve">3.55</w:t>
            </w:r>
          </w:p>
        </w:tc>
        <w:tc>
          <w:tcPr>
            <w:tcW w:w="1600" w:type="dxa"/>
            <w:tcBorders/>
            <w:vAlign w:val="center"/>
          </w:tcPr>
          <w:p>
            <w:pPr>
              <w:jc w:val="right"/>
            </w:pPr>
            <w:r>
              <w:rPr>
                <w:rFonts w:ascii="宋体" w:eastAsia="宋体" w:hAnsi="宋体" w:cs="宋体"/>
                <w:b w:val="0"/>
                <w:i w:val="0"/>
                <w:color w:val="000000"/>
                <w:sz w:val="19"/>
              </w:rPr>
              <w:t xml:space="preserve">3.55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计划生育事务</w:t>
            </w:r>
          </w:p>
        </w:tc>
        <w:tc>
          <w:tcPr>
            <w:tcW w:w="1600" w:type="dxa"/>
            <w:tcBorders/>
            <w:vAlign w:val="center"/>
          </w:tcPr>
          <w:p>
            <w:pPr>
              <w:jc w:val="right"/>
            </w:pPr>
            <w:r>
              <w:rPr>
                <w:rFonts w:ascii="宋体" w:eastAsia="宋体" w:hAnsi="宋体" w:cs="宋体"/>
                <w:b w:val="0"/>
                <w:i w:val="0"/>
                <w:color w:val="000000"/>
                <w:sz w:val="19"/>
              </w:rPr>
              <w:t xml:space="preserve">54.75</w:t>
            </w:r>
          </w:p>
        </w:tc>
        <w:tc>
          <w:tcPr>
            <w:tcW w:w="1600" w:type="dxa"/>
            <w:tcBorders/>
            <w:vAlign w:val="center"/>
          </w:tcPr>
          <w:p>
            <w:pPr>
              <w:jc w:val="right"/>
            </w:pPr>
            <w:r>
              <w:rPr>
                <w:rFonts w:ascii="宋体" w:eastAsia="宋体" w:hAnsi="宋体" w:cs="宋体"/>
                <w:b w:val="0"/>
                <w:i w:val="0"/>
                <w:color w:val="000000"/>
                <w:sz w:val="19"/>
              </w:rPr>
              <w:t xml:space="preserve">54.75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2100717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计划生育服务</w:t>
            </w:r>
          </w:p>
        </w:tc>
        <w:tc>
          <w:tcPr>
            <w:tcW w:w="1600" w:type="dxa"/>
            <w:tcBorders/>
            <w:vAlign w:val="center"/>
          </w:tcPr>
          <w:p>
            <w:pPr>
              <w:jc w:val="right"/>
            </w:pPr>
            <w:r>
              <w:rPr>
                <w:rFonts w:ascii="宋体" w:eastAsia="宋体" w:hAnsi="宋体" w:cs="宋体"/>
                <w:b w:val="0"/>
                <w:i w:val="0"/>
                <w:color w:val="000000"/>
                <w:sz w:val="19"/>
              </w:rPr>
              <w:t xml:space="preserve">54.75</w:t>
            </w:r>
          </w:p>
        </w:tc>
        <w:tc>
          <w:tcPr>
            <w:tcW w:w="1600" w:type="dxa"/>
            <w:tcBorders/>
            <w:vAlign w:val="center"/>
          </w:tcPr>
          <w:p>
            <w:pPr>
              <w:jc w:val="right"/>
            </w:pPr>
            <w:r>
              <w:rPr>
                <w:rFonts w:ascii="宋体" w:eastAsia="宋体" w:hAnsi="宋体" w:cs="宋体"/>
                <w:b w:val="0"/>
                <w:i w:val="0"/>
                <w:color w:val="000000"/>
                <w:sz w:val="19"/>
              </w:rPr>
              <w:t xml:space="preserve">54.75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1.86</w:t>
            </w:r>
          </w:p>
        </w:tc>
        <w:tc>
          <w:tcPr>
            <w:tcW w:w="1600" w:type="dxa"/>
            <w:tcBorders/>
            <w:vAlign w:val="center"/>
          </w:tcPr>
          <w:p>
            <w:pPr>
              <w:jc w:val="right"/>
            </w:pPr>
            <w:r>
              <w:rPr>
                <w:rFonts w:ascii="宋体" w:eastAsia="宋体" w:hAnsi="宋体" w:cs="宋体"/>
                <w:b w:val="0"/>
                <w:i w:val="0"/>
                <w:color w:val="000000"/>
                <w:sz w:val="19"/>
              </w:rPr>
              <w:t xml:space="preserve">1.86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1.86</w:t>
            </w:r>
          </w:p>
        </w:tc>
        <w:tc>
          <w:tcPr>
            <w:tcW w:w="1600" w:type="dxa"/>
            <w:tcBorders/>
            <w:vAlign w:val="center"/>
          </w:tcPr>
          <w:p>
            <w:pPr>
              <w:jc w:val="right"/>
            </w:pPr>
            <w:r>
              <w:rPr>
                <w:rFonts w:ascii="宋体" w:eastAsia="宋体" w:hAnsi="宋体" w:cs="宋体"/>
                <w:b w:val="0"/>
                <w:i w:val="0"/>
                <w:color w:val="000000"/>
                <w:sz w:val="19"/>
              </w:rPr>
              <w:t xml:space="preserve">1.86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170.74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170.74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170.74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170.74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3.34</w:t>
            </w:r>
          </w:p>
        </w:tc>
        <w:tc>
          <w:tcPr>
            <w:tcW w:w="1600" w:type="dxa"/>
            <w:tcBorders/>
            <w:vAlign w:val="center"/>
          </w:tcPr>
          <w:p>
            <w:pPr>
              <w:jc w:val="right"/>
            </w:pPr>
            <w:r>
              <w:rPr>
                <w:rFonts w:ascii="宋体" w:eastAsia="宋体" w:hAnsi="宋体" w:cs="宋体"/>
                <w:b w:val="0"/>
                <w:i w:val="0"/>
                <w:color w:val="000000"/>
                <w:sz w:val="19"/>
              </w:rPr>
              <w:t xml:space="preserve">3.34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3.34</w:t>
            </w:r>
          </w:p>
        </w:tc>
        <w:tc>
          <w:tcPr>
            <w:tcW w:w="1600" w:type="dxa"/>
            <w:tcBorders/>
            <w:vAlign w:val="center"/>
          </w:tcPr>
          <w:p>
            <w:pPr>
              <w:jc w:val="right"/>
            </w:pPr>
            <w:r>
              <w:rPr>
                <w:rFonts w:ascii="宋体" w:eastAsia="宋体" w:hAnsi="宋体" w:cs="宋体"/>
                <w:b w:val="0"/>
                <w:i w:val="0"/>
                <w:color w:val="000000"/>
                <w:sz w:val="19"/>
              </w:rPr>
              <w:t xml:space="preserve">3.34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3.34</w:t>
            </w:r>
          </w:p>
        </w:tc>
        <w:tc>
          <w:tcPr>
            <w:tcW w:w="1600" w:type="dxa"/>
            <w:tcBorders/>
            <w:vAlign w:val="center"/>
          </w:tcPr>
          <w:p>
            <w:pPr>
              <w:jc w:val="right"/>
            </w:pPr>
            <w:r>
              <w:rPr>
                <w:rFonts w:ascii="宋体" w:eastAsia="宋体" w:hAnsi="宋体" w:cs="宋体"/>
                <w:b w:val="0"/>
                <w:i w:val="0"/>
                <w:color w:val="000000"/>
                <w:sz w:val="19"/>
              </w:rPr>
              <w:t xml:space="preserve">3.34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324.12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4.72</w:t>
            </w:r>
          </w:p>
        </w:tc>
        <w:tc>
          <w:tcPr>
            <w:tcW w:w="1420" w:type="dxa"/>
            <w:tcBorders/>
            <w:vAlign w:val="center"/>
          </w:tcPr>
          <w:p>
            <w:pPr>
              <w:jc w:val="right"/>
            </w:pPr>
            <w:r>
              <w:rPr>
                <w:rFonts w:ascii="宋体" w:eastAsia="宋体" w:hAnsi="宋体" w:cs="宋体"/>
                <w:b w:val="0"/>
                <w:i w:val="0"/>
                <w:color w:val="000000"/>
                <w:sz w:val="18"/>
              </w:rPr>
              <w:t xml:space="preserve">4.72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93.15</w:t>
            </w:r>
          </w:p>
        </w:tc>
        <w:tc>
          <w:tcPr>
            <w:tcW w:w="1420" w:type="dxa"/>
            <w:tcBorders/>
            <w:vAlign w:val="center"/>
          </w:tcPr>
          <w:p>
            <w:pPr>
              <w:jc w:val="right"/>
            </w:pPr>
            <w:r>
              <w:rPr>
                <w:rFonts w:ascii="宋体" w:eastAsia="宋体" w:hAnsi="宋体" w:cs="宋体"/>
                <w:b w:val="0"/>
                <w:i w:val="0"/>
                <w:color w:val="000000"/>
                <w:sz w:val="18"/>
              </w:rPr>
              <w:t xml:space="preserve">93.15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230.91</w:t>
            </w:r>
          </w:p>
        </w:tc>
        <w:tc>
          <w:tcPr>
            <w:tcW w:w="1420" w:type="dxa"/>
            <w:tcBorders/>
            <w:vAlign w:val="center"/>
          </w:tcPr>
          <w:p>
            <w:pPr>
              <w:jc w:val="right"/>
            </w:pPr>
            <w:r>
              <w:rPr>
                <w:rFonts w:ascii="宋体" w:eastAsia="宋体" w:hAnsi="宋体" w:cs="宋体"/>
                <w:b w:val="0"/>
                <w:i w:val="0"/>
                <w:color w:val="000000"/>
                <w:sz w:val="18"/>
              </w:rPr>
              <w:t xml:space="preserve">230.91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3.34</w:t>
            </w:r>
          </w:p>
        </w:tc>
        <w:tc>
          <w:tcPr>
            <w:tcW w:w="1420" w:type="dxa"/>
            <w:tcBorders/>
            <w:vAlign w:val="center"/>
          </w:tcPr>
          <w:p>
            <w:pPr>
              <w:jc w:val="right"/>
            </w:pPr>
            <w:r>
              <w:rPr>
                <w:rFonts w:ascii="宋体" w:eastAsia="宋体" w:hAnsi="宋体" w:cs="宋体"/>
                <w:b w:val="0"/>
                <w:i w:val="0"/>
                <w:color w:val="000000"/>
                <w:sz w:val="18"/>
              </w:rPr>
              <w:t xml:space="preserve">3.34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324.12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332.12</w:t>
            </w:r>
          </w:p>
        </w:tc>
        <w:tc>
          <w:tcPr>
            <w:tcW w:w="1420" w:type="dxa"/>
            <w:tcBorders/>
            <w:vAlign w:val="center"/>
          </w:tcPr>
          <w:p>
            <w:pPr>
              <w:jc w:val="right"/>
            </w:pPr>
            <w:r>
              <w:rPr>
                <w:rFonts w:ascii="宋体" w:eastAsia="宋体" w:hAnsi="宋体" w:cs="宋体"/>
                <w:b w:val="0"/>
                <w:i w:val="0"/>
                <w:color w:val="000000"/>
                <w:sz w:val="18"/>
              </w:rPr>
              <w:t xml:space="preserve">332.12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8.00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8.00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332.12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332.12</w:t>
            </w:r>
          </w:p>
        </w:tc>
        <w:tc>
          <w:tcPr>
            <w:tcW w:w="1420" w:type="dxa"/>
            <w:tcBorders/>
            <w:vAlign w:val="center"/>
          </w:tcPr>
          <w:p>
            <w:pPr>
              <w:jc w:val="right"/>
            </w:pPr>
            <w:r>
              <w:rPr>
                <w:rFonts w:ascii="宋体" w:eastAsia="宋体" w:hAnsi="宋体" w:cs="宋体"/>
                <w:b w:val="0"/>
                <w:i w:val="0"/>
                <w:color w:val="000000"/>
                <w:sz w:val="18"/>
              </w:rPr>
              <w:t xml:space="preserve">332.12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332.12</w:t>
            </w:r>
          </w:p>
        </w:tc>
        <w:tc>
          <w:tcPr>
            <w:tcW w:w="2700" w:type="dxa"/>
            <w:tcBorders/>
            <w:vAlign w:val="center"/>
          </w:tcPr>
          <w:p>
            <w:pPr>
              <w:jc w:val="right"/>
            </w:pPr>
            <w:r>
              <w:rPr>
                <w:rFonts w:ascii="宋体" w:eastAsia="宋体" w:hAnsi="宋体" w:cs="宋体"/>
                <w:b/>
                <w:i w:val="0"/>
                <w:color w:val="000000"/>
                <w:sz w:val="25"/>
              </w:rPr>
              <w:t xml:space="preserve">161.38</w:t>
            </w:r>
          </w:p>
        </w:tc>
        <w:tc>
          <w:tcPr>
            <w:tcW w:w="2658" w:type="dxa"/>
            <w:tcBorders/>
            <w:vAlign w:val="center"/>
          </w:tcPr>
          <w:p>
            <w:pPr>
              <w:jc w:val="right"/>
            </w:pPr>
            <w:r>
              <w:rPr>
                <w:rFonts w:ascii="宋体" w:eastAsia="宋体" w:hAnsi="宋体" w:cs="宋体"/>
                <w:b/>
                <w:i w:val="0"/>
                <w:color w:val="000000"/>
                <w:sz w:val="25"/>
              </w:rPr>
              <w:t xml:space="preserve">170.74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4.72</w:t>
            </w:r>
          </w:p>
        </w:tc>
        <w:tc>
          <w:tcPr>
            <w:tcW w:w="2700" w:type="dxa"/>
            <w:tcBorders/>
            <w:vAlign w:val="center"/>
          </w:tcPr>
          <w:p>
            <w:pPr>
              <w:jc w:val="right"/>
            </w:pPr>
            <w:r>
              <w:rPr>
                <w:rFonts w:ascii="宋体" w:eastAsia="宋体" w:hAnsi="宋体" w:cs="宋体"/>
                <w:b w:val="0"/>
                <w:i w:val="0"/>
                <w:color w:val="000000"/>
                <w:sz w:val="25"/>
              </w:rPr>
              <w:t xml:space="preserve">4.72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0.42</w:t>
            </w:r>
          </w:p>
        </w:tc>
        <w:tc>
          <w:tcPr>
            <w:tcW w:w="2700" w:type="dxa"/>
            <w:tcBorders/>
            <w:vAlign w:val="center"/>
          </w:tcPr>
          <w:p>
            <w:pPr>
              <w:jc w:val="right"/>
            </w:pPr>
            <w:r>
              <w:rPr>
                <w:rFonts w:ascii="宋体" w:eastAsia="宋体" w:hAnsi="宋体" w:cs="宋体"/>
                <w:b w:val="0"/>
                <w:i w:val="0"/>
                <w:color w:val="000000"/>
                <w:sz w:val="25"/>
              </w:rPr>
              <w:t xml:space="preserve">0.42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0.42</w:t>
            </w:r>
          </w:p>
        </w:tc>
        <w:tc>
          <w:tcPr>
            <w:tcW w:w="2700" w:type="dxa"/>
            <w:tcBorders/>
            <w:vAlign w:val="center"/>
          </w:tcPr>
          <w:p>
            <w:pPr>
              <w:jc w:val="right"/>
            </w:pPr>
            <w:r>
              <w:rPr>
                <w:rFonts w:ascii="宋体" w:eastAsia="宋体" w:hAnsi="宋体" w:cs="宋体"/>
                <w:b w:val="0"/>
                <w:i w:val="0"/>
                <w:color w:val="000000"/>
                <w:sz w:val="25"/>
              </w:rPr>
              <w:t xml:space="preserve">0.42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93.15</w:t>
            </w:r>
          </w:p>
        </w:tc>
        <w:tc>
          <w:tcPr>
            <w:tcW w:w="2700" w:type="dxa"/>
            <w:tcBorders/>
            <w:vAlign w:val="center"/>
          </w:tcPr>
          <w:p>
            <w:pPr>
              <w:jc w:val="right"/>
            </w:pPr>
            <w:r>
              <w:rPr>
                <w:rFonts w:ascii="宋体" w:eastAsia="宋体" w:hAnsi="宋体" w:cs="宋体"/>
                <w:b w:val="0"/>
                <w:i w:val="0"/>
                <w:color w:val="000000"/>
                <w:sz w:val="25"/>
              </w:rPr>
              <w:t xml:space="preserve">93.15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80.02</w:t>
            </w:r>
          </w:p>
        </w:tc>
        <w:tc>
          <w:tcPr>
            <w:tcW w:w="2700" w:type="dxa"/>
            <w:tcBorders/>
            <w:vAlign w:val="center"/>
          </w:tcPr>
          <w:p>
            <w:pPr>
              <w:jc w:val="right"/>
            </w:pPr>
            <w:r>
              <w:rPr>
                <w:rFonts w:ascii="宋体" w:eastAsia="宋体" w:hAnsi="宋体" w:cs="宋体"/>
                <w:b w:val="0"/>
                <w:i w:val="0"/>
                <w:color w:val="000000"/>
                <w:sz w:val="25"/>
              </w:rPr>
              <w:t xml:space="preserve">80.02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13.13</w:t>
            </w:r>
          </w:p>
        </w:tc>
        <w:tc>
          <w:tcPr>
            <w:tcW w:w="2700" w:type="dxa"/>
            <w:tcBorders/>
            <w:vAlign w:val="center"/>
          </w:tcPr>
          <w:p>
            <w:pPr>
              <w:jc w:val="right"/>
            </w:pPr>
            <w:r>
              <w:rPr>
                <w:rFonts w:ascii="宋体" w:eastAsia="宋体" w:hAnsi="宋体" w:cs="宋体"/>
                <w:b w:val="0"/>
                <w:i w:val="0"/>
                <w:color w:val="000000"/>
                <w:sz w:val="25"/>
              </w:rPr>
              <w:t xml:space="preserve">13.13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13.13</w:t>
            </w:r>
          </w:p>
        </w:tc>
        <w:tc>
          <w:tcPr>
            <w:tcW w:w="2700" w:type="dxa"/>
            <w:tcBorders/>
            <w:vAlign w:val="center"/>
          </w:tcPr>
          <w:p>
            <w:pPr>
              <w:jc w:val="right"/>
            </w:pPr>
            <w:r>
              <w:rPr>
                <w:rFonts w:ascii="宋体" w:eastAsia="宋体" w:hAnsi="宋体" w:cs="宋体"/>
                <w:b w:val="0"/>
                <w:i w:val="0"/>
                <w:color w:val="000000"/>
                <w:sz w:val="25"/>
              </w:rPr>
              <w:t xml:space="preserve">13.13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230.91</w:t>
            </w:r>
          </w:p>
        </w:tc>
        <w:tc>
          <w:tcPr>
            <w:tcW w:w="2700" w:type="dxa"/>
            <w:tcBorders/>
            <w:vAlign w:val="center"/>
          </w:tcPr>
          <w:p>
            <w:pPr>
              <w:jc w:val="right"/>
            </w:pPr>
            <w:r>
              <w:rPr>
                <w:rFonts w:ascii="宋体" w:eastAsia="宋体" w:hAnsi="宋体" w:cs="宋体"/>
                <w:b w:val="0"/>
                <w:i w:val="0"/>
                <w:color w:val="000000"/>
                <w:sz w:val="25"/>
              </w:rPr>
              <w:t xml:space="preserve">60.16</w:t>
            </w:r>
          </w:p>
        </w:tc>
        <w:tc>
          <w:tcPr>
            <w:tcW w:w="2658" w:type="dxa"/>
            <w:tcBorders/>
            <w:vAlign w:val="center"/>
          </w:tcPr>
          <w:p>
            <w:pPr>
              <w:jc w:val="right"/>
            </w:pPr>
            <w:r>
              <w:rPr>
                <w:rFonts w:ascii="宋体" w:eastAsia="宋体" w:hAnsi="宋体" w:cs="宋体"/>
                <w:b w:val="0"/>
                <w:i w:val="0"/>
                <w:color w:val="000000"/>
                <w:sz w:val="25"/>
              </w:rPr>
              <w:t xml:space="preserve">170.74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3.55</w:t>
            </w:r>
          </w:p>
        </w:tc>
        <w:tc>
          <w:tcPr>
            <w:tcW w:w="2700" w:type="dxa"/>
            <w:tcBorders/>
            <w:vAlign w:val="center"/>
          </w:tcPr>
          <w:p>
            <w:pPr>
              <w:jc w:val="right"/>
            </w:pPr>
            <w:r>
              <w:rPr>
                <w:rFonts w:ascii="宋体" w:eastAsia="宋体" w:hAnsi="宋体" w:cs="宋体"/>
                <w:b w:val="0"/>
                <w:i w:val="0"/>
                <w:color w:val="000000"/>
                <w:sz w:val="25"/>
              </w:rPr>
              <w:t xml:space="preserve">3.55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其他公共卫生支出</w:t>
            </w:r>
          </w:p>
        </w:tc>
        <w:tc>
          <w:tcPr>
            <w:tcW w:w="2700" w:type="dxa"/>
            <w:tcBorders/>
            <w:vAlign w:val="center"/>
          </w:tcPr>
          <w:p>
            <w:pPr>
              <w:jc w:val="right"/>
            </w:pPr>
            <w:r>
              <w:rPr>
                <w:rFonts w:ascii="宋体" w:eastAsia="宋体" w:hAnsi="宋体" w:cs="宋体"/>
                <w:b w:val="0"/>
                <w:i w:val="0"/>
                <w:color w:val="000000"/>
                <w:sz w:val="25"/>
              </w:rPr>
              <w:t xml:space="preserve">3.55</w:t>
            </w:r>
          </w:p>
        </w:tc>
        <w:tc>
          <w:tcPr>
            <w:tcW w:w="2700" w:type="dxa"/>
            <w:tcBorders/>
            <w:vAlign w:val="center"/>
          </w:tcPr>
          <w:p>
            <w:pPr>
              <w:jc w:val="right"/>
            </w:pPr>
            <w:r>
              <w:rPr>
                <w:rFonts w:ascii="宋体" w:eastAsia="宋体" w:hAnsi="宋体" w:cs="宋体"/>
                <w:b w:val="0"/>
                <w:i w:val="0"/>
                <w:color w:val="000000"/>
                <w:sz w:val="25"/>
              </w:rPr>
              <w:t xml:space="preserve">3.55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计划生育事务</w:t>
            </w:r>
          </w:p>
        </w:tc>
        <w:tc>
          <w:tcPr>
            <w:tcW w:w="2700" w:type="dxa"/>
            <w:tcBorders/>
            <w:vAlign w:val="center"/>
          </w:tcPr>
          <w:p>
            <w:pPr>
              <w:jc w:val="right"/>
            </w:pPr>
            <w:r>
              <w:rPr>
                <w:rFonts w:ascii="宋体" w:eastAsia="宋体" w:hAnsi="宋体" w:cs="宋体"/>
                <w:b w:val="0"/>
                <w:i w:val="0"/>
                <w:color w:val="000000"/>
                <w:sz w:val="25"/>
              </w:rPr>
              <w:t xml:space="preserve">54.75</w:t>
            </w:r>
          </w:p>
        </w:tc>
        <w:tc>
          <w:tcPr>
            <w:tcW w:w="2700" w:type="dxa"/>
            <w:tcBorders/>
            <w:vAlign w:val="center"/>
          </w:tcPr>
          <w:p>
            <w:pPr>
              <w:jc w:val="right"/>
            </w:pPr>
            <w:r>
              <w:rPr>
                <w:rFonts w:ascii="宋体" w:eastAsia="宋体" w:hAnsi="宋体" w:cs="宋体"/>
                <w:b w:val="0"/>
                <w:i w:val="0"/>
                <w:color w:val="000000"/>
                <w:sz w:val="25"/>
              </w:rPr>
              <w:t xml:space="preserve">54.75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2100717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计划生育服务</w:t>
            </w:r>
          </w:p>
        </w:tc>
        <w:tc>
          <w:tcPr>
            <w:tcW w:w="2700" w:type="dxa"/>
            <w:tcBorders/>
            <w:vAlign w:val="center"/>
          </w:tcPr>
          <w:p>
            <w:pPr>
              <w:jc w:val="right"/>
            </w:pPr>
            <w:r>
              <w:rPr>
                <w:rFonts w:ascii="宋体" w:eastAsia="宋体" w:hAnsi="宋体" w:cs="宋体"/>
                <w:b w:val="0"/>
                <w:i w:val="0"/>
                <w:color w:val="000000"/>
                <w:sz w:val="25"/>
              </w:rPr>
              <w:t xml:space="preserve">54.75</w:t>
            </w:r>
          </w:p>
        </w:tc>
        <w:tc>
          <w:tcPr>
            <w:tcW w:w="2700" w:type="dxa"/>
            <w:tcBorders/>
            <w:vAlign w:val="center"/>
          </w:tcPr>
          <w:p>
            <w:pPr>
              <w:jc w:val="right"/>
            </w:pPr>
            <w:r>
              <w:rPr>
                <w:rFonts w:ascii="宋体" w:eastAsia="宋体" w:hAnsi="宋体" w:cs="宋体"/>
                <w:b w:val="0"/>
                <w:i w:val="0"/>
                <w:color w:val="000000"/>
                <w:sz w:val="25"/>
              </w:rPr>
              <w:t xml:space="preserve">54.75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1.86</w:t>
            </w:r>
          </w:p>
        </w:tc>
        <w:tc>
          <w:tcPr>
            <w:tcW w:w="2700" w:type="dxa"/>
            <w:tcBorders/>
            <w:vAlign w:val="center"/>
          </w:tcPr>
          <w:p>
            <w:pPr>
              <w:jc w:val="right"/>
            </w:pPr>
            <w:r>
              <w:rPr>
                <w:rFonts w:ascii="宋体" w:eastAsia="宋体" w:hAnsi="宋体" w:cs="宋体"/>
                <w:b w:val="0"/>
                <w:i w:val="0"/>
                <w:color w:val="000000"/>
                <w:sz w:val="25"/>
              </w:rPr>
              <w:t xml:space="preserve">1.86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1.86</w:t>
            </w:r>
          </w:p>
        </w:tc>
        <w:tc>
          <w:tcPr>
            <w:tcW w:w="2700" w:type="dxa"/>
            <w:tcBorders/>
            <w:vAlign w:val="center"/>
          </w:tcPr>
          <w:p>
            <w:pPr>
              <w:jc w:val="right"/>
            </w:pPr>
            <w:r>
              <w:rPr>
                <w:rFonts w:ascii="宋体" w:eastAsia="宋体" w:hAnsi="宋体" w:cs="宋体"/>
                <w:b w:val="0"/>
                <w:i w:val="0"/>
                <w:color w:val="000000"/>
                <w:sz w:val="25"/>
              </w:rPr>
              <w:t xml:space="preserve">1.86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170.74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170.74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170.74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170.74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3.34</w:t>
            </w:r>
          </w:p>
        </w:tc>
        <w:tc>
          <w:tcPr>
            <w:tcW w:w="2700" w:type="dxa"/>
            <w:tcBorders/>
            <w:vAlign w:val="center"/>
          </w:tcPr>
          <w:p>
            <w:pPr>
              <w:jc w:val="right"/>
            </w:pPr>
            <w:r>
              <w:rPr>
                <w:rFonts w:ascii="宋体" w:eastAsia="宋体" w:hAnsi="宋体" w:cs="宋体"/>
                <w:b w:val="0"/>
                <w:i w:val="0"/>
                <w:color w:val="000000"/>
                <w:sz w:val="25"/>
              </w:rPr>
              <w:t xml:space="preserve">3.34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3.34</w:t>
            </w:r>
          </w:p>
        </w:tc>
        <w:tc>
          <w:tcPr>
            <w:tcW w:w="2700" w:type="dxa"/>
            <w:tcBorders/>
            <w:vAlign w:val="center"/>
          </w:tcPr>
          <w:p>
            <w:pPr>
              <w:jc w:val="right"/>
            </w:pPr>
            <w:r>
              <w:rPr>
                <w:rFonts w:ascii="宋体" w:eastAsia="宋体" w:hAnsi="宋体" w:cs="宋体"/>
                <w:b w:val="0"/>
                <w:i w:val="0"/>
                <w:color w:val="000000"/>
                <w:sz w:val="25"/>
              </w:rPr>
              <w:t xml:space="preserve">3.34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3.34</w:t>
            </w:r>
          </w:p>
        </w:tc>
        <w:tc>
          <w:tcPr>
            <w:tcW w:w="2700" w:type="dxa"/>
            <w:tcBorders/>
            <w:vAlign w:val="center"/>
          </w:tcPr>
          <w:p>
            <w:pPr>
              <w:jc w:val="right"/>
            </w:pPr>
            <w:r>
              <w:rPr>
                <w:rFonts w:ascii="宋体" w:eastAsia="宋体" w:hAnsi="宋体" w:cs="宋体"/>
                <w:b w:val="0"/>
                <w:i w:val="0"/>
                <w:color w:val="000000"/>
                <w:sz w:val="25"/>
              </w:rPr>
              <w:t xml:space="preserve">3.34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63.36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8.87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17.10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1.09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11.48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17.55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7.82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2.20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1.86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0.87</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3.34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89.15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76.02</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13.13</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0.42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2.21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0.70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152.51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8.87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单位：许昌市卫生医学考试中心（许昌市计划生育药具管理站）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332.12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增加60.29万元，增长22.18%</w:t>
      </w:r>
      <w:r>
        <w:rPr>
          <w:rFonts w:ascii="仿宋" w:eastAsia="仿宋" w:hAnsi="仿宋" w:cs="仿宋" w:hint="eastAsia"/>
          <w:kern w:val="0"/>
          <w:sz w:val="32"/>
          <w:szCs w:val="32"/>
          <w:lang w:val="en-US" w:eastAsia="zh-CN"/>
        </w:rPr>
        <w:t xml:space="preserve">。主要原因是2023年增加了许昌市保健服务中心决算数据。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324.12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财政拨款收入324.12万元，占100.00%；上级补助收入0.00万元，占0.00%；事业收入0.00万元，占0.00%；经营收入0.00万元，占0.00%；附属单位上缴收入0.00万元，占0.00%；其他收入0.00万元，占0.00%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332.12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基本支出161.38万元，占48.59%；项目支出170.74万元，占51.41%；上缴上级支出0.00万元，占0.00%；经营支出0.00万元，占0.00%；对附属单位补助支出0.00万元，占0.00%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332.12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增加60.29万元，增长22.18%</w:t>
      </w:r>
      <w:r>
        <w:rPr>
          <w:rFonts w:ascii="仿宋" w:eastAsia="仿宋" w:hAnsi="仿宋" w:cs="仿宋" w:hint="eastAsia"/>
          <w:kern w:val="0"/>
          <w:sz w:val="32"/>
          <w:szCs w:val="32"/>
          <w:lang w:val="en-US" w:eastAsia="zh-CN"/>
        </w:rPr>
        <w:t xml:space="preserve">。主要原因是2023年增加了许昌市保健服务中心决算数据。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332.12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增加60.29万元，增长22.18%</w:t>
      </w:r>
      <w:r>
        <w:rPr>
          <w:rFonts w:ascii="仿宋" w:eastAsia="仿宋" w:hAnsi="仿宋" w:cs="仿宋" w:hint="eastAsia"/>
          <w:kern w:val="0"/>
          <w:sz w:val="32"/>
          <w:szCs w:val="32"/>
          <w:lang w:val="en-US" w:eastAsia="zh-CN"/>
        </w:rPr>
        <w:t xml:space="preserve">。主要原因是2023年增加了许昌市保健服务中心决算数据。</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332.12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一般公共服务支出（类）4.72万元，占1.42%；社会保障和就业支出（类）93.15万元，占28.05%；卫生健康支出（类）230.91万元，占69.53%；住房保障支出（类）3.34万元，占1.01%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146.00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332.12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227.48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年初预算数为0.42万元，决算数0.42万元,完成年初预算的100.00%，决算数与年初预算数不存在差异。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年初预算数为0.00万元，决算数4.31万元,决算数与年初预算数存在差异的主要原因是本年度预算调整。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年初预算数为73.44万元，决算数76.02万元,完成年初预算的103.51%，决算数与年初预算数存在差异的主要原因是社保基数调整。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年初预算数为0.00万元，决算数4.00万元,决算数与年初预算数存在差异的主要原因是本年度预算调整。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5.社会保障和就业支出（类）抚恤（款）死亡抚恤（项）</w:t>
      </w:r>
      <w:r>
        <w:rPr>
          <w:rFonts w:ascii="仿宋" w:eastAsia="仿宋" w:hAnsi="仿宋" w:cs="仿宋" w:hint="default"/>
          <w:kern w:val="2"/>
          <w:sz w:val="32"/>
          <w:szCs w:val="32"/>
          <w:lang w:val="en-US" w:eastAsia="zh-CN"/>
        </w:rPr>
        <w:t xml:space="preserve">年初预算数为0.00万元，决算数13.13万元,决算数与年初预算数存在差异的主要原因是本年临时预算。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6.卫生健康支出（类）公共卫生（款）其他公共卫生支出（项）</w:t>
      </w:r>
      <w:r>
        <w:rPr>
          <w:rFonts w:ascii="仿宋" w:eastAsia="仿宋" w:hAnsi="仿宋" w:cs="仿宋" w:hint="default"/>
          <w:kern w:val="2"/>
          <w:sz w:val="32"/>
          <w:szCs w:val="32"/>
          <w:lang w:val="en-US" w:eastAsia="zh-CN"/>
        </w:rPr>
        <w:t xml:space="preserve">年初预算数为0.00万元，决算数3.55万元,决算数与年初预算数存在差异的主要原因是本年度预算调整。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7.卫生健康支出（类）计划生育事务（款）计划生育服务（项）</w:t>
      </w:r>
      <w:r>
        <w:rPr>
          <w:rFonts w:ascii="仿宋" w:eastAsia="仿宋" w:hAnsi="仿宋" w:cs="仿宋" w:hint="default"/>
          <w:kern w:val="2"/>
          <w:sz w:val="32"/>
          <w:szCs w:val="32"/>
          <w:lang w:val="en-US" w:eastAsia="zh-CN"/>
        </w:rPr>
        <w:t xml:space="preserve">年初预算数为65.58万元，决算数54.75万元,完成年初预算的83.49%，决算数与年初预算数存在差异的主要原因是本年度预算调整。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年初预算数为2.26万元，决算数1.86万元,完成年初预算的82.30%，决算数与年初预算数存在差异的主要原因是本年度预算调整。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9.卫生健康支出（类）其他卫生健康支出（款）其他卫生健康支出（项）</w:t>
      </w:r>
      <w:r>
        <w:rPr>
          <w:rFonts w:ascii="仿宋" w:eastAsia="仿宋" w:hAnsi="仿宋" w:cs="仿宋" w:hint="default"/>
          <w:kern w:val="2"/>
          <w:sz w:val="32"/>
          <w:szCs w:val="32"/>
          <w:lang w:val="en-US" w:eastAsia="zh-CN"/>
        </w:rPr>
        <w:t xml:space="preserve">年初预算数为0.00万元，决算数170.74万元,决算数与年初预算数存在差异的主要原因是新增考试中心考务费项目和保健中心开办费、干部体检费。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年初预算数为4.31万元，决算数3.34万元,完成年初预算的77.49%，决算数与年初预算数存在差异的主要原因是本年度预算调整。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161.38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其中：人员经费152.51万元，主要包括：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公用经费8.87万元，主要包括：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332.12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从单位整体自评情况来看，单位履职效能进一步提升，各项工作基本完成，资产管理比较规范</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基于项目预期目标的实现程度，我单位对2023年度单位预算项目支出（含单位参与分配的转移支付项目）开展绩效自评，涉及项目3个，项目金额170.74万元。其中：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2021年度和2022年度卫生医学考务费自评得分为100分，等级为“优”。为保证考试的公平性、公正性和安全性，确保考试费用在预算范围内，并尽可能降低成本，提高资金使用效率，本着厉行节约原则，所需费用按规定实报实销。保障了我市医学类考试的正常运行，选拔了优秀合格人才，确保教育的公平性，并发放了职业技能认定证书。存在问题：因疫情考试推迟，资金未及时发放。原因分析：疫情期间，考试推迟，道路封控。下一步改进措施：做好预算，加强绩效管理，不断提高预算编制的科学性和准确性。</w:t>
        <w:br/>
        <w:t xml:space="preserve">    （2）许昌市保健服务中心开办费自评得分为100分，等级为“优”。加强市保健服务中心建设，更好地做好保健服务工作，本着节约、按需购买办公桌椅及设备，所需费用按规定实报实销。有效保证了保健服务工作顺利开展。存在问题：预算编报不够精准。原因分析：市保健服务中心是新成立单位，年初没有预算。下一步改进措施：做好预算，加强绩效管理，不断提高预算编制的科学性和准确性。</w:t>
        <w:br/>
        <w:t xml:space="preserve">    （3）2023年地专级干部体检费自评得分为97.1分，等级为“优”。本着对干部健康负责的精神，切实重视干部定期健康体检工作，变被动医疗为积极保健，做到早期发现、有病早治、无病早防，所需费用按规定实报实销。减轻了保健对象体检及日常保健用药费用负担。存在问题：预算编报不够精准。原因分析：市保健服务中心是新成立单位，年初没有预算。下一步改进措施：做好预算，加强绩效管理，不断提高预算编制的科学性和准确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从项目绩效自评情况来看，项目支出绩效管理的重视程度进一步提升，大部分项目有序开展，执行和完成情况较好，资金使用比较规范。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0" w:type="auto"/>
        <w:tblInd w:w="93" w:type="dxa"/>
        <w:tblCellMar>
          <w:top w:w="0" w:type="dxa"/>
          <w:left w:w="108" w:type="dxa"/>
          <w:bottom w:w="0" w:type="dxa"/>
          <w:right w:w="108" w:type="dxa"/>
        </w:tblCellMar>
        <w:tblLook w:val="0000" w:firstRow="0" w:lastRow="0" w:firstColumn="0" w:lastColumn="0" w:noHBand="0" w:noVBand="0"/>
      </w:tblPr>
      <w:tblGrid>
        <w:gridCol w:w="1656"/>
        <w:gridCol w:w="1296"/>
        <w:gridCol w:w="1656"/>
        <w:gridCol w:w="2466"/>
        <w:gridCol w:w="1116"/>
        <w:gridCol w:w="1116"/>
        <w:gridCol w:w="576"/>
        <w:gridCol w:w="576"/>
        <w:gridCol w:w="846"/>
        <w:gridCol w:w="2196"/>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0"/>
            <w:tcBorders>
              <w:top w:val="nil"/>
              <w:left w:val="nil"/>
              <w:bottom w:val="nil"/>
              <w:right w:val="nil"/>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部门整体自评表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部门（单位）名称</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许昌市卫生医学考试中心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部门整体支出情况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332.12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332.12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332.12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10</w:t>
            </w:r>
            <w:r>
              <w:rPr>
                <w:rFonts w:ascii="宋体" w:eastAsia="宋体" w:hAnsi="宋体" w:cs="宋体"/>
                <w:i w:val="0"/>
                <w:iCs w:val="0"/>
                <w:color w:val="000000"/>
                <w:kern w:val="0"/>
                <w:sz w:val="18"/>
                <w:szCs w:val="18"/>
                <w:u w:val="none"/>
                <w:lang w:val="en-US" w:eastAsia="zh-CN" w:bidi="en-AU"/>
              </w:rPr>
              <w:t xml:space="preserve">0</w:t>
            </w:r>
            <w:r>
              <w:rPr>
                <w:rFonts w:ascii="宋体" w:hAnsi="宋体" w:cs="宋体" w:hint="eastAsia"/>
                <w:i w:val="0"/>
                <w:iCs w:val="0"/>
                <w:color w:val="000000"/>
                <w:kern w:val="0"/>
                <w:sz w:val="18"/>
                <w:szCs w:val="18"/>
                <w:u w:val="none"/>
                <w:lang w:val="en-US" w:eastAsia="zh-CN" w:bidi="en-AU"/>
              </w:rPr>
              <w:t xml:space="preserve">.00</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332.12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332.12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332.12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hAnsi="宋体" w:cs="宋体" w:hint="eastAsia"/>
                <w:i w:val="0"/>
                <w:iCs w:val="0"/>
                <w:color w:val="000000"/>
                <w:kern w:val="0"/>
                <w:sz w:val="18"/>
                <w:szCs w:val="18"/>
                <w:u w:val="none"/>
                <w:lang w:val="en-US" w:eastAsia="zh-CN" w:bidi="en-AU"/>
              </w:rPr>
              <w:t xml:space="preserve">00</w:t>
            </w:r>
            <w:r>
              <w:rPr>
                <w:rFonts w:ascii="宋体" w:eastAsia="宋体" w:hAnsi="宋体" w:cs="宋体"/>
                <w:i w:val="0"/>
                <w:iCs w:val="0"/>
                <w:color w:val="000000"/>
                <w:kern w:val="0"/>
                <w:sz w:val="18"/>
                <w:szCs w:val="18"/>
                <w:u w:val="none"/>
                <w:lang w:val="en-US" w:eastAsia="zh-CN" w:bidi="en-AU"/>
              </w:rPr>
              <w:t xml:space="preserve">.</w:t>
            </w:r>
            <w:r>
              <w:rPr>
                <w:rFonts w:ascii="宋体" w:hAnsi="宋体" w:cs="宋体" w:hint="eastAsia"/>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61"/>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组织卫生健康系统考试，提供计生药具管理服务。</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已完成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100</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0.00</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三公经</w:t>
            </w:r>
            <w:r>
              <w:rPr>
                <w:rFonts w:ascii="宋体" w:eastAsia="宋体" w:hAnsi="宋体" w:cs="宋体"/>
                <w:i w:val="0"/>
                <w:iCs w:val="0"/>
                <w:color w:val="000000"/>
                <w:kern w:val="0"/>
                <w:sz w:val="18"/>
                <w:szCs w:val="18"/>
                <w:u w:val="none"/>
                <w:lang w:val="en-US" w:eastAsia="zh-CN" w:bidi="en-AU"/>
              </w:rPr>
              <w:t xml:space="preserve">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完成情况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各个项目目标实现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各个项目目标效益发挥得当</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服务对象的满意程度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ea0987c-d92a-4836-9792-64cccbe54dc4"/>
              <w:rPr>
                <w:rFonts w:ascii="宋体" w:eastAsia="宋体" w:hAnsi="宋体" w:cs="宋体" w:hint="eastAsia"/>
                <w:i w:val="0"/>
                <w:iCs w:val="0"/>
                <w:color w:val="000000"/>
                <w:sz w:val="18"/>
                <w:szCs w:val="18"/>
                <w:u w:val="none"/>
              </w:rPr>
            </w:pPr>
          </w:p>
        </w:tc>
      </w:tr>
    </w:tbl>
    <w:p>
      <w:pPr>
        <w:pStyle w:val="Normal_4ea0987c-d92a-4836-9792-64cccbe54dc4"/>
        <w:sectPr>
          <w:type w:val="nextPage"/>
          <w:pgSz w:w="16838" w:h="11906" w:orient="landscape"/>
          <w:pgMar w:top="1800" w:right="1440" w:bottom="1800" w:left="1440" w:header="851" w:footer="992" w:gutter="0"/>
          <w:docGrid w:type="lines" w:linePitch="312" w:charSpace="0"/>
        </w:sectPr>
      </w:pPr>
    </w:p>
    <w:p>
      <w:pPr>
        <w:pStyle w:val="Normal_11094b38-49ac-4683-b4ca-00d3fdaa71ec"/>
        <w:sectPr>
          <w:pgSz w:w="16838" w:h="11906" w:orient="landscape"/>
          <w:pgMar w:top="1800" w:right="1440" w:bottom="1800" w:left="1440" w:header="851" w:footer="992" w:gutter="0"/>
          <w:docGrid w:type="lines" w:linePitch="312"/>
        </w:sectPr>
      </w:pPr>
    </w:p>
    <w:tbl>
      <w:tblPr>
        <w:tblStyle w:val="NormalTable0"/>
        <w:tblW w:w="15120" w:type="dxa"/>
        <w:tblInd w:w="93" w:type="dxa"/>
        <w:tblCellMar>
          <w:top w:w="0" w:type="dxa"/>
          <w:left w:w="108" w:type="dxa"/>
          <w:bottom w:w="0" w:type="dxa"/>
          <w:right w:w="108" w:type="dxa"/>
        </w:tblCellMar>
        <w:tblLook w:val="0000" w:firstRow="0" w:lastRow="0" w:firstColumn="0" w:lastColumn="0" w:noHBand="0" w:noVBand="0"/>
      </w:tblPr>
      <w:tblGrid>
        <w:gridCol w:w="914"/>
        <w:gridCol w:w="164"/>
        <w:gridCol w:w="652"/>
        <w:gridCol w:w="427"/>
        <w:gridCol w:w="1080"/>
        <w:gridCol w:w="91"/>
        <w:gridCol w:w="852"/>
        <w:gridCol w:w="137"/>
        <w:gridCol w:w="715"/>
        <w:gridCol w:w="365"/>
        <w:gridCol w:w="1080"/>
        <w:gridCol w:w="1079"/>
        <w:gridCol w:w="1079"/>
        <w:gridCol w:w="1079"/>
        <w:gridCol w:w="599"/>
        <w:gridCol w:w="481"/>
        <w:gridCol w:w="432"/>
        <w:gridCol w:w="571"/>
        <w:gridCol w:w="84"/>
        <w:gridCol w:w="494"/>
        <w:gridCol w:w="523"/>
        <w:gridCol w:w="63"/>
        <w:gridCol w:w="752"/>
        <w:gridCol w:w="1407"/>
      </w:tblGrid>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5120" w:type="dxa"/>
            <w:gridSpan w:val="24"/>
            <w:tcBorders>
              <w:top w:val="nil"/>
              <w:left w:val="nil"/>
              <w:bottom w:val="nil"/>
              <w:right w:val="nil"/>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w="13387" w:type="dxa"/>
            <w:gridSpan w:val="21"/>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市保健服务中心开办经费</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w="8586"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许昌市卫生健康委员会</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w="3888"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市保健服务中心</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68"/>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8</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sz w:val="18"/>
                <w:szCs w:val="18"/>
                <w:u w:val="none"/>
                <w:lang w:val="en-US" w:eastAsia="zh-CN"/>
              </w:rPr>
              <w:t xml:space="preserve">8</w:t>
            </w:r>
          </w:p>
        </w:tc>
        <w:tc>
          <w:tcPr>
            <w:tcW w:w="523" w:type="dxa"/>
            <w:tcBorders>
              <w:top w:val="nil"/>
              <w:left w:val="nil"/>
              <w:bottom w:val="nil"/>
              <w:right w:val="nil"/>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sz w:val="18"/>
                <w:szCs w:val="18"/>
                <w:u w:val="none"/>
                <w:lang w:val="en-US" w:eastAsia="zh-CN"/>
              </w:rPr>
              <w:t xml:space="preserve">8</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sz w:val="18"/>
                <w:szCs w:val="18"/>
                <w:u w:val="none"/>
                <w:lang w:val="en-US" w:eastAsia="zh-CN"/>
              </w:rPr>
              <w:t xml:space="preserve">8</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rPr>
                <w:rFonts w:ascii="宋体" w:eastAsia="宋体" w:hAnsi="宋体" w:cs="宋体" w:hint="eastAsia"/>
                <w:i w:val="0"/>
                <w:iCs w:val="0"/>
                <w:color w:val="000000"/>
                <w:sz w:val="18"/>
                <w:szCs w:val="18"/>
                <w:u w:val="none"/>
              </w:rPr>
            </w:pP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科学安排资金</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依据上级部门资金分配计划，单位在一体化平台录入用款计划申请，财政审核后下达用款指标，用于单位支付。</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资金使用规范</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年初进行了绩效申报，年中进行了绩效监控，年末进行绩效自评，并形成绩效评价报告。</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w="9404" w:type="dxa"/>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4801"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9404" w:type="dxa"/>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加强市保健服务中心建设，更好地做好保健服务工作，本着节约、按需购买办公桌椅及设备，所需费用按规定实报实销。</w:t>
            </w:r>
          </w:p>
        </w:tc>
        <w:tc>
          <w:tcPr>
            <w:tcW w:w="4801"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已完成</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81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项目成本</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hAnsi="宋体" w:cs="宋体" w:hint="eastAsia"/>
                <w:i w:val="0"/>
                <w:iCs w:val="0"/>
                <w:color w:val="000000"/>
                <w:kern w:val="0"/>
                <w:sz w:val="18"/>
                <w:szCs w:val="18"/>
                <w:u w:val="none"/>
                <w:lang w:val="en-US" w:eastAsia="zh-CN" w:bidi="en-AU"/>
              </w:rPr>
              <w:t xml:space="preserve">8</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8</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保障对象人数</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5</w:t>
            </w:r>
            <w:r>
              <w:rPr>
                <w:rFonts w:ascii="宋体" w:eastAsia="宋体" w:hAnsi="宋体" w:cs="宋体" w:hint="eastAsia"/>
                <w:i w:val="0"/>
                <w:iCs w:val="0"/>
                <w:color w:val="000000"/>
                <w:kern w:val="0"/>
                <w:sz w:val="18"/>
                <w:szCs w:val="18"/>
                <w:u w:val="none"/>
                <w:lang w:val="en-US" w:eastAsia="zh-CN" w:bidi="en-AU"/>
              </w:rPr>
              <w:t xml:space="preserve">人</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办公桌椅采购数</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5</w:t>
            </w:r>
            <w:r>
              <w:rPr>
                <w:rFonts w:ascii="宋体" w:eastAsia="宋体" w:hAnsi="宋体" w:cs="宋体" w:hint="eastAsia"/>
                <w:i w:val="0"/>
                <w:iCs w:val="0"/>
                <w:color w:val="000000"/>
                <w:kern w:val="0"/>
                <w:sz w:val="18"/>
                <w:szCs w:val="18"/>
                <w:u w:val="none"/>
                <w:lang w:val="en-US" w:eastAsia="zh-CN" w:bidi="en-AU"/>
              </w:rPr>
              <w:t xml:space="preserve">套</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办公设备保障及时率</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100%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10</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10</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中心办公运转效率</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有效提升</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有效保证保健服务工作顺利开展</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公平</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公平</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工作人员满意度</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317" w:type="dxa"/>
            <w:gridSpan w:val="1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5120" w:type="dxa"/>
            <w:gridSpan w:val="24"/>
            <w:tcBorders>
              <w:top w:val="nil"/>
              <w:left w:val="nil"/>
              <w:bottom w:val="nil"/>
              <w:right w:val="nil"/>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w="12960" w:type="dxa"/>
            <w:gridSpan w:val="20"/>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年度</w:t>
            </w:r>
            <w:r>
              <w:rPr>
                <w:rFonts w:ascii="宋体" w:eastAsia="宋体" w:hAnsi="宋体" w:cs="宋体"/>
                <w:i w:val="0"/>
                <w:iCs w:val="0"/>
                <w:color w:val="000000"/>
                <w:kern w:val="0"/>
                <w:sz w:val="18"/>
                <w:szCs w:val="18"/>
                <w:u w:val="none"/>
                <w:lang w:val="en-US" w:eastAsia="zh-CN" w:bidi="en-AU"/>
              </w:rPr>
              <w:t xml:space="preserve">和</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年度卫生医学考务费</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w="4320"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许昌市卫生健康委员会</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w="6480" w:type="dxa"/>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许昌市卫生医学考试中心</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89.87</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89.87</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89.87</w:t>
            </w:r>
          </w:p>
        </w:tc>
        <w:tc>
          <w:tcPr>
            <w:tcW w:w="1080" w:type="dxa"/>
            <w:gridSpan w:val="3"/>
            <w:tcBorders>
              <w:top w:val="nil"/>
              <w:left w:val="nil"/>
              <w:bottom w:val="nil"/>
              <w:right w:val="nil"/>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89.87</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89.87</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89.87</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8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rPr>
                <w:rFonts w:ascii="宋体" w:eastAsia="宋体" w:hAnsi="宋体" w:cs="宋体" w:hint="eastAsia"/>
                <w:i w:val="0"/>
                <w:iCs w:val="0"/>
                <w:color w:val="000000"/>
                <w:sz w:val="18"/>
                <w:szCs w:val="18"/>
                <w:u w:val="none"/>
              </w:rPr>
            </w:pPr>
          </w:p>
        </w:tc>
        <w:tc>
          <w:tcPr>
            <w:tcW w:w="324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5400" w:type="dxa"/>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w="324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科学安排资金</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400" w:type="dxa"/>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w="324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依据上级部门资金分配计划，单位在一体化平台录入用款计划申请，财政审核后下达用款指标，用于单位支付。</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400" w:type="dxa"/>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w="324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资金使用规范</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400" w:type="dxa"/>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16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w="324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年初进行了绩效申报，年中进行了绩效监控，年末进行绩效自评，并形成绩效评价报告。</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400" w:type="dxa"/>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08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w="5400"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8640" w:type="dxa"/>
            <w:gridSpan w:val="1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5400"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保证考试的公平性、公正性和安全性，确保考试费用在预算范围内，并尽可能降低成本，提高资金使用效率，本着厉行节约原则，所需费用按规定实报实销。</w:t>
            </w:r>
          </w:p>
        </w:tc>
        <w:tc>
          <w:tcPr>
            <w:tcW w:w="8640" w:type="dxa"/>
            <w:gridSpan w:val="1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已完成</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08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项目成本</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89.87</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89.87</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监考人员劳务费补助</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40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人</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天</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400</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设置考场数量</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个</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考场验收合格率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考场突发事件处置及时率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发放职业技能认定证书</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300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份</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确保教育公平性</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公平</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公平</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w="2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监考人员满意度</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08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7560" w:type="dxa"/>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0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216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1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5120" w:type="dxa"/>
            <w:gridSpan w:val="24"/>
            <w:tcBorders>
              <w:top w:val="nil"/>
              <w:left w:val="nil"/>
              <w:bottom w:val="nil"/>
              <w:right w:val="nil"/>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11094b38-49ac-4683-b4ca-00d3fdaa71ec"/>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w="13387" w:type="dxa"/>
            <w:gridSpan w:val="21"/>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地级干部保健费</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w="8586"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许昌市卫生健康委员会</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w="3888"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市保健服务中心</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68"/>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102</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sz w:val="18"/>
                <w:szCs w:val="18"/>
                <w:u w:val="none"/>
                <w:lang w:val="en-US" w:eastAsia="zh-CN"/>
              </w:rPr>
              <w:t xml:space="preserve">72.87</w:t>
            </w:r>
          </w:p>
        </w:tc>
        <w:tc>
          <w:tcPr>
            <w:tcW w:w="523" w:type="dxa"/>
            <w:tcBorders>
              <w:top w:val="nil"/>
              <w:left w:val="nil"/>
              <w:bottom w:val="nil"/>
              <w:right w:val="nil"/>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71.44</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7.1</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sz w:val="18"/>
                <w:szCs w:val="18"/>
                <w:u w:val="none"/>
                <w:lang w:val="en-US" w:eastAsia="zh-CN"/>
              </w:rPr>
              <w:t xml:space="preserve">102</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sz w:val="18"/>
                <w:szCs w:val="18"/>
                <w:u w:val="none"/>
                <w:lang w:val="en-US" w:eastAsia="zh-CN"/>
              </w:rPr>
              <w:t xml:space="preserve">72.87</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71.44</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4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523"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81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rPr>
                <w:rFonts w:ascii="宋体" w:eastAsia="宋体" w:hAnsi="宋体" w:cs="宋体" w:hint="eastAsia"/>
                <w:i w:val="0"/>
                <w:iCs w:val="0"/>
                <w:color w:val="000000"/>
                <w:sz w:val="18"/>
                <w:szCs w:val="18"/>
                <w:u w:val="none"/>
              </w:rPr>
            </w:pP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科学安排资金</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依据上级部门资金分配计划，单位在一体化平台录入用款计划申请，财政审核后下达用款指标，用于单位支付。</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资金使用规范</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1733"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245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w="6136"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年初进行了绩效申报，年中进行了绩效监控，年末进行绩效自评，并形成绩效评价报告。</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3317"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w="9404" w:type="dxa"/>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4801"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9404" w:type="dxa"/>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本着对干部健康负责的精神，切实重视干部定期健康体检工作，变被动医疗为积极保健，做到早期发现、有病早治、无病早防，所需费用按规定实报实销。</w:t>
            </w:r>
          </w:p>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 </w:t>
            </w:r>
          </w:p>
        </w:tc>
        <w:tc>
          <w:tcPr>
            <w:tcW w:w="4801"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已完成</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81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项目成本</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hAnsi="宋体" w:cs="宋体" w:hint="eastAsia"/>
                <w:i w:val="0"/>
                <w:iCs w:val="0"/>
                <w:color w:val="000000"/>
                <w:sz w:val="18"/>
                <w:szCs w:val="18"/>
                <w:u w:val="none"/>
                <w:lang w:val="en-US" w:eastAsia="zh-CN"/>
              </w:rPr>
              <w:t xml:space="preserve">72.87</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sz w:val="18"/>
                <w:szCs w:val="18"/>
                <w:u w:val="none"/>
                <w:lang w:val="en-US" w:eastAsia="zh-CN"/>
              </w:rPr>
              <w:t xml:space="preserve">72.87</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保障对象人数一级保健对</w:t>
            </w:r>
            <w:r>
              <w:rPr>
                <w:rFonts w:ascii="宋体" w:eastAsia="宋体" w:hAnsi="宋体" w:cs="宋体" w:hint="eastAsia"/>
                <w:i w:val="0"/>
                <w:iCs w:val="0"/>
                <w:color w:val="000000"/>
                <w:kern w:val="0"/>
                <w:sz w:val="18"/>
                <w:szCs w:val="18"/>
                <w:u w:val="none"/>
                <w:lang w:val="en-US" w:eastAsia="zh-CN" w:bidi="en-AU"/>
              </w:rPr>
              <w:t xml:space="preserve">象</w:t>
            </w:r>
            <w:r>
              <w:rPr>
                <w:rFonts w:ascii="宋体" w:eastAsia="宋体" w:hAnsi="宋体" w:cs="宋体" w:hint="eastAsia"/>
                <w:i w:val="0"/>
                <w:iCs w:val="0"/>
                <w:color w:val="000000"/>
                <w:kern w:val="0"/>
                <w:sz w:val="18"/>
                <w:szCs w:val="18"/>
                <w:u w:val="none"/>
                <w:lang w:val="en-US" w:eastAsia="zh-CN" w:bidi="en-AU"/>
              </w:rPr>
              <w:t xml:space="preserve">35</w:t>
            </w:r>
            <w:r>
              <w:rPr>
                <w:rFonts w:ascii="宋体" w:eastAsia="宋体" w:hAnsi="宋体" w:cs="宋体" w:hint="eastAsia"/>
                <w:i w:val="0"/>
                <w:iCs w:val="0"/>
                <w:color w:val="000000"/>
                <w:kern w:val="0"/>
                <w:sz w:val="18"/>
                <w:szCs w:val="18"/>
                <w:u w:val="none"/>
                <w:lang w:val="en-US" w:eastAsia="zh-CN" w:bidi="en-AU"/>
              </w:rPr>
              <w:t xml:space="preserve">8</w:t>
            </w:r>
            <w:r>
              <w:rPr>
                <w:rFonts w:ascii="宋体" w:eastAsia="宋体" w:hAnsi="宋体" w:cs="宋体" w:hint="eastAsia"/>
                <w:i w:val="0"/>
                <w:iCs w:val="0"/>
                <w:color w:val="000000"/>
                <w:kern w:val="0"/>
                <w:sz w:val="18"/>
                <w:szCs w:val="18"/>
                <w:u w:val="none"/>
                <w:lang w:val="en-US" w:eastAsia="zh-CN" w:bidi="en-AU"/>
              </w:rPr>
              <w:t xml:space="preserve">人，二级保健对</w:t>
            </w:r>
            <w:r>
              <w:rPr>
                <w:rFonts w:ascii="宋体" w:eastAsia="宋体" w:hAnsi="宋体" w:cs="宋体" w:hint="eastAsia"/>
                <w:i w:val="0"/>
                <w:iCs w:val="0"/>
                <w:color w:val="000000"/>
                <w:kern w:val="0"/>
                <w:sz w:val="18"/>
                <w:szCs w:val="18"/>
                <w:u w:val="none"/>
                <w:lang w:val="en-US" w:eastAsia="zh-CN" w:bidi="en-AU"/>
              </w:rPr>
              <w:t xml:space="preserve">象</w:t>
            </w:r>
            <w:r>
              <w:rPr>
                <w:rFonts w:ascii="宋体" w:eastAsia="宋体" w:hAnsi="宋体" w:cs="宋体" w:hint="eastAsia"/>
                <w:i w:val="0"/>
                <w:iCs w:val="0"/>
                <w:color w:val="000000"/>
                <w:kern w:val="0"/>
                <w:sz w:val="18"/>
                <w:szCs w:val="18"/>
                <w:u w:val="none"/>
                <w:lang w:val="en-US" w:eastAsia="zh-CN" w:bidi="en-AU"/>
              </w:rPr>
              <w:t xml:space="preserve">17</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人</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53</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人</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531</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hAnsi="宋体" w:cs="宋体" w:hint="eastAsia"/>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按规定实报实销</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体检费报销时效</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及时</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及时</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减轻保健对象体检及日常保健用药费用负担</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有效提升</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无病早防、有病早治、提高生命质量</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逐年提高</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提高</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81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w="159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w="17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保健对象满意度</w:t>
            </w:r>
          </w:p>
        </w:tc>
        <w:tc>
          <w:tcPr>
            <w:tcW w:w="528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9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r>
        <w:tblPrEx>
          <w:tblW w:w="1512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9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0317" w:type="dxa"/>
            <w:gridSpan w:val="16"/>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571"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5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97.1</w:t>
            </w:r>
          </w:p>
        </w:tc>
        <w:tc>
          <w:tcPr>
            <w:tcW w:w="1338"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c>
          <w:tcPr>
            <w:tcW w:w="1408" w:type="dxa"/>
            <w:tcBorders>
              <w:top w:val="single" w:sz="4" w:space="0" w:color="000000"/>
              <w:left w:val="single" w:sz="4" w:space="0" w:color="000000"/>
              <w:bottom w:val="single" w:sz="4" w:space="0" w:color="000000"/>
              <w:right w:val="single" w:sz="4" w:space="0" w:color="000000"/>
            </w:tcBorders>
            <w:noWrap w:val="0"/>
            <w:vAlign w:val="center"/>
          </w:tcPr>
          <w:p>
            <w:pPr>
              <w:pStyle w:val="Normal_11094b38-49ac-4683-b4ca-00d3fdaa71ec"/>
              <w:jc w:val="center"/>
              <w:rPr>
                <w:rFonts w:ascii="宋体" w:eastAsia="宋体" w:hAnsi="宋体" w:cs="宋体" w:hint="eastAsia"/>
                <w:i w:val="0"/>
                <w:iCs w:val="0"/>
                <w:color w:val="000000"/>
                <w:sz w:val="18"/>
                <w:szCs w:val="18"/>
                <w:u w:val="none"/>
              </w:rPr>
            </w:pPr>
          </w:p>
        </w:tc>
      </w:tr>
    </w:tbl>
    <w:p>
      <w:pPr>
        <w:pStyle w:val="Normal_11094b38-49ac-4683-b4ca-00d3fdaa71ec"/>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4ea0987c-d92a-4836-9792-64cccbe54dc4">
    <w:name w:val="Normal_4ea0987c-d92a-4836-9792-64cccbe54dc4"/>
    <w:next w:val="Footer"/>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paragraph" w:styleId="Normal_11094b38-49ac-4683-b4ca-00d3fdaa71ec">
    <w:name w:val="Normal_11094b38-49ac-4683-b4ca-00d3fdaa71ec"/>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