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许昌市卫生健康委员会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许昌市卫生健康委员会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许昌市卫生健康委员会概况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许昌市卫生健康委员会贯彻落实党中央关于卫生健康工作的方针政策和省委、市委决策部署，在履行职责过程中坚持和加强党对卫生健康工作的集中统一领导。主要职责是：    （一）贯彻执行党和国家国民健康政策，执行党和国家、省卫生健康事业发展法律法规、政府规章、政策、规划，负责起草全市卫生健康、中医药事业发展的规范性文件，拟订卫生健康地方标准和技术规范。统筹规划全市卫生健康资源配置，指导全市卫生健康规划编制和实施。制订推进全市卫生健康基本公共服务均等化、普惠化、便携化和公共资源向基层延伸等措施并组织实施。    （二）协调推进深化医药卫生体制改革，研究提出全市深化医药卫生体制改革重大决策、措施的建议。组织深化公立医院综合改革，推进管办分离，健全现代医院管理制度，组织实施国家及省、市推动卫生健康公共服务提供主体多元化、提供方式多样化的政策措施，提出医疗服务和药品价格的有关建议。    （三）拟订并组织落实全市疾病预防控制规划、免疫规划以及危害人民健康公共卫生问题的干预措施。负责全市卫生应急工作，组织指导全市突发公共卫生事件的预防控制和各类突发公共事件的医疗卫生救援。发布法定报告传染病疫情信息、突发公共卫生事件应急处置信息。    （四）拟订并协调落实应对人口老龄化措施，负责推进老年健康服务体系建设和医养结合工作。    （五）贯彻落实国家药物政策和国家基本药物制度，开展药品使用监测、临床综合评价和短缺药品预警。组织开展食品安全风险监测评估，组织拟订食品安全地方标准。    （六）负责执行职责范围内的职业卫生、放射卫生、环境卫生、学校卫生、公共场所卫生、饮用水卫生等公共卫生的监督管理，负责传染病防治监督，健全卫生健康综合监督体系。    （七）拟订全市医疗机构、医疗服务行业、采供血机构管理办法并监督实施，建立医疗服务评价和监督管理体系。会同有关部门贯彻执行国家、省卫生健康专业技术人员资格标准，拟订医疗服务规范、标准和卫生健康专业技术人员职业规则、服务规范并组织实施。    （八）负责计划生育管理和服务工作，开展人口监测预警，研究提出全市人口与家庭发展相关意见和建议。    （九）指导全市基层医疗卫生、妇幼健康服务体系建设。贯彻落实国家、省计划生育政策,制订并组织落实人口出生缺陷干预措施，减少新生儿先天性疾病发生率。负责全市卫生健康宣传、健康教育和健康促进工作。加强全科医生队伍建设。推进全市卫生健康科技创新发展。    （十）负责市保健对象的医疗保健工作，负责在许昌市召开的国际性、国家和省、市重要会议与重大活动的医疗卫生保障工作。承办市委、市政府委托或指定的有关保健医疗方面的工作任务及相关事项。    （十一）负责中医管理工作，拟订全市中医药事业中长期发展规划。    （十二）承担许昌市爱国卫生运动委员会、许昌市艾滋病防治工作委员会、许昌市深化医药卫生体制改革领导小组、许昌市人口和计划生育工作领导小组、许昌市老龄工作委员会、许昌市保健委员会的日常工作。指导许昌市计划生育协会的业务工作。    （十三）完成市委、市政府交办的其他事项。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许昌市卫生健康委员会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宣传科）、人事科教与合作交流科、财务科、规划发展与信息化工作科（爱国卫生运动委员会办公室）、体制改革科、疾病预防控制科（卫生应急办公室）、医政医管科、中医科、基层卫生健康科、综合监督与法规科、药物政策与基本药物制度科、妇幼健康科、职业健康科、人口监测与家庭发展科、老龄健康科（保健科，离退休干部工作科）、政务服务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另设有机关党委。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许昌市卫生健康委员会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、所属单位决算（11个）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1.许昌市卫生健康委员会（本级）    2.许昌市中心医院    3.许昌市红十字会    4.许昌市建安医院    5.许昌市疾病预防控制中心    6.许昌市中心医院南区医院    7.许昌市妇幼保健院    8.许昌市传染病医院    9.许昌市卫生计生监督局    10.许昌市中心血站    11.许昌市卫生医学考试中心    12.许昌市120指挥中心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15,366.12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305.66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167,130.71</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842.07</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1,935.83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187,357.03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8.40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262.86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47.24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183,338.90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189,917.01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5,831.79</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34.75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1,994.58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1,213.52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191,165.27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191,165.27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183,338.90</w:t>
            </w:r>
          </w:p>
        </w:tc>
        <w:tc>
          <w:tcPr>
            <w:tcW w:w="1440" w:type="dxa"/>
            <w:tcBorders/>
            <w:vAlign w:val="center"/>
          </w:tcPr>
          <w:p>
            <w:pPr>
              <w:jc w:val="right"/>
            </w:pPr>
            <w:r>
              <w:rPr>
                <w:rFonts w:ascii="宋体" w:eastAsia="宋体" w:hAnsi="宋体" w:cs="宋体"/>
                <w:b/>
                <w:i w:val="0"/>
                <w:color w:val="000000"/>
                <w:sz w:val="17"/>
              </w:rPr>
              <w:t xml:space="preserve">15,366.12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167,130.71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842.07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305.66</w:t>
            </w:r>
          </w:p>
        </w:tc>
        <w:tc>
          <w:tcPr>
            <w:tcW w:w="1440" w:type="dxa"/>
            <w:tcBorders/>
            <w:vAlign w:val="center"/>
          </w:tcPr>
          <w:p>
            <w:pPr>
              <w:jc w:val="right"/>
            </w:pPr>
            <w:r>
              <w:rPr>
                <w:rFonts w:ascii="宋体" w:eastAsia="宋体" w:hAnsi="宋体" w:cs="宋体"/>
                <w:b w:val="0"/>
                <w:i w:val="0"/>
                <w:color w:val="000000"/>
                <w:sz w:val="17"/>
              </w:rPr>
              <w:t xml:space="preserve">305.66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35.02</w:t>
            </w:r>
          </w:p>
        </w:tc>
        <w:tc>
          <w:tcPr>
            <w:tcW w:w="1440" w:type="dxa"/>
            <w:tcBorders/>
            <w:vAlign w:val="center"/>
          </w:tcPr>
          <w:p>
            <w:pPr>
              <w:jc w:val="right"/>
            </w:pPr>
            <w:r>
              <w:rPr>
                <w:rFonts w:ascii="宋体" w:eastAsia="宋体" w:hAnsi="宋体" w:cs="宋体"/>
                <w:b w:val="0"/>
                <w:i w:val="0"/>
                <w:color w:val="000000"/>
                <w:sz w:val="17"/>
              </w:rPr>
              <w:t xml:space="preserve">35.02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35.02</w:t>
            </w:r>
          </w:p>
        </w:tc>
        <w:tc>
          <w:tcPr>
            <w:tcW w:w="1440" w:type="dxa"/>
            <w:tcBorders/>
            <w:vAlign w:val="center"/>
          </w:tcPr>
          <w:p>
            <w:pPr>
              <w:jc w:val="right"/>
            </w:pPr>
            <w:r>
              <w:rPr>
                <w:rFonts w:ascii="宋体" w:eastAsia="宋体" w:hAnsi="宋体" w:cs="宋体"/>
                <w:b w:val="0"/>
                <w:i w:val="0"/>
                <w:color w:val="000000"/>
                <w:sz w:val="17"/>
              </w:rPr>
              <w:t xml:space="preserve">35.02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229.34</w:t>
            </w:r>
          </w:p>
        </w:tc>
        <w:tc>
          <w:tcPr>
            <w:tcW w:w="1440" w:type="dxa"/>
            <w:tcBorders/>
            <w:vAlign w:val="center"/>
          </w:tcPr>
          <w:p>
            <w:pPr>
              <w:jc w:val="right"/>
            </w:pPr>
            <w:r>
              <w:rPr>
                <w:rFonts w:ascii="宋体" w:eastAsia="宋体" w:hAnsi="宋体" w:cs="宋体"/>
                <w:b w:val="0"/>
                <w:i w:val="0"/>
                <w:color w:val="000000"/>
                <w:sz w:val="17"/>
              </w:rPr>
              <w:t xml:space="preserve">229.34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229.34</w:t>
            </w:r>
          </w:p>
        </w:tc>
        <w:tc>
          <w:tcPr>
            <w:tcW w:w="1440" w:type="dxa"/>
            <w:tcBorders/>
            <w:vAlign w:val="center"/>
          </w:tcPr>
          <w:p>
            <w:pPr>
              <w:jc w:val="right"/>
            </w:pPr>
            <w:r>
              <w:rPr>
                <w:rFonts w:ascii="宋体" w:eastAsia="宋体" w:hAnsi="宋体" w:cs="宋体"/>
                <w:b w:val="0"/>
                <w:i w:val="0"/>
                <w:color w:val="000000"/>
                <w:sz w:val="17"/>
              </w:rPr>
              <w:t xml:space="preserve">229.34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1,333.11</w:t>
            </w:r>
          </w:p>
        </w:tc>
        <w:tc>
          <w:tcPr>
            <w:tcW w:w="1440" w:type="dxa"/>
            <w:tcBorders/>
            <w:vAlign w:val="center"/>
          </w:tcPr>
          <w:p>
            <w:pPr>
              <w:jc w:val="right"/>
            </w:pPr>
            <w:r>
              <w:rPr>
                <w:rFonts w:ascii="宋体" w:eastAsia="宋体" w:hAnsi="宋体" w:cs="宋体"/>
                <w:b w:val="0"/>
                <w:i w:val="0"/>
                <w:color w:val="000000"/>
                <w:sz w:val="17"/>
              </w:rPr>
              <w:t xml:space="preserve">1,333.11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1,119.89</w:t>
            </w:r>
          </w:p>
        </w:tc>
        <w:tc>
          <w:tcPr>
            <w:tcW w:w="1440" w:type="dxa"/>
            <w:tcBorders/>
            <w:vAlign w:val="center"/>
          </w:tcPr>
          <w:p>
            <w:pPr>
              <w:jc w:val="right"/>
            </w:pPr>
            <w:r>
              <w:rPr>
                <w:rFonts w:ascii="宋体" w:eastAsia="宋体" w:hAnsi="宋体" w:cs="宋体"/>
                <w:b w:val="0"/>
                <w:i w:val="0"/>
                <w:color w:val="000000"/>
                <w:sz w:val="17"/>
              </w:rPr>
              <w:t xml:space="preserve">1,119.89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321.75</w:t>
            </w:r>
          </w:p>
        </w:tc>
        <w:tc>
          <w:tcPr>
            <w:tcW w:w="1440" w:type="dxa"/>
            <w:tcBorders/>
            <w:vAlign w:val="center"/>
          </w:tcPr>
          <w:p>
            <w:pPr>
              <w:jc w:val="right"/>
            </w:pPr>
            <w:r>
              <w:rPr>
                <w:rFonts w:ascii="宋体" w:eastAsia="宋体" w:hAnsi="宋体" w:cs="宋体"/>
                <w:b w:val="0"/>
                <w:i w:val="0"/>
                <w:color w:val="000000"/>
                <w:sz w:val="17"/>
              </w:rPr>
              <w:t xml:space="preserve">321.75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489.63</w:t>
            </w:r>
          </w:p>
        </w:tc>
        <w:tc>
          <w:tcPr>
            <w:tcW w:w="1440" w:type="dxa"/>
            <w:tcBorders/>
            <w:vAlign w:val="center"/>
          </w:tcPr>
          <w:p>
            <w:pPr>
              <w:jc w:val="right"/>
            </w:pPr>
            <w:r>
              <w:rPr>
                <w:rFonts w:ascii="宋体" w:eastAsia="宋体" w:hAnsi="宋体" w:cs="宋体"/>
                <w:b w:val="0"/>
                <w:i w:val="0"/>
                <w:color w:val="000000"/>
                <w:sz w:val="17"/>
              </w:rPr>
              <w:t xml:space="preserve">489.63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287.12</w:t>
            </w:r>
          </w:p>
        </w:tc>
        <w:tc>
          <w:tcPr>
            <w:tcW w:w="1440" w:type="dxa"/>
            <w:tcBorders/>
            <w:vAlign w:val="center"/>
          </w:tcPr>
          <w:p>
            <w:pPr>
              <w:jc w:val="right"/>
            </w:pPr>
            <w:r>
              <w:rPr>
                <w:rFonts w:ascii="宋体" w:eastAsia="宋体" w:hAnsi="宋体" w:cs="宋体"/>
                <w:b w:val="0"/>
                <w:i w:val="0"/>
                <w:color w:val="000000"/>
                <w:sz w:val="17"/>
              </w:rPr>
              <w:t xml:space="preserve">287.12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21.40</w:t>
            </w:r>
          </w:p>
        </w:tc>
        <w:tc>
          <w:tcPr>
            <w:tcW w:w="1440" w:type="dxa"/>
            <w:tcBorders/>
            <w:vAlign w:val="center"/>
          </w:tcPr>
          <w:p>
            <w:pPr>
              <w:jc w:val="right"/>
            </w:pPr>
            <w:r>
              <w:rPr>
                <w:rFonts w:ascii="宋体" w:eastAsia="宋体" w:hAnsi="宋体" w:cs="宋体"/>
                <w:b w:val="0"/>
                <w:i w:val="0"/>
                <w:color w:val="000000"/>
                <w:sz w:val="17"/>
              </w:rPr>
              <w:t xml:space="preserve">21.40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114.04</w:t>
            </w:r>
          </w:p>
        </w:tc>
        <w:tc>
          <w:tcPr>
            <w:tcW w:w="1440" w:type="dxa"/>
            <w:tcBorders/>
            <w:vAlign w:val="center"/>
          </w:tcPr>
          <w:p>
            <w:pPr>
              <w:jc w:val="right"/>
            </w:pPr>
            <w:r>
              <w:rPr>
                <w:rFonts w:ascii="宋体" w:eastAsia="宋体" w:hAnsi="宋体" w:cs="宋体"/>
                <w:b w:val="0"/>
                <w:i w:val="0"/>
                <w:color w:val="000000"/>
                <w:sz w:val="17"/>
              </w:rPr>
              <w:t xml:space="preserve">114.04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114.04</w:t>
            </w:r>
          </w:p>
        </w:tc>
        <w:tc>
          <w:tcPr>
            <w:tcW w:w="1440" w:type="dxa"/>
            <w:tcBorders/>
            <w:vAlign w:val="center"/>
          </w:tcPr>
          <w:p>
            <w:pPr>
              <w:jc w:val="right"/>
            </w:pPr>
            <w:r>
              <w:rPr>
                <w:rFonts w:ascii="宋体" w:eastAsia="宋体" w:hAnsi="宋体" w:cs="宋体"/>
                <w:b w:val="0"/>
                <w:i w:val="0"/>
                <w:color w:val="000000"/>
                <w:sz w:val="17"/>
              </w:rPr>
              <w:t xml:space="preserve">114.04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红十字事业</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96.62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181,381.64</w:t>
            </w:r>
          </w:p>
        </w:tc>
        <w:tc>
          <w:tcPr>
            <w:tcW w:w="1440" w:type="dxa"/>
            <w:tcBorders/>
            <w:vAlign w:val="center"/>
          </w:tcPr>
          <w:p>
            <w:pPr>
              <w:jc w:val="right"/>
            </w:pPr>
            <w:r>
              <w:rPr>
                <w:rFonts w:ascii="宋体" w:eastAsia="宋体" w:hAnsi="宋体" w:cs="宋体"/>
                <w:b w:val="0"/>
                <w:i w:val="0"/>
                <w:color w:val="000000"/>
                <w:sz w:val="17"/>
              </w:rPr>
              <w:t xml:space="preserve">13,408.86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167,130.71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842.07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卫生健康管理事务</w:t>
            </w:r>
          </w:p>
        </w:tc>
        <w:tc>
          <w:tcPr>
            <w:tcW w:w="1440" w:type="dxa"/>
            <w:tcBorders/>
            <w:vAlign w:val="center"/>
          </w:tcPr>
          <w:p>
            <w:pPr>
              <w:jc w:val="right"/>
            </w:pPr>
            <w:r>
              <w:rPr>
                <w:rFonts w:ascii="宋体" w:eastAsia="宋体" w:hAnsi="宋体" w:cs="宋体"/>
                <w:b w:val="0"/>
                <w:i w:val="0"/>
                <w:color w:val="000000"/>
                <w:sz w:val="17"/>
              </w:rPr>
              <w:t xml:space="preserve">1,171.94</w:t>
            </w:r>
          </w:p>
        </w:tc>
        <w:tc>
          <w:tcPr>
            <w:tcW w:w="1440" w:type="dxa"/>
            <w:tcBorders/>
            <w:vAlign w:val="center"/>
          </w:tcPr>
          <w:p>
            <w:pPr>
              <w:jc w:val="right"/>
            </w:pPr>
            <w:r>
              <w:rPr>
                <w:rFonts w:ascii="宋体" w:eastAsia="宋体" w:hAnsi="宋体" w:cs="宋体"/>
                <w:b w:val="0"/>
                <w:i w:val="0"/>
                <w:color w:val="000000"/>
                <w:sz w:val="17"/>
              </w:rPr>
              <w:t xml:space="preserve">1,171.94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956.30</w:t>
            </w:r>
          </w:p>
        </w:tc>
        <w:tc>
          <w:tcPr>
            <w:tcW w:w="1440" w:type="dxa"/>
            <w:tcBorders/>
            <w:vAlign w:val="center"/>
          </w:tcPr>
          <w:p>
            <w:pPr>
              <w:jc w:val="right"/>
            </w:pPr>
            <w:r>
              <w:rPr>
                <w:rFonts w:ascii="宋体" w:eastAsia="宋体" w:hAnsi="宋体" w:cs="宋体"/>
                <w:b w:val="0"/>
                <w:i w:val="0"/>
                <w:color w:val="000000"/>
                <w:sz w:val="17"/>
              </w:rPr>
              <w:t xml:space="preserve">956.30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215.64</w:t>
            </w:r>
          </w:p>
        </w:tc>
        <w:tc>
          <w:tcPr>
            <w:tcW w:w="1440" w:type="dxa"/>
            <w:tcBorders/>
            <w:vAlign w:val="center"/>
          </w:tcPr>
          <w:p>
            <w:pPr>
              <w:jc w:val="right"/>
            </w:pPr>
            <w:r>
              <w:rPr>
                <w:rFonts w:ascii="宋体" w:eastAsia="宋体" w:hAnsi="宋体" w:cs="宋体"/>
                <w:b w:val="0"/>
                <w:i w:val="0"/>
                <w:color w:val="000000"/>
                <w:sz w:val="17"/>
              </w:rPr>
              <w:t xml:space="preserve">215.64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170,240.71</w:t>
            </w:r>
          </w:p>
        </w:tc>
        <w:tc>
          <w:tcPr>
            <w:tcW w:w="1440" w:type="dxa"/>
            <w:tcBorders/>
            <w:vAlign w:val="center"/>
          </w:tcPr>
          <w:p>
            <w:pPr>
              <w:jc w:val="right"/>
            </w:pPr>
            <w:r>
              <w:rPr>
                <w:rFonts w:ascii="宋体" w:eastAsia="宋体" w:hAnsi="宋体" w:cs="宋体"/>
                <w:b w:val="0"/>
                <w:i w:val="0"/>
                <w:color w:val="000000"/>
                <w:sz w:val="17"/>
              </w:rPr>
              <w:t xml:space="preserve">2,267.92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167,130.71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842.07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综合医院</w:t>
            </w:r>
          </w:p>
        </w:tc>
        <w:tc>
          <w:tcPr>
            <w:tcW w:w="1440" w:type="dxa"/>
            <w:tcBorders/>
            <w:vAlign w:val="center"/>
          </w:tcPr>
          <w:p>
            <w:pPr>
              <w:jc w:val="right"/>
            </w:pPr>
            <w:r>
              <w:rPr>
                <w:rFonts w:ascii="宋体" w:eastAsia="宋体" w:hAnsi="宋体" w:cs="宋体"/>
                <w:b w:val="0"/>
                <w:i w:val="0"/>
                <w:color w:val="000000"/>
                <w:sz w:val="17"/>
              </w:rPr>
              <w:t xml:space="preserve">148,902.51</w:t>
            </w:r>
          </w:p>
        </w:tc>
        <w:tc>
          <w:tcPr>
            <w:tcW w:w="1440" w:type="dxa"/>
            <w:tcBorders/>
            <w:vAlign w:val="center"/>
          </w:tcPr>
          <w:p>
            <w:pPr>
              <w:jc w:val="right"/>
            </w:pPr>
            <w:r>
              <w:rPr>
                <w:rFonts w:ascii="宋体" w:eastAsia="宋体" w:hAnsi="宋体" w:cs="宋体"/>
                <w:b w:val="0"/>
                <w:i w:val="0"/>
                <w:color w:val="000000"/>
                <w:sz w:val="17"/>
              </w:rPr>
              <w:t xml:space="preserve">162.91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148,089.86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649.74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传染病医院</w:t>
            </w:r>
          </w:p>
        </w:tc>
        <w:tc>
          <w:tcPr>
            <w:tcW w:w="1440" w:type="dxa"/>
            <w:tcBorders/>
            <w:vAlign w:val="center"/>
          </w:tcPr>
          <w:p>
            <w:pPr>
              <w:jc w:val="right"/>
            </w:pPr>
            <w:r>
              <w:rPr>
                <w:rFonts w:ascii="宋体" w:eastAsia="宋体" w:hAnsi="宋体" w:cs="宋体"/>
                <w:b w:val="0"/>
                <w:i w:val="0"/>
                <w:color w:val="000000"/>
                <w:sz w:val="17"/>
              </w:rPr>
              <w:t xml:space="preserve">9.45</w:t>
            </w:r>
          </w:p>
        </w:tc>
        <w:tc>
          <w:tcPr>
            <w:tcW w:w="1440" w:type="dxa"/>
            <w:tcBorders/>
            <w:vAlign w:val="center"/>
          </w:tcPr>
          <w:p>
            <w:pPr>
              <w:jc w:val="right"/>
            </w:pPr>
            <w:r>
              <w:rPr>
                <w:rFonts w:ascii="宋体" w:eastAsia="宋体" w:hAnsi="宋体" w:cs="宋体"/>
                <w:b w:val="0"/>
                <w:i w:val="0"/>
                <w:color w:val="000000"/>
                <w:sz w:val="17"/>
              </w:rPr>
              <w:t xml:space="preserve">9.45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职业病防治医院</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27.00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精神病医院</w:t>
            </w:r>
          </w:p>
        </w:tc>
        <w:tc>
          <w:tcPr>
            <w:tcW w:w="1440" w:type="dxa"/>
            <w:tcBorders/>
            <w:vAlign w:val="center"/>
          </w:tcPr>
          <w:p>
            <w:pPr>
              <w:jc w:val="right"/>
            </w:pPr>
            <w:r>
              <w:rPr>
                <w:rFonts w:ascii="宋体" w:eastAsia="宋体" w:hAnsi="宋体" w:cs="宋体"/>
                <w:b w:val="0"/>
                <w:i w:val="0"/>
                <w:color w:val="000000"/>
                <w:sz w:val="17"/>
              </w:rPr>
              <w:t xml:space="preserve">6,787.66</w:t>
            </w:r>
          </w:p>
        </w:tc>
        <w:tc>
          <w:tcPr>
            <w:tcW w:w="1440" w:type="dxa"/>
            <w:tcBorders/>
            <w:vAlign w:val="center"/>
          </w:tcPr>
          <w:p>
            <w:pPr>
              <w:jc w:val="right"/>
            </w:pPr>
            <w:r>
              <w:rPr>
                <w:rFonts w:ascii="宋体" w:eastAsia="宋体" w:hAnsi="宋体" w:cs="宋体"/>
                <w:b w:val="0"/>
                <w:i w:val="0"/>
                <w:color w:val="000000"/>
                <w:sz w:val="17"/>
              </w:rPr>
              <w:t xml:space="preserve">287.91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6,307.43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192.33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妇幼保健医院</w:t>
            </w:r>
          </w:p>
        </w:tc>
        <w:tc>
          <w:tcPr>
            <w:tcW w:w="1440" w:type="dxa"/>
            <w:tcBorders/>
            <w:vAlign w:val="center"/>
          </w:tcPr>
          <w:p>
            <w:pPr>
              <w:jc w:val="right"/>
            </w:pPr>
            <w:r>
              <w:rPr>
                <w:rFonts w:ascii="宋体" w:eastAsia="宋体" w:hAnsi="宋体" w:cs="宋体"/>
                <w:b w:val="0"/>
                <w:i w:val="0"/>
                <w:color w:val="000000"/>
                <w:sz w:val="17"/>
              </w:rPr>
              <w:t xml:space="preserve">12,943.10</w:t>
            </w:r>
          </w:p>
        </w:tc>
        <w:tc>
          <w:tcPr>
            <w:tcW w:w="1440" w:type="dxa"/>
            <w:tcBorders/>
            <w:vAlign w:val="center"/>
          </w:tcPr>
          <w:p>
            <w:pPr>
              <w:jc w:val="right"/>
            </w:pPr>
            <w:r>
              <w:rPr>
                <w:rFonts w:ascii="宋体" w:eastAsia="宋体" w:hAnsi="宋体" w:cs="宋体"/>
                <w:b w:val="0"/>
                <w:i w:val="0"/>
                <w:color w:val="000000"/>
                <w:sz w:val="17"/>
              </w:rPr>
              <w:t xml:space="preserve">209.68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12,733.42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其他公立医院支出</w:t>
            </w:r>
          </w:p>
        </w:tc>
        <w:tc>
          <w:tcPr>
            <w:tcW w:w="1440" w:type="dxa"/>
            <w:tcBorders/>
            <w:vAlign w:val="center"/>
          </w:tcPr>
          <w:p>
            <w:pPr>
              <w:jc w:val="right"/>
            </w:pPr>
            <w:r>
              <w:rPr>
                <w:rFonts w:ascii="宋体" w:eastAsia="宋体" w:hAnsi="宋体" w:cs="宋体"/>
                <w:b w:val="0"/>
                <w:i w:val="0"/>
                <w:color w:val="000000"/>
                <w:sz w:val="17"/>
              </w:rPr>
              <w:t xml:space="preserve">1,570.98</w:t>
            </w:r>
          </w:p>
        </w:tc>
        <w:tc>
          <w:tcPr>
            <w:tcW w:w="1440" w:type="dxa"/>
            <w:tcBorders/>
            <w:vAlign w:val="center"/>
          </w:tcPr>
          <w:p>
            <w:pPr>
              <w:jc w:val="right"/>
            </w:pPr>
            <w:r>
              <w:rPr>
                <w:rFonts w:ascii="宋体" w:eastAsia="宋体" w:hAnsi="宋体" w:cs="宋体"/>
                <w:b w:val="0"/>
                <w:i w:val="0"/>
                <w:color w:val="000000"/>
                <w:sz w:val="17"/>
              </w:rPr>
              <w:t xml:space="preserve">1,570.98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基层医疗卫生机构</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其他基层医疗卫生机构支出</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8,717.07</w:t>
            </w:r>
          </w:p>
        </w:tc>
        <w:tc>
          <w:tcPr>
            <w:tcW w:w="1440" w:type="dxa"/>
            <w:tcBorders/>
            <w:vAlign w:val="center"/>
          </w:tcPr>
          <w:p>
            <w:pPr>
              <w:jc w:val="right"/>
            </w:pPr>
            <w:r>
              <w:rPr>
                <w:rFonts w:ascii="宋体" w:eastAsia="宋体" w:hAnsi="宋体" w:cs="宋体"/>
                <w:b w:val="0"/>
                <w:i w:val="0"/>
                <w:color w:val="000000"/>
                <w:sz w:val="17"/>
              </w:rPr>
              <w:t xml:space="preserve">8,717.07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疾病预防控制机构</w:t>
            </w:r>
          </w:p>
        </w:tc>
        <w:tc>
          <w:tcPr>
            <w:tcW w:w="1440" w:type="dxa"/>
            <w:tcBorders/>
            <w:vAlign w:val="center"/>
          </w:tcPr>
          <w:p>
            <w:pPr>
              <w:jc w:val="right"/>
            </w:pPr>
            <w:r>
              <w:rPr>
                <w:rFonts w:ascii="宋体" w:eastAsia="宋体" w:hAnsi="宋体" w:cs="宋体"/>
                <w:b w:val="0"/>
                <w:i w:val="0"/>
                <w:color w:val="000000"/>
                <w:sz w:val="17"/>
              </w:rPr>
              <w:t xml:space="preserve">2,111.53</w:t>
            </w:r>
          </w:p>
        </w:tc>
        <w:tc>
          <w:tcPr>
            <w:tcW w:w="1440" w:type="dxa"/>
            <w:tcBorders/>
            <w:vAlign w:val="center"/>
          </w:tcPr>
          <w:p>
            <w:pPr>
              <w:jc w:val="right"/>
            </w:pPr>
            <w:r>
              <w:rPr>
                <w:rFonts w:ascii="宋体" w:eastAsia="宋体" w:hAnsi="宋体" w:cs="宋体"/>
                <w:b w:val="0"/>
                <w:i w:val="0"/>
                <w:color w:val="000000"/>
                <w:sz w:val="17"/>
              </w:rPr>
              <w:t xml:space="preserve">2,111.53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卫生监督机构</w:t>
            </w:r>
          </w:p>
        </w:tc>
        <w:tc>
          <w:tcPr>
            <w:tcW w:w="1440" w:type="dxa"/>
            <w:tcBorders/>
            <w:vAlign w:val="center"/>
          </w:tcPr>
          <w:p>
            <w:pPr>
              <w:jc w:val="right"/>
            </w:pPr>
            <w:r>
              <w:rPr>
                <w:rFonts w:ascii="宋体" w:eastAsia="宋体" w:hAnsi="宋体" w:cs="宋体"/>
                <w:b w:val="0"/>
                <w:i w:val="0"/>
                <w:color w:val="000000"/>
                <w:sz w:val="17"/>
              </w:rPr>
              <w:t xml:space="preserve">450.04</w:t>
            </w:r>
          </w:p>
        </w:tc>
        <w:tc>
          <w:tcPr>
            <w:tcW w:w="1440" w:type="dxa"/>
            <w:tcBorders/>
            <w:vAlign w:val="center"/>
          </w:tcPr>
          <w:p>
            <w:pPr>
              <w:jc w:val="right"/>
            </w:pPr>
            <w:r>
              <w:rPr>
                <w:rFonts w:ascii="宋体" w:eastAsia="宋体" w:hAnsi="宋体" w:cs="宋体"/>
                <w:b w:val="0"/>
                <w:i w:val="0"/>
                <w:color w:val="000000"/>
                <w:sz w:val="17"/>
              </w:rPr>
              <w:t xml:space="preserve">450.04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采供血机构</w:t>
            </w:r>
          </w:p>
        </w:tc>
        <w:tc>
          <w:tcPr>
            <w:tcW w:w="1440" w:type="dxa"/>
            <w:tcBorders/>
            <w:vAlign w:val="center"/>
          </w:tcPr>
          <w:p>
            <w:pPr>
              <w:jc w:val="right"/>
            </w:pPr>
            <w:r>
              <w:rPr>
                <w:rFonts w:ascii="宋体" w:eastAsia="宋体" w:hAnsi="宋体" w:cs="宋体"/>
                <w:b w:val="0"/>
                <w:i w:val="0"/>
                <w:color w:val="000000"/>
                <w:sz w:val="17"/>
              </w:rPr>
              <w:t xml:space="preserve">2,664.91</w:t>
            </w:r>
          </w:p>
        </w:tc>
        <w:tc>
          <w:tcPr>
            <w:tcW w:w="1440" w:type="dxa"/>
            <w:tcBorders/>
            <w:vAlign w:val="center"/>
          </w:tcPr>
          <w:p>
            <w:pPr>
              <w:jc w:val="right"/>
            </w:pPr>
            <w:r>
              <w:rPr>
                <w:rFonts w:ascii="宋体" w:eastAsia="宋体" w:hAnsi="宋体" w:cs="宋体"/>
                <w:b w:val="0"/>
                <w:i w:val="0"/>
                <w:color w:val="000000"/>
                <w:sz w:val="17"/>
              </w:rPr>
              <w:t xml:space="preserve">2,664.91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183.17</w:t>
            </w:r>
          </w:p>
        </w:tc>
        <w:tc>
          <w:tcPr>
            <w:tcW w:w="1440" w:type="dxa"/>
            <w:tcBorders/>
            <w:vAlign w:val="center"/>
          </w:tcPr>
          <w:p>
            <w:pPr>
              <w:jc w:val="right"/>
            </w:pPr>
            <w:r>
              <w:rPr>
                <w:rFonts w:ascii="宋体" w:eastAsia="宋体" w:hAnsi="宋体" w:cs="宋体"/>
                <w:b w:val="0"/>
                <w:i w:val="0"/>
                <w:color w:val="000000"/>
                <w:sz w:val="17"/>
              </w:rPr>
              <w:t xml:space="preserve">183.17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736.55</w:t>
            </w:r>
          </w:p>
        </w:tc>
        <w:tc>
          <w:tcPr>
            <w:tcW w:w="1440" w:type="dxa"/>
            <w:tcBorders/>
            <w:vAlign w:val="center"/>
          </w:tcPr>
          <w:p>
            <w:pPr>
              <w:jc w:val="right"/>
            </w:pPr>
            <w:r>
              <w:rPr>
                <w:rFonts w:ascii="宋体" w:eastAsia="宋体" w:hAnsi="宋体" w:cs="宋体"/>
                <w:b w:val="0"/>
                <w:i w:val="0"/>
                <w:color w:val="000000"/>
                <w:sz w:val="17"/>
              </w:rPr>
              <w:t xml:space="preserve">736.55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2,286.60</w:t>
            </w:r>
          </w:p>
        </w:tc>
        <w:tc>
          <w:tcPr>
            <w:tcW w:w="1440" w:type="dxa"/>
            <w:tcBorders/>
            <w:vAlign w:val="center"/>
          </w:tcPr>
          <w:p>
            <w:pPr>
              <w:jc w:val="right"/>
            </w:pPr>
            <w:r>
              <w:rPr>
                <w:rFonts w:ascii="宋体" w:eastAsia="宋体" w:hAnsi="宋体" w:cs="宋体"/>
                <w:b w:val="0"/>
                <w:i w:val="0"/>
                <w:color w:val="000000"/>
                <w:sz w:val="17"/>
              </w:rPr>
              <w:t xml:space="preserve">2,286.60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其他公共卫生支出</w:t>
            </w:r>
          </w:p>
        </w:tc>
        <w:tc>
          <w:tcPr>
            <w:tcW w:w="1440" w:type="dxa"/>
            <w:tcBorders/>
            <w:vAlign w:val="center"/>
          </w:tcPr>
          <w:p>
            <w:pPr>
              <w:jc w:val="right"/>
            </w:pPr>
            <w:r>
              <w:rPr>
                <w:rFonts w:ascii="宋体" w:eastAsia="宋体" w:hAnsi="宋体" w:cs="宋体"/>
                <w:b w:val="0"/>
                <w:i w:val="0"/>
                <w:color w:val="000000"/>
                <w:sz w:val="17"/>
              </w:rPr>
              <w:t xml:space="preserve">284.27</w:t>
            </w:r>
          </w:p>
        </w:tc>
        <w:tc>
          <w:tcPr>
            <w:tcW w:w="1440" w:type="dxa"/>
            <w:tcBorders/>
            <w:vAlign w:val="center"/>
          </w:tcPr>
          <w:p>
            <w:pPr>
              <w:jc w:val="right"/>
            </w:pPr>
            <w:r>
              <w:rPr>
                <w:rFonts w:ascii="宋体" w:eastAsia="宋体" w:hAnsi="宋体" w:cs="宋体"/>
                <w:b w:val="0"/>
                <w:i w:val="0"/>
                <w:color w:val="000000"/>
                <w:sz w:val="17"/>
              </w:rPr>
              <w:t xml:space="preserve">284.27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中医药</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中医（民族医）药专项</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计划生育事务</w:t>
            </w:r>
          </w:p>
        </w:tc>
        <w:tc>
          <w:tcPr>
            <w:tcW w:w="1440" w:type="dxa"/>
            <w:tcBorders/>
            <w:vAlign w:val="center"/>
          </w:tcPr>
          <w:p>
            <w:pPr>
              <w:jc w:val="right"/>
            </w:pPr>
            <w:r>
              <w:rPr>
                <w:rFonts w:ascii="宋体" w:eastAsia="宋体" w:hAnsi="宋体" w:cs="宋体"/>
                <w:b w:val="0"/>
                <w:i w:val="0"/>
                <w:color w:val="000000"/>
                <w:sz w:val="17"/>
              </w:rPr>
              <w:t xml:space="preserve">60.64</w:t>
            </w:r>
          </w:p>
        </w:tc>
        <w:tc>
          <w:tcPr>
            <w:tcW w:w="1440" w:type="dxa"/>
            <w:tcBorders/>
            <w:vAlign w:val="center"/>
          </w:tcPr>
          <w:p>
            <w:pPr>
              <w:jc w:val="right"/>
            </w:pPr>
            <w:r>
              <w:rPr>
                <w:rFonts w:ascii="宋体" w:eastAsia="宋体" w:hAnsi="宋体" w:cs="宋体"/>
                <w:b w:val="0"/>
                <w:i w:val="0"/>
                <w:color w:val="000000"/>
                <w:sz w:val="17"/>
              </w:rPr>
              <w:t xml:space="preserve">60.64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2100717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计划生育服务</w:t>
            </w:r>
          </w:p>
        </w:tc>
        <w:tc>
          <w:tcPr>
            <w:tcW w:w="1440" w:type="dxa"/>
            <w:tcBorders/>
            <w:vAlign w:val="center"/>
          </w:tcPr>
          <w:p>
            <w:pPr>
              <w:jc w:val="right"/>
            </w:pPr>
            <w:r>
              <w:rPr>
                <w:rFonts w:ascii="宋体" w:eastAsia="宋体" w:hAnsi="宋体" w:cs="宋体"/>
                <w:b w:val="0"/>
                <w:i w:val="0"/>
                <w:color w:val="000000"/>
                <w:sz w:val="17"/>
              </w:rPr>
              <w:t xml:space="preserve">60.64</w:t>
            </w:r>
          </w:p>
        </w:tc>
        <w:tc>
          <w:tcPr>
            <w:tcW w:w="1440" w:type="dxa"/>
            <w:tcBorders/>
            <w:vAlign w:val="center"/>
          </w:tcPr>
          <w:p>
            <w:pPr>
              <w:jc w:val="right"/>
            </w:pPr>
            <w:r>
              <w:rPr>
                <w:rFonts w:ascii="宋体" w:eastAsia="宋体" w:hAnsi="宋体" w:cs="宋体"/>
                <w:b w:val="0"/>
                <w:i w:val="0"/>
                <w:color w:val="000000"/>
                <w:sz w:val="17"/>
              </w:rPr>
              <w:t xml:space="preserve">60.64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187.68</w:t>
            </w:r>
          </w:p>
        </w:tc>
        <w:tc>
          <w:tcPr>
            <w:tcW w:w="1440" w:type="dxa"/>
            <w:tcBorders/>
            <w:vAlign w:val="center"/>
          </w:tcPr>
          <w:p>
            <w:pPr>
              <w:jc w:val="right"/>
            </w:pPr>
            <w:r>
              <w:rPr>
                <w:rFonts w:ascii="宋体" w:eastAsia="宋体" w:hAnsi="宋体" w:cs="宋体"/>
                <w:b w:val="0"/>
                <w:i w:val="0"/>
                <w:color w:val="000000"/>
                <w:sz w:val="17"/>
              </w:rPr>
              <w:t xml:space="preserve">187.68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31.94</w:t>
            </w:r>
          </w:p>
        </w:tc>
        <w:tc>
          <w:tcPr>
            <w:tcW w:w="1440" w:type="dxa"/>
            <w:tcBorders/>
            <w:vAlign w:val="center"/>
          </w:tcPr>
          <w:p>
            <w:pPr>
              <w:jc w:val="right"/>
            </w:pPr>
            <w:r>
              <w:rPr>
                <w:rFonts w:ascii="宋体" w:eastAsia="宋体" w:hAnsi="宋体" w:cs="宋体"/>
                <w:b w:val="0"/>
                <w:i w:val="0"/>
                <w:color w:val="000000"/>
                <w:sz w:val="17"/>
              </w:rPr>
              <w:t xml:space="preserve">31.94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106.69</w:t>
            </w:r>
          </w:p>
        </w:tc>
        <w:tc>
          <w:tcPr>
            <w:tcW w:w="1440" w:type="dxa"/>
            <w:tcBorders/>
            <w:vAlign w:val="center"/>
          </w:tcPr>
          <w:p>
            <w:pPr>
              <w:jc w:val="right"/>
            </w:pPr>
            <w:r>
              <w:rPr>
                <w:rFonts w:ascii="宋体" w:eastAsia="宋体" w:hAnsi="宋体" w:cs="宋体"/>
                <w:b w:val="0"/>
                <w:i w:val="0"/>
                <w:color w:val="000000"/>
                <w:sz w:val="17"/>
              </w:rPr>
              <w:t xml:space="preserve">106.69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49.06</w:t>
            </w:r>
          </w:p>
        </w:tc>
        <w:tc>
          <w:tcPr>
            <w:tcW w:w="1440" w:type="dxa"/>
            <w:tcBorders/>
            <w:vAlign w:val="center"/>
          </w:tcPr>
          <w:p>
            <w:pPr>
              <w:jc w:val="right"/>
            </w:pPr>
            <w:r>
              <w:rPr>
                <w:rFonts w:ascii="宋体" w:eastAsia="宋体" w:hAnsi="宋体" w:cs="宋体"/>
                <w:b w:val="0"/>
                <w:i w:val="0"/>
                <w:color w:val="000000"/>
                <w:sz w:val="17"/>
              </w:rPr>
              <w:t xml:space="preserve">49.06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996.12</w:t>
            </w:r>
          </w:p>
        </w:tc>
        <w:tc>
          <w:tcPr>
            <w:tcW w:w="1440" w:type="dxa"/>
            <w:tcBorders/>
            <w:vAlign w:val="center"/>
          </w:tcPr>
          <w:p>
            <w:pPr>
              <w:jc w:val="right"/>
            </w:pPr>
            <w:r>
              <w:rPr>
                <w:rFonts w:ascii="宋体" w:eastAsia="宋体" w:hAnsi="宋体" w:cs="宋体"/>
                <w:b w:val="0"/>
                <w:i w:val="0"/>
                <w:color w:val="000000"/>
                <w:sz w:val="17"/>
              </w:rPr>
              <w:t xml:space="preserve">996.12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996.12</w:t>
            </w:r>
          </w:p>
        </w:tc>
        <w:tc>
          <w:tcPr>
            <w:tcW w:w="1440" w:type="dxa"/>
            <w:tcBorders/>
            <w:vAlign w:val="center"/>
          </w:tcPr>
          <w:p>
            <w:pPr>
              <w:jc w:val="right"/>
            </w:pPr>
            <w:r>
              <w:rPr>
                <w:rFonts w:ascii="宋体" w:eastAsia="宋体" w:hAnsi="宋体" w:cs="宋体"/>
                <w:b w:val="0"/>
                <w:i w:val="0"/>
                <w:color w:val="000000"/>
                <w:sz w:val="17"/>
              </w:rPr>
              <w:t xml:space="preserve">996.12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8.40</w:t>
            </w:r>
          </w:p>
        </w:tc>
        <w:tc>
          <w:tcPr>
            <w:tcW w:w="1440" w:type="dxa"/>
            <w:tcBorders/>
            <w:vAlign w:val="center"/>
          </w:tcPr>
          <w:p>
            <w:pPr>
              <w:jc w:val="right"/>
            </w:pPr>
            <w:r>
              <w:rPr>
                <w:rFonts w:ascii="宋体" w:eastAsia="宋体" w:hAnsi="宋体" w:cs="宋体"/>
                <w:b w:val="0"/>
                <w:i w:val="0"/>
                <w:color w:val="000000"/>
                <w:sz w:val="17"/>
              </w:rPr>
              <w:t xml:space="preserve">8.40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8.40</w:t>
            </w:r>
          </w:p>
        </w:tc>
        <w:tc>
          <w:tcPr>
            <w:tcW w:w="1440" w:type="dxa"/>
            <w:tcBorders/>
            <w:vAlign w:val="center"/>
          </w:tcPr>
          <w:p>
            <w:pPr>
              <w:jc w:val="right"/>
            </w:pPr>
            <w:r>
              <w:rPr>
                <w:rFonts w:ascii="宋体" w:eastAsia="宋体" w:hAnsi="宋体" w:cs="宋体"/>
                <w:b w:val="0"/>
                <w:i w:val="0"/>
                <w:color w:val="000000"/>
                <w:sz w:val="17"/>
              </w:rPr>
              <w:t xml:space="preserve">8.40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7.50</w:t>
            </w:r>
          </w:p>
        </w:tc>
        <w:tc>
          <w:tcPr>
            <w:tcW w:w="1440" w:type="dxa"/>
            <w:tcBorders/>
            <w:vAlign w:val="center"/>
          </w:tcPr>
          <w:p>
            <w:pPr>
              <w:jc w:val="right"/>
            </w:pPr>
            <w:r>
              <w:rPr>
                <w:rFonts w:ascii="宋体" w:eastAsia="宋体" w:hAnsi="宋体" w:cs="宋体"/>
                <w:b w:val="0"/>
                <w:i w:val="0"/>
                <w:color w:val="000000"/>
                <w:sz w:val="17"/>
              </w:rPr>
              <w:t xml:space="preserve">7.50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262.86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47.24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189,917.01</w:t>
            </w:r>
          </w:p>
        </w:tc>
        <w:tc>
          <w:tcPr>
            <w:tcW w:w="1600" w:type="dxa"/>
            <w:tcBorders/>
            <w:vAlign w:val="center"/>
          </w:tcPr>
          <w:p>
            <w:pPr>
              <w:jc w:val="right"/>
            </w:pPr>
            <w:r>
              <w:rPr>
                <w:rFonts w:ascii="宋体" w:eastAsia="宋体" w:hAnsi="宋体" w:cs="宋体"/>
                <w:b/>
                <w:i w:val="0"/>
                <w:color w:val="000000"/>
                <w:sz w:val="19"/>
              </w:rPr>
              <w:t xml:space="preserve">181,284.91</w:t>
            </w:r>
          </w:p>
        </w:tc>
        <w:tc>
          <w:tcPr>
            <w:tcW w:w="1600" w:type="dxa"/>
            <w:tcBorders/>
            <w:vAlign w:val="center"/>
          </w:tcPr>
          <w:p>
            <w:pPr>
              <w:jc w:val="right"/>
            </w:pPr>
            <w:r>
              <w:rPr>
                <w:rFonts w:ascii="宋体" w:eastAsia="宋体" w:hAnsi="宋体" w:cs="宋体"/>
                <w:b/>
                <w:i w:val="0"/>
                <w:color w:val="000000"/>
                <w:sz w:val="19"/>
              </w:rPr>
              <w:t xml:space="preserve">8,632.10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305.66</w:t>
            </w:r>
          </w:p>
        </w:tc>
        <w:tc>
          <w:tcPr>
            <w:tcW w:w="1600" w:type="dxa"/>
            <w:tcBorders/>
            <w:vAlign w:val="center"/>
          </w:tcPr>
          <w:p>
            <w:pPr>
              <w:jc w:val="right"/>
            </w:pPr>
            <w:r>
              <w:rPr>
                <w:rFonts w:ascii="宋体" w:eastAsia="宋体" w:hAnsi="宋体" w:cs="宋体"/>
                <w:b w:val="0"/>
                <w:i w:val="0"/>
                <w:color w:val="000000"/>
                <w:sz w:val="19"/>
              </w:rPr>
              <w:t xml:space="preserve">305.66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35.02</w:t>
            </w:r>
          </w:p>
        </w:tc>
        <w:tc>
          <w:tcPr>
            <w:tcW w:w="1600" w:type="dxa"/>
            <w:tcBorders/>
            <w:vAlign w:val="center"/>
          </w:tcPr>
          <w:p>
            <w:pPr>
              <w:jc w:val="right"/>
            </w:pPr>
            <w:r>
              <w:rPr>
                <w:rFonts w:ascii="宋体" w:eastAsia="宋体" w:hAnsi="宋体" w:cs="宋体"/>
                <w:b w:val="0"/>
                <w:i w:val="0"/>
                <w:color w:val="000000"/>
                <w:sz w:val="19"/>
              </w:rPr>
              <w:t xml:space="preserve">35.02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35.02</w:t>
            </w:r>
          </w:p>
        </w:tc>
        <w:tc>
          <w:tcPr>
            <w:tcW w:w="1600" w:type="dxa"/>
            <w:tcBorders/>
            <w:vAlign w:val="center"/>
          </w:tcPr>
          <w:p>
            <w:pPr>
              <w:jc w:val="right"/>
            </w:pPr>
            <w:r>
              <w:rPr>
                <w:rFonts w:ascii="宋体" w:eastAsia="宋体" w:hAnsi="宋体" w:cs="宋体"/>
                <w:b w:val="0"/>
                <w:i w:val="0"/>
                <w:color w:val="000000"/>
                <w:sz w:val="19"/>
              </w:rPr>
              <w:t xml:space="preserve">35.02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229.34</w:t>
            </w:r>
          </w:p>
        </w:tc>
        <w:tc>
          <w:tcPr>
            <w:tcW w:w="1600" w:type="dxa"/>
            <w:tcBorders/>
            <w:vAlign w:val="center"/>
          </w:tcPr>
          <w:p>
            <w:pPr>
              <w:jc w:val="right"/>
            </w:pPr>
            <w:r>
              <w:rPr>
                <w:rFonts w:ascii="宋体" w:eastAsia="宋体" w:hAnsi="宋体" w:cs="宋体"/>
                <w:b w:val="0"/>
                <w:i w:val="0"/>
                <w:color w:val="000000"/>
                <w:sz w:val="19"/>
              </w:rPr>
              <w:t xml:space="preserve">229.34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229.34</w:t>
            </w:r>
          </w:p>
        </w:tc>
        <w:tc>
          <w:tcPr>
            <w:tcW w:w="1600" w:type="dxa"/>
            <w:tcBorders/>
            <w:vAlign w:val="center"/>
          </w:tcPr>
          <w:p>
            <w:pPr>
              <w:jc w:val="right"/>
            </w:pPr>
            <w:r>
              <w:rPr>
                <w:rFonts w:ascii="宋体" w:eastAsia="宋体" w:hAnsi="宋体" w:cs="宋体"/>
                <w:b w:val="0"/>
                <w:i w:val="0"/>
                <w:color w:val="000000"/>
                <w:sz w:val="19"/>
              </w:rPr>
              <w:t xml:space="preserve">229.34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1,935.83</w:t>
            </w:r>
          </w:p>
        </w:tc>
        <w:tc>
          <w:tcPr>
            <w:tcW w:w="1600" w:type="dxa"/>
            <w:tcBorders/>
            <w:vAlign w:val="center"/>
          </w:tcPr>
          <w:p>
            <w:pPr>
              <w:jc w:val="right"/>
            </w:pPr>
            <w:r>
              <w:rPr>
                <w:rFonts w:ascii="宋体" w:eastAsia="宋体" w:hAnsi="宋体" w:cs="宋体"/>
                <w:b w:val="0"/>
                <w:i w:val="0"/>
                <w:color w:val="000000"/>
                <w:sz w:val="19"/>
              </w:rPr>
              <w:t xml:space="preserve">1,330.84</w:t>
            </w:r>
          </w:p>
        </w:tc>
        <w:tc>
          <w:tcPr>
            <w:tcW w:w="1600" w:type="dxa"/>
            <w:tcBorders/>
            <w:vAlign w:val="center"/>
          </w:tcPr>
          <w:p>
            <w:pPr>
              <w:jc w:val="right"/>
            </w:pPr>
            <w:r>
              <w:rPr>
                <w:rFonts w:ascii="宋体" w:eastAsia="宋体" w:hAnsi="宋体" w:cs="宋体"/>
                <w:b w:val="0"/>
                <w:i w:val="0"/>
                <w:color w:val="000000"/>
                <w:sz w:val="19"/>
              </w:rPr>
              <w:t xml:space="preserve">604.99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1,119.89</w:t>
            </w:r>
          </w:p>
        </w:tc>
        <w:tc>
          <w:tcPr>
            <w:tcW w:w="1600" w:type="dxa"/>
            <w:tcBorders/>
            <w:vAlign w:val="center"/>
          </w:tcPr>
          <w:p>
            <w:pPr>
              <w:jc w:val="right"/>
            </w:pPr>
            <w:r>
              <w:rPr>
                <w:rFonts w:ascii="宋体" w:eastAsia="宋体" w:hAnsi="宋体" w:cs="宋体"/>
                <w:b w:val="0"/>
                <w:i w:val="0"/>
                <w:color w:val="000000"/>
                <w:sz w:val="19"/>
              </w:rPr>
              <w:t xml:space="preserve">1,119.89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321.75</w:t>
            </w:r>
          </w:p>
        </w:tc>
        <w:tc>
          <w:tcPr>
            <w:tcW w:w="1600" w:type="dxa"/>
            <w:tcBorders/>
            <w:vAlign w:val="center"/>
          </w:tcPr>
          <w:p>
            <w:pPr>
              <w:jc w:val="right"/>
            </w:pPr>
            <w:r>
              <w:rPr>
                <w:rFonts w:ascii="宋体" w:eastAsia="宋体" w:hAnsi="宋体" w:cs="宋体"/>
                <w:b w:val="0"/>
                <w:i w:val="0"/>
                <w:color w:val="000000"/>
                <w:sz w:val="19"/>
              </w:rPr>
              <w:t xml:space="preserve">321.75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489.63</w:t>
            </w:r>
          </w:p>
        </w:tc>
        <w:tc>
          <w:tcPr>
            <w:tcW w:w="1600" w:type="dxa"/>
            <w:tcBorders/>
            <w:vAlign w:val="center"/>
          </w:tcPr>
          <w:p>
            <w:pPr>
              <w:jc w:val="right"/>
            </w:pPr>
            <w:r>
              <w:rPr>
                <w:rFonts w:ascii="宋体" w:eastAsia="宋体" w:hAnsi="宋体" w:cs="宋体"/>
                <w:b w:val="0"/>
                <w:i w:val="0"/>
                <w:color w:val="000000"/>
                <w:sz w:val="19"/>
              </w:rPr>
              <w:t xml:space="preserve">489.63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287.12</w:t>
            </w:r>
          </w:p>
        </w:tc>
        <w:tc>
          <w:tcPr>
            <w:tcW w:w="1600" w:type="dxa"/>
            <w:tcBorders/>
            <w:vAlign w:val="center"/>
          </w:tcPr>
          <w:p>
            <w:pPr>
              <w:jc w:val="right"/>
            </w:pPr>
            <w:r>
              <w:rPr>
                <w:rFonts w:ascii="宋体" w:eastAsia="宋体" w:hAnsi="宋体" w:cs="宋体"/>
                <w:b w:val="0"/>
                <w:i w:val="0"/>
                <w:color w:val="000000"/>
                <w:sz w:val="19"/>
              </w:rPr>
              <w:t xml:space="preserve">287.12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21.40</w:t>
            </w:r>
          </w:p>
        </w:tc>
        <w:tc>
          <w:tcPr>
            <w:tcW w:w="1600" w:type="dxa"/>
            <w:tcBorders/>
            <w:vAlign w:val="center"/>
          </w:tcPr>
          <w:p>
            <w:pPr>
              <w:jc w:val="right"/>
            </w:pPr>
            <w:r>
              <w:rPr>
                <w:rFonts w:ascii="宋体" w:eastAsia="宋体" w:hAnsi="宋体" w:cs="宋体"/>
                <w:b w:val="0"/>
                <w:i w:val="0"/>
                <w:color w:val="000000"/>
                <w:sz w:val="19"/>
              </w:rPr>
              <w:t xml:space="preserve">21.40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114.04</w:t>
            </w:r>
          </w:p>
        </w:tc>
        <w:tc>
          <w:tcPr>
            <w:tcW w:w="1600" w:type="dxa"/>
            <w:tcBorders/>
            <w:vAlign w:val="center"/>
          </w:tcPr>
          <w:p>
            <w:pPr>
              <w:jc w:val="right"/>
            </w:pPr>
            <w:r>
              <w:rPr>
                <w:rFonts w:ascii="宋体" w:eastAsia="宋体" w:hAnsi="宋体" w:cs="宋体"/>
                <w:b w:val="0"/>
                <w:i w:val="0"/>
                <w:color w:val="000000"/>
                <w:sz w:val="19"/>
              </w:rPr>
              <w:t xml:space="preserve">114.04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114.04</w:t>
            </w:r>
          </w:p>
        </w:tc>
        <w:tc>
          <w:tcPr>
            <w:tcW w:w="1600" w:type="dxa"/>
            <w:tcBorders/>
            <w:vAlign w:val="center"/>
          </w:tcPr>
          <w:p>
            <w:pPr>
              <w:jc w:val="right"/>
            </w:pPr>
            <w:r>
              <w:rPr>
                <w:rFonts w:ascii="宋体" w:eastAsia="宋体" w:hAnsi="宋体" w:cs="宋体"/>
                <w:b w:val="0"/>
                <w:i w:val="0"/>
                <w:color w:val="000000"/>
                <w:sz w:val="19"/>
              </w:rPr>
              <w:t xml:space="preserve">114.04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养老服务</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红十字事业</w:t>
            </w:r>
          </w:p>
        </w:tc>
        <w:tc>
          <w:tcPr>
            <w:tcW w:w="1600" w:type="dxa"/>
            <w:tcBorders/>
            <w:vAlign w:val="center"/>
          </w:tcPr>
          <w:p>
            <w:pPr>
              <w:jc w:val="right"/>
            </w:pPr>
            <w:r>
              <w:rPr>
                <w:rFonts w:ascii="宋体" w:eastAsia="宋体" w:hAnsi="宋体" w:cs="宋体"/>
                <w:b w:val="0"/>
                <w:i w:val="0"/>
                <w:color w:val="000000"/>
                <w:sz w:val="19"/>
              </w:rPr>
              <w:t xml:space="preserve">106.62</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96.62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2081602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187,357.03</w:t>
            </w:r>
          </w:p>
        </w:tc>
        <w:tc>
          <w:tcPr>
            <w:tcW w:w="1600" w:type="dxa"/>
            <w:tcBorders/>
            <w:vAlign w:val="center"/>
          </w:tcPr>
          <w:p>
            <w:pPr>
              <w:jc w:val="right"/>
            </w:pPr>
            <w:r>
              <w:rPr>
                <w:rFonts w:ascii="宋体" w:eastAsia="宋体" w:hAnsi="宋体" w:cs="宋体"/>
                <w:b w:val="0"/>
                <w:i w:val="0"/>
                <w:color w:val="000000"/>
                <w:sz w:val="19"/>
              </w:rPr>
              <w:t xml:space="preserve">179,338.32</w:t>
            </w:r>
          </w:p>
        </w:tc>
        <w:tc>
          <w:tcPr>
            <w:tcW w:w="1600" w:type="dxa"/>
            <w:tcBorders/>
            <w:vAlign w:val="center"/>
          </w:tcPr>
          <w:p>
            <w:pPr>
              <w:jc w:val="right"/>
            </w:pPr>
            <w:r>
              <w:rPr>
                <w:rFonts w:ascii="宋体" w:eastAsia="宋体" w:hAnsi="宋体" w:cs="宋体"/>
                <w:b w:val="0"/>
                <w:i w:val="0"/>
                <w:color w:val="000000"/>
                <w:sz w:val="19"/>
              </w:rPr>
              <w:t xml:space="preserve">8,018.71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卫生健康管理事务</w:t>
            </w:r>
          </w:p>
        </w:tc>
        <w:tc>
          <w:tcPr>
            <w:tcW w:w="1600" w:type="dxa"/>
            <w:tcBorders/>
            <w:vAlign w:val="center"/>
          </w:tcPr>
          <w:p>
            <w:pPr>
              <w:jc w:val="right"/>
            </w:pPr>
            <w:r>
              <w:rPr>
                <w:rFonts w:ascii="宋体" w:eastAsia="宋体" w:hAnsi="宋体" w:cs="宋体"/>
                <w:b w:val="0"/>
                <w:i w:val="0"/>
                <w:color w:val="000000"/>
                <w:sz w:val="19"/>
              </w:rPr>
              <w:t xml:space="preserve">1,186.68</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176,040.83</w:t>
            </w:r>
          </w:p>
        </w:tc>
        <w:tc>
          <w:tcPr>
            <w:tcW w:w="1600" w:type="dxa"/>
            <w:tcBorders/>
            <w:vAlign w:val="center"/>
          </w:tcPr>
          <w:p>
            <w:pPr>
              <w:jc w:val="right"/>
            </w:pPr>
            <w:r>
              <w:rPr>
                <w:rFonts w:ascii="宋体" w:eastAsia="宋体" w:hAnsi="宋体" w:cs="宋体"/>
                <w:b w:val="0"/>
                <w:i w:val="0"/>
                <w:color w:val="000000"/>
                <w:sz w:val="19"/>
              </w:rPr>
              <w:t xml:space="preserve">174,725.22</w:t>
            </w:r>
          </w:p>
        </w:tc>
        <w:tc>
          <w:tcPr>
            <w:tcW w:w="1600" w:type="dxa"/>
            <w:tcBorders/>
            <w:vAlign w:val="center"/>
          </w:tcPr>
          <w:p>
            <w:pPr>
              <w:jc w:val="right"/>
            </w:pPr>
            <w:r>
              <w:rPr>
                <w:rFonts w:ascii="宋体" w:eastAsia="宋体" w:hAnsi="宋体" w:cs="宋体"/>
                <w:b w:val="0"/>
                <w:i w:val="0"/>
                <w:color w:val="000000"/>
                <w:sz w:val="19"/>
              </w:rPr>
              <w:t xml:space="preserve">1,315.61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综合医院</w:t>
            </w:r>
          </w:p>
        </w:tc>
        <w:tc>
          <w:tcPr>
            <w:tcW w:w="1600" w:type="dxa"/>
            <w:tcBorders/>
            <w:vAlign w:val="center"/>
          </w:tcPr>
          <w:p>
            <w:pPr>
              <w:jc w:val="right"/>
            </w:pPr>
            <w:r>
              <w:rPr>
                <w:rFonts w:ascii="宋体" w:eastAsia="宋体" w:hAnsi="宋体" w:cs="宋体"/>
                <w:b w:val="0"/>
                <w:i w:val="0"/>
                <w:color w:val="000000"/>
                <w:sz w:val="19"/>
              </w:rPr>
              <w:t xml:space="preserve">154,731.95</w:t>
            </w:r>
          </w:p>
        </w:tc>
        <w:tc>
          <w:tcPr>
            <w:tcW w:w="1600" w:type="dxa"/>
            <w:tcBorders/>
            <w:vAlign w:val="center"/>
          </w:tcPr>
          <w:p>
            <w:pPr>
              <w:jc w:val="right"/>
            </w:pPr>
            <w:r>
              <w:rPr>
                <w:rFonts w:ascii="宋体" w:eastAsia="宋体" w:hAnsi="宋体" w:cs="宋体"/>
                <w:b w:val="0"/>
                <w:i w:val="0"/>
                <w:color w:val="000000"/>
                <w:sz w:val="19"/>
              </w:rPr>
              <w:t xml:space="preserve">154,569.05</w:t>
            </w:r>
          </w:p>
        </w:tc>
        <w:tc>
          <w:tcPr>
            <w:tcW w:w="1600" w:type="dxa"/>
            <w:tcBorders/>
            <w:vAlign w:val="center"/>
          </w:tcPr>
          <w:p>
            <w:pPr>
              <w:jc w:val="right"/>
            </w:pPr>
            <w:r>
              <w:rPr>
                <w:rFonts w:ascii="宋体" w:eastAsia="宋体" w:hAnsi="宋体" w:cs="宋体"/>
                <w:b w:val="0"/>
                <w:i w:val="0"/>
                <w:color w:val="000000"/>
                <w:sz w:val="19"/>
              </w:rPr>
              <w:t xml:space="preserve">162.91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传染病医院</w:t>
            </w:r>
          </w:p>
        </w:tc>
        <w:tc>
          <w:tcPr>
            <w:tcW w:w="1600" w:type="dxa"/>
            <w:tcBorders/>
            <w:vAlign w:val="center"/>
          </w:tcPr>
          <w:p>
            <w:pPr>
              <w:jc w:val="right"/>
            </w:pPr>
            <w:r>
              <w:rPr>
                <w:rFonts w:ascii="宋体" w:eastAsia="宋体" w:hAnsi="宋体" w:cs="宋体"/>
                <w:b w:val="0"/>
                <w:i w:val="0"/>
                <w:color w:val="000000"/>
                <w:sz w:val="19"/>
              </w:rPr>
              <w:t xml:space="preserve">15.45</w:t>
            </w:r>
          </w:p>
        </w:tc>
        <w:tc>
          <w:tcPr>
            <w:tcW w:w="1600" w:type="dxa"/>
            <w:tcBorders/>
            <w:vAlign w:val="center"/>
          </w:tcPr>
          <w:p>
            <w:pPr>
              <w:jc w:val="right"/>
            </w:pPr>
            <w:r>
              <w:rPr>
                <w:rFonts w:ascii="宋体" w:eastAsia="宋体" w:hAnsi="宋体" w:cs="宋体"/>
                <w:b w:val="0"/>
                <w:i w:val="0"/>
                <w:color w:val="000000"/>
                <w:sz w:val="19"/>
              </w:rPr>
              <w:t xml:space="preserve">9.45</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职业病防治医院</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精神病医院</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妇幼保健医院</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其他公立医院支出</w:t>
            </w:r>
          </w:p>
        </w:tc>
        <w:tc>
          <w:tcPr>
            <w:tcW w:w="1600" w:type="dxa"/>
            <w:tcBorders/>
            <w:vAlign w:val="center"/>
          </w:tcPr>
          <w:p>
            <w:pPr>
              <w:jc w:val="right"/>
            </w:pPr>
            <w:r>
              <w:rPr>
                <w:rFonts w:ascii="宋体" w:eastAsia="宋体" w:hAnsi="宋体" w:cs="宋体"/>
                <w:b w:val="0"/>
                <w:i w:val="0"/>
                <w:color w:val="000000"/>
                <w:sz w:val="19"/>
              </w:rPr>
              <w:t xml:space="preserve">1,570.98</w:t>
            </w:r>
          </w:p>
        </w:tc>
        <w:tc>
          <w:tcPr>
            <w:tcW w:w="1600" w:type="dxa"/>
            <w:tcBorders/>
            <w:vAlign w:val="center"/>
          </w:tcPr>
          <w:p>
            <w:pPr>
              <w:jc w:val="right"/>
            </w:pPr>
            <w:r>
              <w:rPr>
                <w:rFonts w:ascii="宋体" w:eastAsia="宋体" w:hAnsi="宋体" w:cs="宋体"/>
                <w:b w:val="0"/>
                <w:i w:val="0"/>
                <w:color w:val="000000"/>
                <w:sz w:val="19"/>
              </w:rPr>
              <w:t xml:space="preserve">451.28</w:t>
            </w:r>
          </w:p>
        </w:tc>
        <w:tc>
          <w:tcPr>
            <w:tcW w:w="1600" w:type="dxa"/>
            <w:tcBorders/>
            <w:vAlign w:val="center"/>
          </w:tcPr>
          <w:p>
            <w:pPr>
              <w:jc w:val="right"/>
            </w:pPr>
            <w:r>
              <w:rPr>
                <w:rFonts w:ascii="宋体" w:eastAsia="宋体" w:hAnsi="宋体" w:cs="宋体"/>
                <w:b w:val="0"/>
                <w:i w:val="0"/>
                <w:color w:val="000000"/>
                <w:sz w:val="19"/>
              </w:rPr>
              <w:t xml:space="preserve">1,119.70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基层医疗卫生机构</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其他基层医疗卫生机构支出</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8,831.61</w:t>
            </w:r>
          </w:p>
        </w:tc>
        <w:tc>
          <w:tcPr>
            <w:tcW w:w="1600" w:type="dxa"/>
            <w:tcBorders/>
            <w:vAlign w:val="center"/>
          </w:tcPr>
          <w:p>
            <w:pPr>
              <w:jc w:val="right"/>
            </w:pPr>
            <w:r>
              <w:rPr>
                <w:rFonts w:ascii="宋体" w:eastAsia="宋体" w:hAnsi="宋体" w:cs="宋体"/>
                <w:b w:val="0"/>
                <w:i w:val="0"/>
                <w:color w:val="000000"/>
                <w:sz w:val="19"/>
              </w:rPr>
              <w:t xml:space="preserve">3,319.85</w:t>
            </w:r>
          </w:p>
        </w:tc>
        <w:tc>
          <w:tcPr>
            <w:tcW w:w="1600" w:type="dxa"/>
            <w:tcBorders/>
            <w:vAlign w:val="center"/>
          </w:tcPr>
          <w:p>
            <w:pPr>
              <w:jc w:val="right"/>
            </w:pPr>
            <w:r>
              <w:rPr>
                <w:rFonts w:ascii="宋体" w:eastAsia="宋体" w:hAnsi="宋体" w:cs="宋体"/>
                <w:b w:val="0"/>
                <w:i w:val="0"/>
                <w:color w:val="000000"/>
                <w:sz w:val="19"/>
              </w:rPr>
              <w:t xml:space="preserve">5,511.76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疾病预防控制机构</w:t>
            </w:r>
          </w:p>
        </w:tc>
        <w:tc>
          <w:tcPr>
            <w:tcW w:w="1600" w:type="dxa"/>
            <w:tcBorders/>
            <w:vAlign w:val="center"/>
          </w:tcPr>
          <w:p>
            <w:pPr>
              <w:jc w:val="right"/>
            </w:pPr>
            <w:r>
              <w:rPr>
                <w:rFonts w:ascii="宋体" w:eastAsia="宋体" w:hAnsi="宋体" w:cs="宋体"/>
                <w:b w:val="0"/>
                <w:i w:val="0"/>
                <w:color w:val="000000"/>
                <w:sz w:val="19"/>
              </w:rPr>
              <w:t xml:space="preserve">2,183.90</w:t>
            </w:r>
          </w:p>
        </w:tc>
        <w:tc>
          <w:tcPr>
            <w:tcW w:w="1600" w:type="dxa"/>
            <w:tcBorders/>
            <w:vAlign w:val="center"/>
          </w:tcPr>
          <w:p>
            <w:pPr>
              <w:jc w:val="right"/>
            </w:pPr>
            <w:r>
              <w:rPr>
                <w:rFonts w:ascii="宋体" w:eastAsia="宋体" w:hAnsi="宋体" w:cs="宋体"/>
                <w:b w:val="0"/>
                <w:i w:val="0"/>
                <w:color w:val="000000"/>
                <w:sz w:val="19"/>
              </w:rPr>
              <w:t xml:space="preserve">2,183.90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卫生监督机构</w:t>
            </w:r>
          </w:p>
        </w:tc>
        <w:tc>
          <w:tcPr>
            <w:tcW w:w="1600" w:type="dxa"/>
            <w:tcBorders/>
            <w:vAlign w:val="center"/>
          </w:tcPr>
          <w:p>
            <w:pPr>
              <w:jc w:val="right"/>
            </w:pPr>
            <w:r>
              <w:rPr>
                <w:rFonts w:ascii="宋体" w:eastAsia="宋体" w:hAnsi="宋体" w:cs="宋体"/>
                <w:b w:val="0"/>
                <w:i w:val="0"/>
                <w:color w:val="000000"/>
                <w:sz w:val="19"/>
              </w:rPr>
              <w:t xml:space="preserve">450.04</w:t>
            </w:r>
          </w:p>
        </w:tc>
        <w:tc>
          <w:tcPr>
            <w:tcW w:w="1600" w:type="dxa"/>
            <w:tcBorders/>
            <w:vAlign w:val="center"/>
          </w:tcPr>
          <w:p>
            <w:pPr>
              <w:jc w:val="right"/>
            </w:pPr>
            <w:r>
              <w:rPr>
                <w:rFonts w:ascii="宋体" w:eastAsia="宋体" w:hAnsi="宋体" w:cs="宋体"/>
                <w:b w:val="0"/>
                <w:i w:val="0"/>
                <w:color w:val="000000"/>
                <w:sz w:val="19"/>
              </w:rPr>
              <w:t xml:space="preserve">450.04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妇幼保健机构</w:t>
            </w:r>
          </w:p>
        </w:tc>
        <w:tc>
          <w:tcPr>
            <w:tcW w:w="1600" w:type="dxa"/>
            <w:tcBorders/>
            <w:vAlign w:val="center"/>
          </w:tcPr>
          <w:p>
            <w:pPr>
              <w:jc w:val="right"/>
            </w:pPr>
            <w:r>
              <w:rPr>
                <w:rFonts w:ascii="宋体" w:eastAsia="宋体" w:hAnsi="宋体" w:cs="宋体"/>
                <w:b w:val="0"/>
                <w:i w:val="0"/>
                <w:color w:val="000000"/>
                <w:sz w:val="19"/>
              </w:rPr>
              <w:t xml:space="preserve">39.06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采供血机构</w:t>
            </w:r>
          </w:p>
        </w:tc>
        <w:tc>
          <w:tcPr>
            <w:tcW w:w="1600" w:type="dxa"/>
            <w:tcBorders/>
            <w:vAlign w:val="center"/>
          </w:tcPr>
          <w:p>
            <w:pPr>
              <w:jc w:val="right"/>
            </w:pPr>
            <w:r>
              <w:rPr>
                <w:rFonts w:ascii="宋体" w:eastAsia="宋体" w:hAnsi="宋体" w:cs="宋体"/>
                <w:b w:val="0"/>
                <w:i w:val="0"/>
                <w:color w:val="000000"/>
                <w:sz w:val="19"/>
              </w:rPr>
              <w:t xml:space="preserve">2,664.91</w:t>
            </w:r>
          </w:p>
        </w:tc>
        <w:tc>
          <w:tcPr>
            <w:tcW w:w="1600" w:type="dxa"/>
            <w:tcBorders/>
            <w:vAlign w:val="center"/>
          </w:tcPr>
          <w:p>
            <w:pPr>
              <w:jc w:val="right"/>
            </w:pPr>
            <w:r>
              <w:rPr>
                <w:rFonts w:ascii="宋体" w:eastAsia="宋体" w:hAnsi="宋体" w:cs="宋体"/>
                <w:b w:val="0"/>
                <w:i w:val="0"/>
                <w:color w:val="000000"/>
                <w:sz w:val="19"/>
              </w:rPr>
              <w:t xml:space="preserve">607.94</w:t>
            </w:r>
          </w:p>
        </w:tc>
        <w:tc>
          <w:tcPr>
            <w:tcW w:w="1600" w:type="dxa"/>
            <w:tcBorders/>
            <w:vAlign w:val="center"/>
          </w:tcPr>
          <w:p>
            <w:pPr>
              <w:jc w:val="right"/>
            </w:pPr>
            <w:r>
              <w:rPr>
                <w:rFonts w:ascii="宋体" w:eastAsia="宋体" w:hAnsi="宋体" w:cs="宋体"/>
                <w:b w:val="0"/>
                <w:i w:val="0"/>
                <w:color w:val="000000"/>
                <w:sz w:val="19"/>
              </w:rPr>
              <w:t xml:space="preserve">2,056.97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183.17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736.55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736.55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2,286.60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2,286.60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其他公共卫生支出</w:t>
            </w:r>
          </w:p>
        </w:tc>
        <w:tc>
          <w:tcPr>
            <w:tcW w:w="1600" w:type="dxa"/>
            <w:tcBorders/>
            <w:vAlign w:val="center"/>
          </w:tcPr>
          <w:p>
            <w:pPr>
              <w:jc w:val="right"/>
            </w:pPr>
            <w:r>
              <w:rPr>
                <w:rFonts w:ascii="宋体" w:eastAsia="宋体" w:hAnsi="宋体" w:cs="宋体"/>
                <w:b w:val="0"/>
                <w:i w:val="0"/>
                <w:color w:val="000000"/>
                <w:sz w:val="19"/>
              </w:rPr>
              <w:t xml:space="preserve">287.39</w:t>
            </w:r>
          </w:p>
        </w:tc>
        <w:tc>
          <w:tcPr>
            <w:tcW w:w="1600" w:type="dxa"/>
            <w:tcBorders/>
            <w:vAlign w:val="center"/>
          </w:tcPr>
          <w:p>
            <w:pPr>
              <w:jc w:val="right"/>
            </w:pPr>
            <w:r>
              <w:rPr>
                <w:rFonts w:ascii="宋体" w:eastAsia="宋体" w:hAnsi="宋体" w:cs="宋体"/>
                <w:b w:val="0"/>
                <w:i w:val="0"/>
                <w:color w:val="000000"/>
                <w:sz w:val="19"/>
              </w:rPr>
              <w:t xml:space="preserve">77.97</w:t>
            </w:r>
          </w:p>
        </w:tc>
        <w:tc>
          <w:tcPr>
            <w:tcW w:w="1600" w:type="dxa"/>
            <w:tcBorders/>
            <w:vAlign w:val="center"/>
          </w:tcPr>
          <w:p>
            <w:pPr>
              <w:jc w:val="right"/>
            </w:pPr>
            <w:r>
              <w:rPr>
                <w:rFonts w:ascii="宋体" w:eastAsia="宋体" w:hAnsi="宋体" w:cs="宋体"/>
                <w:b w:val="0"/>
                <w:i w:val="0"/>
                <w:color w:val="000000"/>
                <w:sz w:val="19"/>
              </w:rPr>
              <w:t xml:space="preserve">209.42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中医药</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中医（民族医）药专项</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计划生育事务</w:t>
            </w:r>
          </w:p>
        </w:tc>
        <w:tc>
          <w:tcPr>
            <w:tcW w:w="1600" w:type="dxa"/>
            <w:tcBorders/>
            <w:vAlign w:val="center"/>
          </w:tcPr>
          <w:p>
            <w:pPr>
              <w:jc w:val="right"/>
            </w:pPr>
            <w:r>
              <w:rPr>
                <w:rFonts w:ascii="宋体" w:eastAsia="宋体" w:hAnsi="宋体" w:cs="宋体"/>
                <w:b w:val="0"/>
                <w:i w:val="0"/>
                <w:color w:val="000000"/>
                <w:sz w:val="19"/>
              </w:rPr>
              <w:t xml:space="preserve">60.64</w:t>
            </w:r>
          </w:p>
        </w:tc>
        <w:tc>
          <w:tcPr>
            <w:tcW w:w="1600" w:type="dxa"/>
            <w:tcBorders/>
            <w:vAlign w:val="center"/>
          </w:tcPr>
          <w:p>
            <w:pPr>
              <w:jc w:val="right"/>
            </w:pPr>
            <w:r>
              <w:rPr>
                <w:rFonts w:ascii="宋体" w:eastAsia="宋体" w:hAnsi="宋体" w:cs="宋体"/>
                <w:b w:val="0"/>
                <w:i w:val="0"/>
                <w:color w:val="000000"/>
                <w:sz w:val="19"/>
              </w:rPr>
              <w:t xml:space="preserve">54.78</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2100717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计划生育服务</w:t>
            </w:r>
          </w:p>
        </w:tc>
        <w:tc>
          <w:tcPr>
            <w:tcW w:w="1600" w:type="dxa"/>
            <w:tcBorders/>
            <w:vAlign w:val="center"/>
          </w:tcPr>
          <w:p>
            <w:pPr>
              <w:jc w:val="right"/>
            </w:pPr>
            <w:r>
              <w:rPr>
                <w:rFonts w:ascii="宋体" w:eastAsia="宋体" w:hAnsi="宋体" w:cs="宋体"/>
                <w:b w:val="0"/>
                <w:i w:val="0"/>
                <w:color w:val="000000"/>
                <w:sz w:val="19"/>
              </w:rPr>
              <w:t xml:space="preserve">60.64</w:t>
            </w:r>
          </w:p>
        </w:tc>
        <w:tc>
          <w:tcPr>
            <w:tcW w:w="1600" w:type="dxa"/>
            <w:tcBorders/>
            <w:vAlign w:val="center"/>
          </w:tcPr>
          <w:p>
            <w:pPr>
              <w:jc w:val="right"/>
            </w:pPr>
            <w:r>
              <w:rPr>
                <w:rFonts w:ascii="宋体" w:eastAsia="宋体" w:hAnsi="宋体" w:cs="宋体"/>
                <w:b w:val="0"/>
                <w:i w:val="0"/>
                <w:color w:val="000000"/>
                <w:sz w:val="19"/>
              </w:rPr>
              <w:t xml:space="preserve">54.78</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187.68</w:t>
            </w:r>
          </w:p>
        </w:tc>
        <w:tc>
          <w:tcPr>
            <w:tcW w:w="1600" w:type="dxa"/>
            <w:tcBorders/>
            <w:vAlign w:val="center"/>
          </w:tcPr>
          <w:p>
            <w:pPr>
              <w:jc w:val="right"/>
            </w:pPr>
            <w:r>
              <w:rPr>
                <w:rFonts w:ascii="宋体" w:eastAsia="宋体" w:hAnsi="宋体" w:cs="宋体"/>
                <w:b w:val="0"/>
                <w:i w:val="0"/>
                <w:color w:val="000000"/>
                <w:sz w:val="19"/>
              </w:rPr>
              <w:t xml:space="preserve">187.68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31.94</w:t>
            </w:r>
          </w:p>
        </w:tc>
        <w:tc>
          <w:tcPr>
            <w:tcW w:w="1600" w:type="dxa"/>
            <w:tcBorders/>
            <w:vAlign w:val="center"/>
          </w:tcPr>
          <w:p>
            <w:pPr>
              <w:jc w:val="right"/>
            </w:pPr>
            <w:r>
              <w:rPr>
                <w:rFonts w:ascii="宋体" w:eastAsia="宋体" w:hAnsi="宋体" w:cs="宋体"/>
                <w:b w:val="0"/>
                <w:i w:val="0"/>
                <w:color w:val="000000"/>
                <w:sz w:val="19"/>
              </w:rPr>
              <w:t xml:space="preserve">31.94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106.69</w:t>
            </w:r>
          </w:p>
        </w:tc>
        <w:tc>
          <w:tcPr>
            <w:tcW w:w="1600" w:type="dxa"/>
            <w:tcBorders/>
            <w:vAlign w:val="center"/>
          </w:tcPr>
          <w:p>
            <w:pPr>
              <w:jc w:val="right"/>
            </w:pPr>
            <w:r>
              <w:rPr>
                <w:rFonts w:ascii="宋体" w:eastAsia="宋体" w:hAnsi="宋体" w:cs="宋体"/>
                <w:b w:val="0"/>
                <w:i w:val="0"/>
                <w:color w:val="000000"/>
                <w:sz w:val="19"/>
              </w:rPr>
              <w:t xml:space="preserve">106.69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49.06</w:t>
            </w:r>
          </w:p>
        </w:tc>
        <w:tc>
          <w:tcPr>
            <w:tcW w:w="1600" w:type="dxa"/>
            <w:tcBorders/>
            <w:vAlign w:val="center"/>
          </w:tcPr>
          <w:p>
            <w:pPr>
              <w:jc w:val="right"/>
            </w:pPr>
            <w:r>
              <w:rPr>
                <w:rFonts w:ascii="宋体" w:eastAsia="宋体" w:hAnsi="宋体" w:cs="宋体"/>
                <w:b w:val="0"/>
                <w:i w:val="0"/>
                <w:color w:val="000000"/>
                <w:sz w:val="19"/>
              </w:rPr>
              <w:t xml:space="preserve">49.06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1,042.10</w:t>
            </w:r>
          </w:p>
        </w:tc>
        <w:tc>
          <w:tcPr>
            <w:tcW w:w="1600" w:type="dxa"/>
            <w:tcBorders/>
            <w:vAlign w:val="center"/>
          </w:tcPr>
          <w:p>
            <w:pPr>
              <w:jc w:val="right"/>
            </w:pPr>
            <w:r>
              <w:rPr>
                <w:rFonts w:ascii="宋体" w:eastAsia="宋体" w:hAnsi="宋体" w:cs="宋体"/>
                <w:b w:val="0"/>
                <w:i w:val="0"/>
                <w:color w:val="000000"/>
                <w:sz w:val="19"/>
              </w:rPr>
              <w:t xml:space="preserve">94.48</w:t>
            </w:r>
          </w:p>
        </w:tc>
        <w:tc>
          <w:tcPr>
            <w:tcW w:w="1600" w:type="dxa"/>
            <w:tcBorders/>
            <w:vAlign w:val="center"/>
          </w:tcPr>
          <w:p>
            <w:pPr>
              <w:jc w:val="right"/>
            </w:pPr>
            <w:r>
              <w:rPr>
                <w:rFonts w:ascii="宋体" w:eastAsia="宋体" w:hAnsi="宋体" w:cs="宋体"/>
                <w:b w:val="0"/>
                <w:i w:val="0"/>
                <w:color w:val="000000"/>
                <w:sz w:val="19"/>
              </w:rPr>
              <w:t xml:space="preserve">947.62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1,042.10</w:t>
            </w:r>
          </w:p>
        </w:tc>
        <w:tc>
          <w:tcPr>
            <w:tcW w:w="1600" w:type="dxa"/>
            <w:tcBorders/>
            <w:vAlign w:val="center"/>
          </w:tcPr>
          <w:p>
            <w:pPr>
              <w:jc w:val="right"/>
            </w:pPr>
            <w:r>
              <w:rPr>
                <w:rFonts w:ascii="宋体" w:eastAsia="宋体" w:hAnsi="宋体" w:cs="宋体"/>
                <w:b w:val="0"/>
                <w:i w:val="0"/>
                <w:color w:val="000000"/>
                <w:sz w:val="19"/>
              </w:rPr>
              <w:t xml:space="preserve">94.48</w:t>
            </w:r>
          </w:p>
        </w:tc>
        <w:tc>
          <w:tcPr>
            <w:tcW w:w="1600" w:type="dxa"/>
            <w:tcBorders/>
            <w:vAlign w:val="center"/>
          </w:tcPr>
          <w:p>
            <w:pPr>
              <w:jc w:val="right"/>
            </w:pPr>
            <w:r>
              <w:rPr>
                <w:rFonts w:ascii="宋体" w:eastAsia="宋体" w:hAnsi="宋体" w:cs="宋体"/>
                <w:b w:val="0"/>
                <w:i w:val="0"/>
                <w:color w:val="000000"/>
                <w:sz w:val="19"/>
              </w:rPr>
              <w:t xml:space="preserve">947.62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8.40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8.40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7.50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262.86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47.24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15,366.12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305.66</w:t>
            </w:r>
          </w:p>
        </w:tc>
        <w:tc>
          <w:tcPr>
            <w:tcW w:w="1420" w:type="dxa"/>
            <w:tcBorders/>
            <w:vAlign w:val="center"/>
          </w:tcPr>
          <w:p>
            <w:pPr>
              <w:jc w:val="right"/>
            </w:pPr>
            <w:r>
              <w:rPr>
                <w:rFonts w:ascii="宋体" w:eastAsia="宋体" w:hAnsi="宋体" w:cs="宋体"/>
                <w:b w:val="0"/>
                <w:i w:val="0"/>
                <w:color w:val="000000"/>
                <w:sz w:val="18"/>
              </w:rPr>
              <w:t xml:space="preserve">305.66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1,935.83</w:t>
            </w:r>
          </w:p>
        </w:tc>
        <w:tc>
          <w:tcPr>
            <w:tcW w:w="1420" w:type="dxa"/>
            <w:tcBorders/>
            <w:vAlign w:val="center"/>
          </w:tcPr>
          <w:p>
            <w:pPr>
              <w:jc w:val="right"/>
            </w:pPr>
            <w:r>
              <w:rPr>
                <w:rFonts w:ascii="宋体" w:eastAsia="宋体" w:hAnsi="宋体" w:cs="宋体"/>
                <w:b w:val="0"/>
                <w:i w:val="0"/>
                <w:color w:val="000000"/>
                <w:sz w:val="18"/>
              </w:rPr>
              <w:t xml:space="preserve">1,935.83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13,590.12</w:t>
            </w:r>
          </w:p>
        </w:tc>
        <w:tc>
          <w:tcPr>
            <w:tcW w:w="1420" w:type="dxa"/>
            <w:tcBorders/>
            <w:vAlign w:val="center"/>
          </w:tcPr>
          <w:p>
            <w:pPr>
              <w:jc w:val="right"/>
            </w:pPr>
            <w:r>
              <w:rPr>
                <w:rFonts w:ascii="宋体" w:eastAsia="宋体" w:hAnsi="宋体" w:cs="宋体"/>
                <w:b w:val="0"/>
                <w:i w:val="0"/>
                <w:color w:val="000000"/>
                <w:sz w:val="18"/>
              </w:rPr>
              <w:t xml:space="preserve">13,590.12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8.40</w:t>
            </w:r>
          </w:p>
        </w:tc>
        <w:tc>
          <w:tcPr>
            <w:tcW w:w="1420" w:type="dxa"/>
            <w:tcBorders/>
            <w:vAlign w:val="center"/>
          </w:tcPr>
          <w:p>
            <w:pPr>
              <w:jc w:val="right"/>
            </w:pPr>
            <w:r>
              <w:rPr>
                <w:rFonts w:ascii="宋体" w:eastAsia="宋体" w:hAnsi="宋体" w:cs="宋体"/>
                <w:b w:val="0"/>
                <w:i w:val="0"/>
                <w:color w:val="000000"/>
                <w:sz w:val="18"/>
              </w:rPr>
              <w:t xml:space="preserve">8.40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262.86</w:t>
            </w:r>
          </w:p>
        </w:tc>
        <w:tc>
          <w:tcPr>
            <w:tcW w:w="1420" w:type="dxa"/>
            <w:tcBorders/>
            <w:vAlign w:val="center"/>
          </w:tcPr>
          <w:p>
            <w:pPr>
              <w:jc w:val="right"/>
            </w:pPr>
            <w:r>
              <w:rPr>
                <w:rFonts w:ascii="宋体" w:eastAsia="宋体" w:hAnsi="宋体" w:cs="宋体"/>
                <w:b w:val="0"/>
                <w:i w:val="0"/>
                <w:color w:val="000000"/>
                <w:sz w:val="18"/>
              </w:rPr>
              <w:t xml:space="preserve">262.86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47.24</w:t>
            </w:r>
          </w:p>
        </w:tc>
        <w:tc>
          <w:tcPr>
            <w:tcW w:w="1420" w:type="dxa"/>
            <w:tcBorders/>
            <w:vAlign w:val="center"/>
          </w:tcPr>
          <w:p>
            <w:pPr>
              <w:jc w:val="right"/>
            </w:pPr>
            <w:r>
              <w:rPr>
                <w:rFonts w:ascii="宋体" w:eastAsia="宋体" w:hAnsi="宋体" w:cs="宋体"/>
                <w:b w:val="0"/>
                <w:i w:val="0"/>
                <w:color w:val="000000"/>
                <w:sz w:val="18"/>
              </w:rPr>
              <w:t xml:space="preserve">47.24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15,366.12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16,150.10</w:t>
            </w:r>
          </w:p>
        </w:tc>
        <w:tc>
          <w:tcPr>
            <w:tcW w:w="1420" w:type="dxa"/>
            <w:tcBorders/>
            <w:vAlign w:val="center"/>
          </w:tcPr>
          <w:p>
            <w:pPr>
              <w:jc w:val="right"/>
            </w:pPr>
            <w:r>
              <w:rPr>
                <w:rFonts w:ascii="宋体" w:eastAsia="宋体" w:hAnsi="宋体" w:cs="宋体"/>
                <w:b w:val="0"/>
                <w:i w:val="0"/>
                <w:color w:val="000000"/>
                <w:sz w:val="18"/>
              </w:rPr>
              <w:t xml:space="preserve">16,150.10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783.98</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783.98</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16,150.10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16,150.10</w:t>
            </w:r>
          </w:p>
        </w:tc>
        <w:tc>
          <w:tcPr>
            <w:tcW w:w="1420" w:type="dxa"/>
            <w:tcBorders/>
            <w:vAlign w:val="center"/>
          </w:tcPr>
          <w:p>
            <w:pPr>
              <w:jc w:val="right"/>
            </w:pPr>
            <w:r>
              <w:rPr>
                <w:rFonts w:ascii="宋体" w:eastAsia="宋体" w:hAnsi="宋体" w:cs="宋体"/>
                <w:b w:val="0"/>
                <w:i w:val="0"/>
                <w:color w:val="000000"/>
                <w:sz w:val="18"/>
              </w:rPr>
              <w:t xml:space="preserve">16,150.10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16,150.10</w:t>
            </w:r>
          </w:p>
        </w:tc>
        <w:tc>
          <w:tcPr>
            <w:tcW w:w="2700" w:type="dxa"/>
            <w:tcBorders/>
            <w:vAlign w:val="center"/>
          </w:tcPr>
          <w:p>
            <w:pPr>
              <w:jc w:val="right"/>
            </w:pPr>
            <w:r>
              <w:rPr>
                <w:rFonts w:ascii="宋体" w:eastAsia="宋体" w:hAnsi="宋体" w:cs="宋体"/>
                <w:b/>
                <w:i w:val="0"/>
                <w:color w:val="000000"/>
                <w:sz w:val="25"/>
              </w:rPr>
              <w:t xml:space="preserve">7,518.00</w:t>
            </w:r>
          </w:p>
        </w:tc>
        <w:tc>
          <w:tcPr>
            <w:tcW w:w="2658" w:type="dxa"/>
            <w:tcBorders/>
            <w:vAlign w:val="center"/>
          </w:tcPr>
          <w:p>
            <w:pPr>
              <w:jc w:val="right"/>
            </w:pPr>
            <w:r>
              <w:rPr>
                <w:rFonts w:ascii="宋体" w:eastAsia="宋体" w:hAnsi="宋体" w:cs="宋体"/>
                <w:b/>
                <w:i w:val="0"/>
                <w:color w:val="000000"/>
                <w:sz w:val="25"/>
              </w:rPr>
              <w:t xml:space="preserve">8,632.10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305.66</w:t>
            </w:r>
          </w:p>
        </w:tc>
        <w:tc>
          <w:tcPr>
            <w:tcW w:w="2700" w:type="dxa"/>
            <w:tcBorders/>
            <w:vAlign w:val="center"/>
          </w:tcPr>
          <w:p>
            <w:pPr>
              <w:jc w:val="right"/>
            </w:pPr>
            <w:r>
              <w:rPr>
                <w:rFonts w:ascii="宋体" w:eastAsia="宋体" w:hAnsi="宋体" w:cs="宋体"/>
                <w:b w:val="0"/>
                <w:i w:val="0"/>
                <w:color w:val="000000"/>
                <w:sz w:val="25"/>
              </w:rPr>
              <w:t xml:space="preserve">305.66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35.02</w:t>
            </w:r>
          </w:p>
        </w:tc>
        <w:tc>
          <w:tcPr>
            <w:tcW w:w="2700" w:type="dxa"/>
            <w:tcBorders/>
            <w:vAlign w:val="center"/>
          </w:tcPr>
          <w:p>
            <w:pPr>
              <w:jc w:val="right"/>
            </w:pPr>
            <w:r>
              <w:rPr>
                <w:rFonts w:ascii="宋体" w:eastAsia="宋体" w:hAnsi="宋体" w:cs="宋体"/>
                <w:b w:val="0"/>
                <w:i w:val="0"/>
                <w:color w:val="000000"/>
                <w:sz w:val="25"/>
              </w:rPr>
              <w:t xml:space="preserve">35.02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35.02</w:t>
            </w:r>
          </w:p>
        </w:tc>
        <w:tc>
          <w:tcPr>
            <w:tcW w:w="2700" w:type="dxa"/>
            <w:tcBorders/>
            <w:vAlign w:val="center"/>
          </w:tcPr>
          <w:p>
            <w:pPr>
              <w:jc w:val="right"/>
            </w:pPr>
            <w:r>
              <w:rPr>
                <w:rFonts w:ascii="宋体" w:eastAsia="宋体" w:hAnsi="宋体" w:cs="宋体"/>
                <w:b w:val="0"/>
                <w:i w:val="0"/>
                <w:color w:val="000000"/>
                <w:sz w:val="25"/>
              </w:rPr>
              <w:t xml:space="preserve">35.02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229.34</w:t>
            </w:r>
          </w:p>
        </w:tc>
        <w:tc>
          <w:tcPr>
            <w:tcW w:w="2700" w:type="dxa"/>
            <w:tcBorders/>
            <w:vAlign w:val="center"/>
          </w:tcPr>
          <w:p>
            <w:pPr>
              <w:jc w:val="right"/>
            </w:pPr>
            <w:r>
              <w:rPr>
                <w:rFonts w:ascii="宋体" w:eastAsia="宋体" w:hAnsi="宋体" w:cs="宋体"/>
                <w:b w:val="0"/>
                <w:i w:val="0"/>
                <w:color w:val="000000"/>
                <w:sz w:val="25"/>
              </w:rPr>
              <w:t xml:space="preserve">229.34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229.34</w:t>
            </w:r>
          </w:p>
        </w:tc>
        <w:tc>
          <w:tcPr>
            <w:tcW w:w="2700" w:type="dxa"/>
            <w:tcBorders/>
            <w:vAlign w:val="center"/>
          </w:tcPr>
          <w:p>
            <w:pPr>
              <w:jc w:val="right"/>
            </w:pPr>
            <w:r>
              <w:rPr>
                <w:rFonts w:ascii="宋体" w:eastAsia="宋体" w:hAnsi="宋体" w:cs="宋体"/>
                <w:b w:val="0"/>
                <w:i w:val="0"/>
                <w:color w:val="000000"/>
                <w:sz w:val="25"/>
              </w:rPr>
              <w:t xml:space="preserve">229.34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1,935.83</w:t>
            </w:r>
          </w:p>
        </w:tc>
        <w:tc>
          <w:tcPr>
            <w:tcW w:w="2700" w:type="dxa"/>
            <w:tcBorders/>
            <w:vAlign w:val="center"/>
          </w:tcPr>
          <w:p>
            <w:pPr>
              <w:jc w:val="right"/>
            </w:pPr>
            <w:r>
              <w:rPr>
                <w:rFonts w:ascii="宋体" w:eastAsia="宋体" w:hAnsi="宋体" w:cs="宋体"/>
                <w:b w:val="0"/>
                <w:i w:val="0"/>
                <w:color w:val="000000"/>
                <w:sz w:val="25"/>
              </w:rPr>
              <w:t xml:space="preserve">1,330.84</w:t>
            </w:r>
          </w:p>
        </w:tc>
        <w:tc>
          <w:tcPr>
            <w:tcW w:w="2658" w:type="dxa"/>
            <w:tcBorders/>
            <w:vAlign w:val="center"/>
          </w:tcPr>
          <w:p>
            <w:pPr>
              <w:jc w:val="right"/>
            </w:pPr>
            <w:r>
              <w:rPr>
                <w:rFonts w:ascii="宋体" w:eastAsia="宋体" w:hAnsi="宋体" w:cs="宋体"/>
                <w:b w:val="0"/>
                <w:i w:val="0"/>
                <w:color w:val="000000"/>
                <w:sz w:val="25"/>
              </w:rPr>
              <w:t xml:space="preserve">604.99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1,119.89</w:t>
            </w:r>
          </w:p>
        </w:tc>
        <w:tc>
          <w:tcPr>
            <w:tcW w:w="2700" w:type="dxa"/>
            <w:tcBorders/>
            <w:vAlign w:val="center"/>
          </w:tcPr>
          <w:p>
            <w:pPr>
              <w:jc w:val="right"/>
            </w:pPr>
            <w:r>
              <w:rPr>
                <w:rFonts w:ascii="宋体" w:eastAsia="宋体" w:hAnsi="宋体" w:cs="宋体"/>
                <w:b w:val="0"/>
                <w:i w:val="0"/>
                <w:color w:val="000000"/>
                <w:sz w:val="25"/>
              </w:rPr>
              <w:t xml:space="preserve">1,119.89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321.75</w:t>
            </w:r>
          </w:p>
        </w:tc>
        <w:tc>
          <w:tcPr>
            <w:tcW w:w="2700" w:type="dxa"/>
            <w:tcBorders/>
            <w:vAlign w:val="center"/>
          </w:tcPr>
          <w:p>
            <w:pPr>
              <w:jc w:val="right"/>
            </w:pPr>
            <w:r>
              <w:rPr>
                <w:rFonts w:ascii="宋体" w:eastAsia="宋体" w:hAnsi="宋体" w:cs="宋体"/>
                <w:b w:val="0"/>
                <w:i w:val="0"/>
                <w:color w:val="000000"/>
                <w:sz w:val="25"/>
              </w:rPr>
              <w:t xml:space="preserve">321.75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489.63</w:t>
            </w:r>
          </w:p>
        </w:tc>
        <w:tc>
          <w:tcPr>
            <w:tcW w:w="2700" w:type="dxa"/>
            <w:tcBorders/>
            <w:vAlign w:val="center"/>
          </w:tcPr>
          <w:p>
            <w:pPr>
              <w:jc w:val="right"/>
            </w:pPr>
            <w:r>
              <w:rPr>
                <w:rFonts w:ascii="宋体" w:eastAsia="宋体" w:hAnsi="宋体" w:cs="宋体"/>
                <w:b w:val="0"/>
                <w:i w:val="0"/>
                <w:color w:val="000000"/>
                <w:sz w:val="25"/>
              </w:rPr>
              <w:t xml:space="preserve">489.63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287.12</w:t>
            </w:r>
          </w:p>
        </w:tc>
        <w:tc>
          <w:tcPr>
            <w:tcW w:w="2700" w:type="dxa"/>
            <w:tcBorders/>
            <w:vAlign w:val="center"/>
          </w:tcPr>
          <w:p>
            <w:pPr>
              <w:jc w:val="right"/>
            </w:pPr>
            <w:r>
              <w:rPr>
                <w:rFonts w:ascii="宋体" w:eastAsia="宋体" w:hAnsi="宋体" w:cs="宋体"/>
                <w:b w:val="0"/>
                <w:i w:val="0"/>
                <w:color w:val="000000"/>
                <w:sz w:val="25"/>
              </w:rPr>
              <w:t xml:space="preserve">287.12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21.40</w:t>
            </w:r>
          </w:p>
        </w:tc>
        <w:tc>
          <w:tcPr>
            <w:tcW w:w="2700" w:type="dxa"/>
            <w:tcBorders/>
            <w:vAlign w:val="center"/>
          </w:tcPr>
          <w:p>
            <w:pPr>
              <w:jc w:val="right"/>
            </w:pPr>
            <w:r>
              <w:rPr>
                <w:rFonts w:ascii="宋体" w:eastAsia="宋体" w:hAnsi="宋体" w:cs="宋体"/>
                <w:b w:val="0"/>
                <w:i w:val="0"/>
                <w:color w:val="000000"/>
                <w:sz w:val="25"/>
              </w:rPr>
              <w:t xml:space="preserve">21.40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2.56</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658" w:type="dxa"/>
            <w:tcBorders/>
            <w:vAlign w:val="center"/>
          </w:tcPr>
          <w:p>
            <w:pPr>
              <w:jc w:val="right"/>
            </w:pPr>
            <w:r>
              <w:rPr>
                <w:rFonts w:ascii="宋体" w:eastAsia="宋体" w:hAnsi="宋体" w:cs="宋体"/>
                <w:b w:val="0"/>
                <w:i w:val="0"/>
                <w:color w:val="000000"/>
                <w:sz w:val="25"/>
              </w:rPr>
              <w:t xml:space="preserve">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2.56</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658" w:type="dxa"/>
            <w:tcBorders/>
            <w:vAlign w:val="center"/>
          </w:tcPr>
          <w:p>
            <w:pPr>
              <w:jc w:val="right"/>
            </w:pPr>
            <w:r>
              <w:rPr>
                <w:rFonts w:ascii="宋体" w:eastAsia="宋体" w:hAnsi="宋体" w:cs="宋体"/>
                <w:b w:val="0"/>
                <w:i w:val="0"/>
                <w:color w:val="000000"/>
                <w:sz w:val="25"/>
              </w:rPr>
              <w:t xml:space="preserve">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114.04</w:t>
            </w:r>
          </w:p>
        </w:tc>
        <w:tc>
          <w:tcPr>
            <w:tcW w:w="2700" w:type="dxa"/>
            <w:tcBorders/>
            <w:vAlign w:val="center"/>
          </w:tcPr>
          <w:p>
            <w:pPr>
              <w:jc w:val="right"/>
            </w:pPr>
            <w:r>
              <w:rPr>
                <w:rFonts w:ascii="宋体" w:eastAsia="宋体" w:hAnsi="宋体" w:cs="宋体"/>
                <w:b w:val="0"/>
                <w:i w:val="0"/>
                <w:color w:val="000000"/>
                <w:sz w:val="25"/>
              </w:rPr>
              <w:t xml:space="preserve">114.04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114.04</w:t>
            </w:r>
          </w:p>
        </w:tc>
        <w:tc>
          <w:tcPr>
            <w:tcW w:w="2700" w:type="dxa"/>
            <w:tcBorders/>
            <w:vAlign w:val="center"/>
          </w:tcPr>
          <w:p>
            <w:pPr>
              <w:jc w:val="right"/>
            </w:pPr>
            <w:r>
              <w:rPr>
                <w:rFonts w:ascii="宋体" w:eastAsia="宋体" w:hAnsi="宋体" w:cs="宋体"/>
                <w:b w:val="0"/>
                <w:i w:val="0"/>
                <w:color w:val="000000"/>
                <w:sz w:val="25"/>
              </w:rPr>
              <w:t xml:space="preserve">114.04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w:t>
            </w:r>
          </w:p>
        </w:tc>
        <w:tc>
          <w:tcPr>
            <w:tcW w:w="2700" w:type="dxa"/>
            <w:tcBorders/>
            <w:vAlign w:val="center"/>
          </w:tcPr>
          <w:p>
            <w:pPr>
              <w:jc w:val="right"/>
            </w:pPr>
            <w:r>
              <w:rPr>
                <w:rFonts w:ascii="宋体" w:eastAsia="宋体" w:hAnsi="宋体" w:cs="宋体"/>
                <w:b w:val="0"/>
                <w:i w:val="0"/>
                <w:color w:val="000000"/>
                <w:sz w:val="25"/>
              </w:rPr>
              <w:t xml:space="preserve">592.72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592.72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养老服务</w:t>
            </w:r>
          </w:p>
        </w:tc>
        <w:tc>
          <w:tcPr>
            <w:tcW w:w="2700" w:type="dxa"/>
            <w:tcBorders/>
            <w:vAlign w:val="center"/>
          </w:tcPr>
          <w:p>
            <w:pPr>
              <w:jc w:val="right"/>
            </w:pPr>
            <w:r>
              <w:rPr>
                <w:rFonts w:ascii="宋体" w:eastAsia="宋体" w:hAnsi="宋体" w:cs="宋体"/>
                <w:b w:val="0"/>
                <w:i w:val="0"/>
                <w:color w:val="000000"/>
                <w:sz w:val="25"/>
              </w:rPr>
              <w:t xml:space="preserve">592.72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592.72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红十字事业</w:t>
            </w:r>
          </w:p>
        </w:tc>
        <w:tc>
          <w:tcPr>
            <w:tcW w:w="2700" w:type="dxa"/>
            <w:tcBorders/>
            <w:vAlign w:val="center"/>
          </w:tcPr>
          <w:p>
            <w:pPr>
              <w:jc w:val="right"/>
            </w:pPr>
            <w:r>
              <w:rPr>
                <w:rFonts w:ascii="宋体" w:eastAsia="宋体" w:hAnsi="宋体" w:cs="宋体"/>
                <w:b w:val="0"/>
                <w:i w:val="0"/>
                <w:color w:val="000000"/>
                <w:sz w:val="25"/>
              </w:rPr>
              <w:t xml:space="preserve">106.62</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700" w:type="dxa"/>
            <w:tcBorders/>
            <w:vAlign w:val="center"/>
          </w:tcPr>
          <w:p>
            <w:pPr>
              <w:jc w:val="right"/>
            </w:pPr>
            <w:r>
              <w:rPr>
                <w:rFonts w:ascii="宋体" w:eastAsia="宋体" w:hAnsi="宋体" w:cs="宋体"/>
                <w:b w:val="0"/>
                <w:i w:val="0"/>
                <w:color w:val="000000"/>
                <w:sz w:val="25"/>
              </w:rPr>
              <w:t xml:space="preserve">96.62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2081602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13,590.12</w:t>
            </w:r>
          </w:p>
        </w:tc>
        <w:tc>
          <w:tcPr>
            <w:tcW w:w="2700" w:type="dxa"/>
            <w:tcBorders/>
            <w:vAlign w:val="center"/>
          </w:tcPr>
          <w:p>
            <w:pPr>
              <w:jc w:val="right"/>
            </w:pPr>
            <w:r>
              <w:rPr>
                <w:rFonts w:ascii="宋体" w:eastAsia="宋体" w:hAnsi="宋体" w:cs="宋体"/>
                <w:b w:val="0"/>
                <w:i w:val="0"/>
                <w:color w:val="000000"/>
                <w:sz w:val="25"/>
              </w:rPr>
              <w:t xml:space="preserve">5,571.41</w:t>
            </w:r>
          </w:p>
        </w:tc>
        <w:tc>
          <w:tcPr>
            <w:tcW w:w="2658" w:type="dxa"/>
            <w:tcBorders/>
            <w:vAlign w:val="center"/>
          </w:tcPr>
          <w:p>
            <w:pPr>
              <w:jc w:val="right"/>
            </w:pPr>
            <w:r>
              <w:rPr>
                <w:rFonts w:ascii="宋体" w:eastAsia="宋体" w:hAnsi="宋体" w:cs="宋体"/>
                <w:b w:val="0"/>
                <w:i w:val="0"/>
                <w:color w:val="000000"/>
                <w:sz w:val="25"/>
              </w:rPr>
              <w:t xml:space="preserve">8,018.71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卫生健康管理事务</w:t>
            </w:r>
          </w:p>
        </w:tc>
        <w:tc>
          <w:tcPr>
            <w:tcW w:w="2700" w:type="dxa"/>
            <w:tcBorders/>
            <w:vAlign w:val="center"/>
          </w:tcPr>
          <w:p>
            <w:pPr>
              <w:jc w:val="right"/>
            </w:pPr>
            <w:r>
              <w:rPr>
                <w:rFonts w:ascii="宋体" w:eastAsia="宋体" w:hAnsi="宋体" w:cs="宋体"/>
                <w:b w:val="0"/>
                <w:i w:val="0"/>
                <w:color w:val="000000"/>
                <w:sz w:val="25"/>
              </w:rPr>
              <w:t xml:space="preserve">1,186.68</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658" w:type="dxa"/>
            <w:tcBorders/>
            <w:vAlign w:val="center"/>
          </w:tcPr>
          <w:p>
            <w:pPr>
              <w:jc w:val="right"/>
            </w:pPr>
            <w:r>
              <w:rPr>
                <w:rFonts w:ascii="宋体" w:eastAsia="宋体" w:hAnsi="宋体" w:cs="宋体"/>
                <w:b w:val="0"/>
                <w:i w:val="0"/>
                <w:color w:val="000000"/>
                <w:sz w:val="25"/>
              </w:rPr>
              <w:t xml:space="preserve">230.38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230.38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230.38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2,273.92</w:t>
            </w:r>
          </w:p>
        </w:tc>
        <w:tc>
          <w:tcPr>
            <w:tcW w:w="2700" w:type="dxa"/>
            <w:tcBorders/>
            <w:vAlign w:val="center"/>
          </w:tcPr>
          <w:p>
            <w:pPr>
              <w:jc w:val="right"/>
            </w:pPr>
            <w:r>
              <w:rPr>
                <w:rFonts w:ascii="宋体" w:eastAsia="宋体" w:hAnsi="宋体" w:cs="宋体"/>
                <w:b w:val="0"/>
                <w:i w:val="0"/>
                <w:color w:val="000000"/>
                <w:sz w:val="25"/>
              </w:rPr>
              <w:t xml:space="preserve">958.32</w:t>
            </w:r>
          </w:p>
        </w:tc>
        <w:tc>
          <w:tcPr>
            <w:tcW w:w="2658" w:type="dxa"/>
            <w:tcBorders/>
            <w:vAlign w:val="center"/>
          </w:tcPr>
          <w:p>
            <w:pPr>
              <w:jc w:val="right"/>
            </w:pPr>
            <w:r>
              <w:rPr>
                <w:rFonts w:ascii="宋体" w:eastAsia="宋体" w:hAnsi="宋体" w:cs="宋体"/>
                <w:b w:val="0"/>
                <w:i w:val="0"/>
                <w:color w:val="000000"/>
                <w:sz w:val="25"/>
              </w:rPr>
              <w:t xml:space="preserve">1,315.61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综合医院</w:t>
            </w:r>
          </w:p>
        </w:tc>
        <w:tc>
          <w:tcPr>
            <w:tcW w:w="2700" w:type="dxa"/>
            <w:tcBorders/>
            <w:vAlign w:val="center"/>
          </w:tcPr>
          <w:p>
            <w:pPr>
              <w:jc w:val="right"/>
            </w:pPr>
            <w:r>
              <w:rPr>
                <w:rFonts w:ascii="宋体" w:eastAsia="宋体" w:hAnsi="宋体" w:cs="宋体"/>
                <w:b w:val="0"/>
                <w:i w:val="0"/>
                <w:color w:val="000000"/>
                <w:sz w:val="25"/>
              </w:rPr>
              <w:t xml:space="preserve">162.91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162.91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传染病医院</w:t>
            </w:r>
          </w:p>
        </w:tc>
        <w:tc>
          <w:tcPr>
            <w:tcW w:w="2700" w:type="dxa"/>
            <w:tcBorders/>
            <w:vAlign w:val="center"/>
          </w:tcPr>
          <w:p>
            <w:pPr>
              <w:jc w:val="right"/>
            </w:pPr>
            <w:r>
              <w:rPr>
                <w:rFonts w:ascii="宋体" w:eastAsia="宋体" w:hAnsi="宋体" w:cs="宋体"/>
                <w:b w:val="0"/>
                <w:i w:val="0"/>
                <w:color w:val="000000"/>
                <w:sz w:val="25"/>
              </w:rPr>
              <w:t xml:space="preserve">15.45</w:t>
            </w:r>
          </w:p>
        </w:tc>
        <w:tc>
          <w:tcPr>
            <w:tcW w:w="2700" w:type="dxa"/>
            <w:tcBorders/>
            <w:vAlign w:val="center"/>
          </w:tcPr>
          <w:p>
            <w:pPr>
              <w:jc w:val="right"/>
            </w:pPr>
            <w:r>
              <w:rPr>
                <w:rFonts w:ascii="宋体" w:eastAsia="宋体" w:hAnsi="宋体" w:cs="宋体"/>
                <w:b w:val="0"/>
                <w:i w:val="0"/>
                <w:color w:val="000000"/>
                <w:sz w:val="25"/>
              </w:rPr>
              <w:t xml:space="preserve">9.45</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职业病防治医院</w:t>
            </w:r>
          </w:p>
        </w:tc>
        <w:tc>
          <w:tcPr>
            <w:tcW w:w="2700" w:type="dxa"/>
            <w:tcBorders/>
            <w:vAlign w:val="center"/>
          </w:tcPr>
          <w:p>
            <w:pPr>
              <w:jc w:val="right"/>
            </w:pPr>
            <w:r>
              <w:rPr>
                <w:rFonts w:ascii="宋体" w:eastAsia="宋体" w:hAnsi="宋体" w:cs="宋体"/>
                <w:b w:val="0"/>
                <w:i w:val="0"/>
                <w:color w:val="000000"/>
                <w:sz w:val="25"/>
              </w:rPr>
              <w:t xml:space="preserve">27.00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精神病医院</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妇幼保健医院</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其他公立医院支出</w:t>
            </w:r>
          </w:p>
        </w:tc>
        <w:tc>
          <w:tcPr>
            <w:tcW w:w="2700" w:type="dxa"/>
            <w:tcBorders/>
            <w:vAlign w:val="center"/>
          </w:tcPr>
          <w:p>
            <w:pPr>
              <w:jc w:val="right"/>
            </w:pPr>
            <w:r>
              <w:rPr>
                <w:rFonts w:ascii="宋体" w:eastAsia="宋体" w:hAnsi="宋体" w:cs="宋体"/>
                <w:b w:val="0"/>
                <w:i w:val="0"/>
                <w:color w:val="000000"/>
                <w:sz w:val="25"/>
              </w:rPr>
              <w:t xml:space="preserve">1,570.98</w:t>
            </w:r>
          </w:p>
        </w:tc>
        <w:tc>
          <w:tcPr>
            <w:tcW w:w="2700" w:type="dxa"/>
            <w:tcBorders/>
            <w:vAlign w:val="center"/>
          </w:tcPr>
          <w:p>
            <w:pPr>
              <w:jc w:val="right"/>
            </w:pPr>
            <w:r>
              <w:rPr>
                <w:rFonts w:ascii="宋体" w:eastAsia="宋体" w:hAnsi="宋体" w:cs="宋体"/>
                <w:b w:val="0"/>
                <w:i w:val="0"/>
                <w:color w:val="000000"/>
                <w:sz w:val="25"/>
              </w:rPr>
              <w:t xml:space="preserve">451.28</w:t>
            </w:r>
          </w:p>
        </w:tc>
        <w:tc>
          <w:tcPr>
            <w:tcW w:w="2658" w:type="dxa"/>
            <w:tcBorders/>
            <w:vAlign w:val="center"/>
          </w:tcPr>
          <w:p>
            <w:pPr>
              <w:jc w:val="right"/>
            </w:pPr>
            <w:r>
              <w:rPr>
                <w:rFonts w:ascii="宋体" w:eastAsia="宋体" w:hAnsi="宋体" w:cs="宋体"/>
                <w:b w:val="0"/>
                <w:i w:val="0"/>
                <w:color w:val="000000"/>
                <w:sz w:val="25"/>
              </w:rPr>
              <w:t xml:space="preserve">1,119.70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基层医疗卫生机构</w:t>
            </w:r>
          </w:p>
        </w:tc>
        <w:tc>
          <w:tcPr>
            <w:tcW w:w="2700" w:type="dxa"/>
            <w:tcBorders/>
            <w:vAlign w:val="center"/>
          </w:tcPr>
          <w:p>
            <w:pPr>
              <w:jc w:val="right"/>
            </w:pPr>
            <w:r>
              <w:rPr>
                <w:rFonts w:ascii="宋体" w:eastAsia="宋体" w:hAnsi="宋体" w:cs="宋体"/>
                <w:b w:val="0"/>
                <w:i w:val="0"/>
                <w:color w:val="000000"/>
                <w:sz w:val="25"/>
              </w:rPr>
              <w:t xml:space="preserve">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其他基层医疗卫生机构支出</w:t>
            </w:r>
          </w:p>
        </w:tc>
        <w:tc>
          <w:tcPr>
            <w:tcW w:w="2700" w:type="dxa"/>
            <w:tcBorders/>
            <w:vAlign w:val="center"/>
          </w:tcPr>
          <w:p>
            <w:pPr>
              <w:jc w:val="right"/>
            </w:pPr>
            <w:r>
              <w:rPr>
                <w:rFonts w:ascii="宋体" w:eastAsia="宋体" w:hAnsi="宋体" w:cs="宋体"/>
                <w:b w:val="0"/>
                <w:i w:val="0"/>
                <w:color w:val="000000"/>
                <w:sz w:val="25"/>
              </w:rPr>
              <w:t xml:space="preserve">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8,831.61</w:t>
            </w:r>
          </w:p>
        </w:tc>
        <w:tc>
          <w:tcPr>
            <w:tcW w:w="2700" w:type="dxa"/>
            <w:tcBorders/>
            <w:vAlign w:val="center"/>
          </w:tcPr>
          <w:p>
            <w:pPr>
              <w:jc w:val="right"/>
            </w:pPr>
            <w:r>
              <w:rPr>
                <w:rFonts w:ascii="宋体" w:eastAsia="宋体" w:hAnsi="宋体" w:cs="宋体"/>
                <w:b w:val="0"/>
                <w:i w:val="0"/>
                <w:color w:val="000000"/>
                <w:sz w:val="25"/>
              </w:rPr>
              <w:t xml:space="preserve">3,319.85</w:t>
            </w:r>
          </w:p>
        </w:tc>
        <w:tc>
          <w:tcPr>
            <w:tcW w:w="2658" w:type="dxa"/>
            <w:tcBorders/>
            <w:vAlign w:val="center"/>
          </w:tcPr>
          <w:p>
            <w:pPr>
              <w:jc w:val="right"/>
            </w:pPr>
            <w:r>
              <w:rPr>
                <w:rFonts w:ascii="宋体" w:eastAsia="宋体" w:hAnsi="宋体" w:cs="宋体"/>
                <w:b w:val="0"/>
                <w:i w:val="0"/>
                <w:color w:val="000000"/>
                <w:sz w:val="25"/>
              </w:rPr>
              <w:t xml:space="preserve">5,511.76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疾病预防控制机构</w:t>
            </w:r>
          </w:p>
        </w:tc>
        <w:tc>
          <w:tcPr>
            <w:tcW w:w="2700" w:type="dxa"/>
            <w:tcBorders/>
            <w:vAlign w:val="center"/>
          </w:tcPr>
          <w:p>
            <w:pPr>
              <w:jc w:val="right"/>
            </w:pPr>
            <w:r>
              <w:rPr>
                <w:rFonts w:ascii="宋体" w:eastAsia="宋体" w:hAnsi="宋体" w:cs="宋体"/>
                <w:b w:val="0"/>
                <w:i w:val="0"/>
                <w:color w:val="000000"/>
                <w:sz w:val="25"/>
              </w:rPr>
              <w:t xml:space="preserve">2,183.90</w:t>
            </w:r>
          </w:p>
        </w:tc>
        <w:tc>
          <w:tcPr>
            <w:tcW w:w="2700" w:type="dxa"/>
            <w:tcBorders/>
            <w:vAlign w:val="center"/>
          </w:tcPr>
          <w:p>
            <w:pPr>
              <w:jc w:val="right"/>
            </w:pPr>
            <w:r>
              <w:rPr>
                <w:rFonts w:ascii="宋体" w:eastAsia="宋体" w:hAnsi="宋体" w:cs="宋体"/>
                <w:b w:val="0"/>
                <w:i w:val="0"/>
                <w:color w:val="000000"/>
                <w:sz w:val="25"/>
              </w:rPr>
              <w:t xml:space="preserve">2,183.90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卫生监督机构</w:t>
            </w:r>
          </w:p>
        </w:tc>
        <w:tc>
          <w:tcPr>
            <w:tcW w:w="2700" w:type="dxa"/>
            <w:tcBorders/>
            <w:vAlign w:val="center"/>
          </w:tcPr>
          <w:p>
            <w:pPr>
              <w:jc w:val="right"/>
            </w:pPr>
            <w:r>
              <w:rPr>
                <w:rFonts w:ascii="宋体" w:eastAsia="宋体" w:hAnsi="宋体" w:cs="宋体"/>
                <w:b w:val="0"/>
                <w:i w:val="0"/>
                <w:color w:val="000000"/>
                <w:sz w:val="25"/>
              </w:rPr>
              <w:t xml:space="preserve">450.04</w:t>
            </w:r>
          </w:p>
        </w:tc>
        <w:tc>
          <w:tcPr>
            <w:tcW w:w="2700" w:type="dxa"/>
            <w:tcBorders/>
            <w:vAlign w:val="center"/>
          </w:tcPr>
          <w:p>
            <w:pPr>
              <w:jc w:val="right"/>
            </w:pPr>
            <w:r>
              <w:rPr>
                <w:rFonts w:ascii="宋体" w:eastAsia="宋体" w:hAnsi="宋体" w:cs="宋体"/>
                <w:b w:val="0"/>
                <w:i w:val="0"/>
                <w:color w:val="000000"/>
                <w:sz w:val="25"/>
              </w:rPr>
              <w:t xml:space="preserve">450.04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妇幼保健机构</w:t>
            </w:r>
          </w:p>
        </w:tc>
        <w:tc>
          <w:tcPr>
            <w:tcW w:w="2700" w:type="dxa"/>
            <w:tcBorders/>
            <w:vAlign w:val="center"/>
          </w:tcPr>
          <w:p>
            <w:pPr>
              <w:jc w:val="right"/>
            </w:pPr>
            <w:r>
              <w:rPr>
                <w:rFonts w:ascii="宋体" w:eastAsia="宋体" w:hAnsi="宋体" w:cs="宋体"/>
                <w:b w:val="0"/>
                <w:i w:val="0"/>
                <w:color w:val="000000"/>
                <w:sz w:val="25"/>
              </w:rPr>
              <w:t xml:space="preserve">39.06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39.06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采供血机构</w:t>
            </w:r>
          </w:p>
        </w:tc>
        <w:tc>
          <w:tcPr>
            <w:tcW w:w="2700" w:type="dxa"/>
            <w:tcBorders/>
            <w:vAlign w:val="center"/>
          </w:tcPr>
          <w:p>
            <w:pPr>
              <w:jc w:val="right"/>
            </w:pPr>
            <w:r>
              <w:rPr>
                <w:rFonts w:ascii="宋体" w:eastAsia="宋体" w:hAnsi="宋体" w:cs="宋体"/>
                <w:b w:val="0"/>
                <w:i w:val="0"/>
                <w:color w:val="000000"/>
                <w:sz w:val="25"/>
              </w:rPr>
              <w:t xml:space="preserve">2,664.91</w:t>
            </w:r>
          </w:p>
        </w:tc>
        <w:tc>
          <w:tcPr>
            <w:tcW w:w="2700" w:type="dxa"/>
            <w:tcBorders/>
            <w:vAlign w:val="center"/>
          </w:tcPr>
          <w:p>
            <w:pPr>
              <w:jc w:val="right"/>
            </w:pPr>
            <w:r>
              <w:rPr>
                <w:rFonts w:ascii="宋体" w:eastAsia="宋体" w:hAnsi="宋体" w:cs="宋体"/>
                <w:b w:val="0"/>
                <w:i w:val="0"/>
                <w:color w:val="000000"/>
                <w:sz w:val="25"/>
              </w:rPr>
              <w:t xml:space="preserve">607.94</w:t>
            </w:r>
          </w:p>
        </w:tc>
        <w:tc>
          <w:tcPr>
            <w:tcW w:w="2658" w:type="dxa"/>
            <w:tcBorders/>
            <w:vAlign w:val="center"/>
          </w:tcPr>
          <w:p>
            <w:pPr>
              <w:jc w:val="right"/>
            </w:pPr>
            <w:r>
              <w:rPr>
                <w:rFonts w:ascii="宋体" w:eastAsia="宋体" w:hAnsi="宋体" w:cs="宋体"/>
                <w:b w:val="0"/>
                <w:i w:val="0"/>
                <w:color w:val="000000"/>
                <w:sz w:val="25"/>
              </w:rPr>
              <w:t xml:space="preserve">2,056.97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183.17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183.17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736.55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736.55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2,286.60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2,286.60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其他公共卫生支出</w:t>
            </w:r>
          </w:p>
        </w:tc>
        <w:tc>
          <w:tcPr>
            <w:tcW w:w="2700" w:type="dxa"/>
            <w:tcBorders/>
            <w:vAlign w:val="center"/>
          </w:tcPr>
          <w:p>
            <w:pPr>
              <w:jc w:val="right"/>
            </w:pPr>
            <w:r>
              <w:rPr>
                <w:rFonts w:ascii="宋体" w:eastAsia="宋体" w:hAnsi="宋体" w:cs="宋体"/>
                <w:b w:val="0"/>
                <w:i w:val="0"/>
                <w:color w:val="000000"/>
                <w:sz w:val="25"/>
              </w:rPr>
              <w:t xml:space="preserve">287.39</w:t>
            </w:r>
          </w:p>
        </w:tc>
        <w:tc>
          <w:tcPr>
            <w:tcW w:w="2700" w:type="dxa"/>
            <w:tcBorders/>
            <w:vAlign w:val="center"/>
          </w:tcPr>
          <w:p>
            <w:pPr>
              <w:jc w:val="right"/>
            </w:pPr>
            <w:r>
              <w:rPr>
                <w:rFonts w:ascii="宋体" w:eastAsia="宋体" w:hAnsi="宋体" w:cs="宋体"/>
                <w:b w:val="0"/>
                <w:i w:val="0"/>
                <w:color w:val="000000"/>
                <w:sz w:val="25"/>
              </w:rPr>
              <w:t xml:space="preserve">77.97</w:t>
            </w:r>
          </w:p>
        </w:tc>
        <w:tc>
          <w:tcPr>
            <w:tcW w:w="2658" w:type="dxa"/>
            <w:tcBorders/>
            <w:vAlign w:val="center"/>
          </w:tcPr>
          <w:p>
            <w:pPr>
              <w:jc w:val="right"/>
            </w:pPr>
            <w:r>
              <w:rPr>
                <w:rFonts w:ascii="宋体" w:eastAsia="宋体" w:hAnsi="宋体" w:cs="宋体"/>
                <w:b w:val="0"/>
                <w:i w:val="0"/>
                <w:color w:val="000000"/>
                <w:sz w:val="25"/>
              </w:rPr>
              <w:t xml:space="preserve">209.42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中医药</w:t>
            </w:r>
          </w:p>
        </w:tc>
        <w:tc>
          <w:tcPr>
            <w:tcW w:w="2700" w:type="dxa"/>
            <w:tcBorders/>
            <w:vAlign w:val="center"/>
          </w:tcPr>
          <w:p>
            <w:pPr>
              <w:jc w:val="right"/>
            </w:pPr>
            <w:r>
              <w:rPr>
                <w:rFonts w:ascii="宋体" w:eastAsia="宋体" w:hAnsi="宋体" w:cs="宋体"/>
                <w:b w:val="0"/>
                <w:i w:val="0"/>
                <w:color w:val="000000"/>
                <w:sz w:val="25"/>
              </w:rPr>
              <w:t xml:space="preserve">1.48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中医（民族医）药专项</w:t>
            </w:r>
          </w:p>
        </w:tc>
        <w:tc>
          <w:tcPr>
            <w:tcW w:w="2700" w:type="dxa"/>
            <w:tcBorders/>
            <w:vAlign w:val="center"/>
          </w:tcPr>
          <w:p>
            <w:pPr>
              <w:jc w:val="right"/>
            </w:pPr>
            <w:r>
              <w:rPr>
                <w:rFonts w:ascii="宋体" w:eastAsia="宋体" w:hAnsi="宋体" w:cs="宋体"/>
                <w:b w:val="0"/>
                <w:i w:val="0"/>
                <w:color w:val="000000"/>
                <w:sz w:val="25"/>
              </w:rPr>
              <w:t xml:space="preserve">1.48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计划生育事务</w:t>
            </w:r>
          </w:p>
        </w:tc>
        <w:tc>
          <w:tcPr>
            <w:tcW w:w="2700" w:type="dxa"/>
            <w:tcBorders/>
            <w:vAlign w:val="center"/>
          </w:tcPr>
          <w:p>
            <w:pPr>
              <w:jc w:val="right"/>
            </w:pPr>
            <w:r>
              <w:rPr>
                <w:rFonts w:ascii="宋体" w:eastAsia="宋体" w:hAnsi="宋体" w:cs="宋体"/>
                <w:b w:val="0"/>
                <w:i w:val="0"/>
                <w:color w:val="000000"/>
                <w:sz w:val="25"/>
              </w:rPr>
              <w:t xml:space="preserve">60.64</w:t>
            </w:r>
          </w:p>
        </w:tc>
        <w:tc>
          <w:tcPr>
            <w:tcW w:w="2700" w:type="dxa"/>
            <w:tcBorders/>
            <w:vAlign w:val="center"/>
          </w:tcPr>
          <w:p>
            <w:pPr>
              <w:jc w:val="right"/>
            </w:pPr>
            <w:r>
              <w:rPr>
                <w:rFonts w:ascii="宋体" w:eastAsia="宋体" w:hAnsi="宋体" w:cs="宋体"/>
                <w:b w:val="0"/>
                <w:i w:val="0"/>
                <w:color w:val="000000"/>
                <w:sz w:val="25"/>
              </w:rPr>
              <w:t xml:space="preserve">54.78</w:t>
            </w:r>
          </w:p>
        </w:tc>
        <w:tc>
          <w:tcPr>
            <w:tcW w:w="2658" w:type="dxa"/>
            <w:tcBorders/>
            <w:vAlign w:val="center"/>
          </w:tcPr>
          <w:p>
            <w:pPr>
              <w:jc w:val="right"/>
            </w:pPr>
            <w:r>
              <w:rPr>
                <w:rFonts w:ascii="宋体" w:eastAsia="宋体" w:hAnsi="宋体" w:cs="宋体"/>
                <w:b w:val="0"/>
                <w:i w:val="0"/>
                <w:color w:val="000000"/>
                <w:sz w:val="25"/>
              </w:rPr>
              <w:t xml:space="preserve">5.86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2100717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计划生育服务</w:t>
            </w:r>
          </w:p>
        </w:tc>
        <w:tc>
          <w:tcPr>
            <w:tcW w:w="2700" w:type="dxa"/>
            <w:tcBorders/>
            <w:vAlign w:val="center"/>
          </w:tcPr>
          <w:p>
            <w:pPr>
              <w:jc w:val="right"/>
            </w:pPr>
            <w:r>
              <w:rPr>
                <w:rFonts w:ascii="宋体" w:eastAsia="宋体" w:hAnsi="宋体" w:cs="宋体"/>
                <w:b w:val="0"/>
                <w:i w:val="0"/>
                <w:color w:val="000000"/>
                <w:sz w:val="25"/>
              </w:rPr>
              <w:t xml:space="preserve">60.64</w:t>
            </w:r>
          </w:p>
        </w:tc>
        <w:tc>
          <w:tcPr>
            <w:tcW w:w="2700" w:type="dxa"/>
            <w:tcBorders/>
            <w:vAlign w:val="center"/>
          </w:tcPr>
          <w:p>
            <w:pPr>
              <w:jc w:val="right"/>
            </w:pPr>
            <w:r>
              <w:rPr>
                <w:rFonts w:ascii="宋体" w:eastAsia="宋体" w:hAnsi="宋体" w:cs="宋体"/>
                <w:b w:val="0"/>
                <w:i w:val="0"/>
                <w:color w:val="000000"/>
                <w:sz w:val="25"/>
              </w:rPr>
              <w:t xml:space="preserve">54.78</w:t>
            </w:r>
          </w:p>
        </w:tc>
        <w:tc>
          <w:tcPr>
            <w:tcW w:w="2658" w:type="dxa"/>
            <w:tcBorders/>
            <w:vAlign w:val="center"/>
          </w:tcPr>
          <w:p>
            <w:pPr>
              <w:jc w:val="right"/>
            </w:pPr>
            <w:r>
              <w:rPr>
                <w:rFonts w:ascii="宋体" w:eastAsia="宋体" w:hAnsi="宋体" w:cs="宋体"/>
                <w:b w:val="0"/>
                <w:i w:val="0"/>
                <w:color w:val="000000"/>
                <w:sz w:val="25"/>
              </w:rPr>
              <w:t xml:space="preserve">5.86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187.68</w:t>
            </w:r>
          </w:p>
        </w:tc>
        <w:tc>
          <w:tcPr>
            <w:tcW w:w="2700" w:type="dxa"/>
            <w:tcBorders/>
            <w:vAlign w:val="center"/>
          </w:tcPr>
          <w:p>
            <w:pPr>
              <w:jc w:val="right"/>
            </w:pPr>
            <w:r>
              <w:rPr>
                <w:rFonts w:ascii="宋体" w:eastAsia="宋体" w:hAnsi="宋体" w:cs="宋体"/>
                <w:b w:val="0"/>
                <w:i w:val="0"/>
                <w:color w:val="000000"/>
                <w:sz w:val="25"/>
              </w:rPr>
              <w:t xml:space="preserve">187.68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31.94</w:t>
            </w:r>
          </w:p>
        </w:tc>
        <w:tc>
          <w:tcPr>
            <w:tcW w:w="2700" w:type="dxa"/>
            <w:tcBorders/>
            <w:vAlign w:val="center"/>
          </w:tcPr>
          <w:p>
            <w:pPr>
              <w:jc w:val="right"/>
            </w:pPr>
            <w:r>
              <w:rPr>
                <w:rFonts w:ascii="宋体" w:eastAsia="宋体" w:hAnsi="宋体" w:cs="宋体"/>
                <w:b w:val="0"/>
                <w:i w:val="0"/>
                <w:color w:val="000000"/>
                <w:sz w:val="25"/>
              </w:rPr>
              <w:t xml:space="preserve">31.94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106.69</w:t>
            </w:r>
          </w:p>
        </w:tc>
        <w:tc>
          <w:tcPr>
            <w:tcW w:w="2700" w:type="dxa"/>
            <w:tcBorders/>
            <w:vAlign w:val="center"/>
          </w:tcPr>
          <w:p>
            <w:pPr>
              <w:jc w:val="right"/>
            </w:pPr>
            <w:r>
              <w:rPr>
                <w:rFonts w:ascii="宋体" w:eastAsia="宋体" w:hAnsi="宋体" w:cs="宋体"/>
                <w:b w:val="0"/>
                <w:i w:val="0"/>
                <w:color w:val="000000"/>
                <w:sz w:val="25"/>
              </w:rPr>
              <w:t xml:space="preserve">106.69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49.06</w:t>
            </w:r>
          </w:p>
        </w:tc>
        <w:tc>
          <w:tcPr>
            <w:tcW w:w="2700" w:type="dxa"/>
            <w:tcBorders/>
            <w:vAlign w:val="center"/>
          </w:tcPr>
          <w:p>
            <w:pPr>
              <w:jc w:val="right"/>
            </w:pPr>
            <w:r>
              <w:rPr>
                <w:rFonts w:ascii="宋体" w:eastAsia="宋体" w:hAnsi="宋体" w:cs="宋体"/>
                <w:b w:val="0"/>
                <w:i w:val="0"/>
                <w:color w:val="000000"/>
                <w:sz w:val="25"/>
              </w:rPr>
              <w:t xml:space="preserve">49.06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1,042.10</w:t>
            </w:r>
          </w:p>
        </w:tc>
        <w:tc>
          <w:tcPr>
            <w:tcW w:w="2700" w:type="dxa"/>
            <w:tcBorders/>
            <w:vAlign w:val="center"/>
          </w:tcPr>
          <w:p>
            <w:pPr>
              <w:jc w:val="right"/>
            </w:pPr>
            <w:r>
              <w:rPr>
                <w:rFonts w:ascii="宋体" w:eastAsia="宋体" w:hAnsi="宋体" w:cs="宋体"/>
                <w:b w:val="0"/>
                <w:i w:val="0"/>
                <w:color w:val="000000"/>
                <w:sz w:val="25"/>
              </w:rPr>
              <w:t xml:space="preserve">94.48</w:t>
            </w:r>
          </w:p>
        </w:tc>
        <w:tc>
          <w:tcPr>
            <w:tcW w:w="2658" w:type="dxa"/>
            <w:tcBorders/>
            <w:vAlign w:val="center"/>
          </w:tcPr>
          <w:p>
            <w:pPr>
              <w:jc w:val="right"/>
            </w:pPr>
            <w:r>
              <w:rPr>
                <w:rFonts w:ascii="宋体" w:eastAsia="宋体" w:hAnsi="宋体" w:cs="宋体"/>
                <w:b w:val="0"/>
                <w:i w:val="0"/>
                <w:color w:val="000000"/>
                <w:sz w:val="25"/>
              </w:rPr>
              <w:t xml:space="preserve">947.62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1,042.10</w:t>
            </w:r>
          </w:p>
        </w:tc>
        <w:tc>
          <w:tcPr>
            <w:tcW w:w="2700" w:type="dxa"/>
            <w:tcBorders/>
            <w:vAlign w:val="center"/>
          </w:tcPr>
          <w:p>
            <w:pPr>
              <w:jc w:val="right"/>
            </w:pPr>
            <w:r>
              <w:rPr>
                <w:rFonts w:ascii="宋体" w:eastAsia="宋体" w:hAnsi="宋体" w:cs="宋体"/>
                <w:b w:val="0"/>
                <w:i w:val="0"/>
                <w:color w:val="000000"/>
                <w:sz w:val="25"/>
              </w:rPr>
              <w:t xml:space="preserve">94.48</w:t>
            </w:r>
          </w:p>
        </w:tc>
        <w:tc>
          <w:tcPr>
            <w:tcW w:w="2658" w:type="dxa"/>
            <w:tcBorders/>
            <w:vAlign w:val="center"/>
          </w:tcPr>
          <w:p>
            <w:pPr>
              <w:jc w:val="right"/>
            </w:pPr>
            <w:r>
              <w:rPr>
                <w:rFonts w:ascii="宋体" w:eastAsia="宋体" w:hAnsi="宋体" w:cs="宋体"/>
                <w:b w:val="0"/>
                <w:i w:val="0"/>
                <w:color w:val="000000"/>
                <w:sz w:val="25"/>
              </w:rPr>
              <w:t xml:space="preserve">947.62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8.40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8.40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7.50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700" w:type="dxa"/>
            <w:tcBorders/>
            <w:vAlign w:val="center"/>
          </w:tcPr>
          <w:p>
            <w:pPr>
              <w:jc w:val="right"/>
            </w:pPr>
            <w:r>
              <w:rPr>
                <w:rFonts w:ascii="宋体" w:eastAsia="宋体" w:hAnsi="宋体" w:cs="宋体"/>
                <w:b w:val="0"/>
                <w:i w:val="0"/>
                <w:color w:val="000000"/>
                <w:sz w:val="25"/>
              </w:rPr>
              <w:t xml:space="preserve">262.86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2299999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其他支出</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700" w:type="dxa"/>
            <w:tcBorders/>
            <w:vAlign w:val="center"/>
          </w:tcPr>
          <w:p>
            <w:pPr>
              <w:jc w:val="right"/>
            </w:pPr>
            <w:r>
              <w:rPr>
                <w:rFonts w:ascii="宋体" w:eastAsia="宋体" w:hAnsi="宋体" w:cs="宋体"/>
                <w:b w:val="0"/>
                <w:i w:val="0"/>
                <w:color w:val="000000"/>
                <w:sz w:val="25"/>
              </w:rPr>
              <w:t xml:space="preserve">47.24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5,248.67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748.21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1,343.50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81.19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1,149.86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9.07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1,120.31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8.98</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53.44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470.16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4.83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6.20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334.58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56.66</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47.24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63.64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19.94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213.59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50.49</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39.30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17.49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35.59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421.76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167.72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63.30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0.78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1,467.69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3.31</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18.17</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4.61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1,332.85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2.85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69.10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114.04</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13.80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37.52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39.42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43.87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60.30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29.21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6,716.36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801.65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部门：许昌市卫生健康委员会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102.81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97.48</w:t>
            </w:r>
          </w:p>
        </w:tc>
        <w:tc>
          <w:tcPr>
            <w:tcW w:w="1160" w:type="dxa"/>
            <w:tcBorders/>
            <w:vAlign w:val="center"/>
          </w:tcPr>
          <w:p>
            <w:pPr>
              <w:jc w:val="right"/>
            </w:pPr>
            <w:r>
              <w:rPr>
                <w:rFonts w:ascii="宋体" w:eastAsia="宋体" w:hAnsi="宋体" w:cs="宋体"/>
                <w:b w:val="0"/>
                <w:i w:val="0"/>
                <w:color w:val="000000"/>
                <w:sz w:val="17"/>
              </w:rPr>
              <w:t xml:space="preserve">5.33</w:t>
            </w:r>
          </w:p>
        </w:tc>
        <w:tc>
          <w:tcPr>
            <w:tcW w:w="1160" w:type="dxa"/>
            <w:tcBorders/>
            <w:vAlign w:val="center"/>
          </w:tcPr>
          <w:p>
            <w:pPr>
              <w:jc w:val="right"/>
            </w:pPr>
            <w:r>
              <w:rPr>
                <w:rFonts w:ascii="宋体" w:eastAsia="宋体" w:hAnsi="宋体" w:cs="宋体"/>
                <w:b w:val="0"/>
                <w:i w:val="0"/>
                <w:color w:val="000000"/>
                <w:sz w:val="17"/>
              </w:rPr>
              <w:t xml:space="preserve">79.62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76.68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76.68</w:t>
            </w:r>
          </w:p>
        </w:tc>
        <w:tc>
          <w:tcPr>
            <w:tcW w:w="1198" w:type="dxa"/>
            <w:tcBorders/>
            <w:vAlign w:val="center"/>
          </w:tcPr>
          <w:p>
            <w:pPr>
              <w:jc w:val="right"/>
            </w:pPr>
            <w:r>
              <w:rPr>
                <w:rFonts w:ascii="宋体" w:eastAsia="宋体" w:hAnsi="宋体" w:cs="宋体"/>
                <w:b w:val="0"/>
                <w:i w:val="0"/>
                <w:color w:val="000000"/>
                <w:sz w:val="17"/>
              </w:rPr>
              <w:t xml:space="preserve">2.94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191165.27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减少1237.68万元，下降0.64%</w:t>
      </w:r>
      <w:r>
        <w:rPr>
          <w:rFonts w:ascii="仿宋" w:eastAsia="仿宋" w:hAnsi="仿宋" w:cs="仿宋" w:hint="eastAsia"/>
          <w:kern w:val="0"/>
          <w:sz w:val="32"/>
          <w:szCs w:val="32"/>
          <w:lang w:val="en-US" w:eastAsia="zh-CN"/>
        </w:rPr>
        <w:t xml:space="preserve">。主要原因是2023年度项目支出有所减少。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183338.90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财政拨款收入15366.12万元，占8.38%；上级补助收入0.00万元，占0.00%；事业收入167130.71万元，占91.16%；经营收入0.00万元，占0.00%；附属单位上缴收入0.00万元，占0.00%；其他收入842.07万元，占0.46%</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189917.01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基本支出181284.91万元，占95.45%；项目支出8632.10万元，占4.55%；上缴上级支出0.00万元，占0.00%；经营支出0.00万元，占0.00%；对附属单位补助支出0.00万元，占0.00%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16150.10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减少24751.97万元，下降60.52%</w:t>
      </w:r>
      <w:r>
        <w:rPr>
          <w:rFonts w:ascii="仿宋" w:eastAsia="仿宋" w:hAnsi="仿宋" w:cs="仿宋" w:hint="eastAsia"/>
          <w:kern w:val="0"/>
          <w:sz w:val="32"/>
          <w:szCs w:val="32"/>
          <w:lang w:val="en-US" w:eastAsia="zh-CN"/>
        </w:rPr>
        <w:t xml:space="preserve">。主要原因是2023年度财政拨款项目支出减少较多。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16150.10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8.50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减少1944.09万元，下降10.74%</w:t>
      </w:r>
      <w:r>
        <w:rPr>
          <w:rFonts w:ascii="仿宋" w:eastAsia="仿宋" w:hAnsi="仿宋" w:cs="仿宋" w:hint="eastAsia"/>
          <w:kern w:val="0"/>
          <w:sz w:val="32"/>
          <w:szCs w:val="32"/>
          <w:lang w:val="en-US" w:eastAsia="zh-CN"/>
        </w:rPr>
        <w:t xml:space="preserve">。主要原因是2023年度疫情防控类项目支出较上年减少较多。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16150.10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305.66万元，占1.89%；社会保障和就业支出（类）1935.83万元，占11.99%；卫生健康支出（类）13590.12万元，占84.15%；农林水支出（类）8.40万元，占0.05%；住房保障支出（类）262.86万元，占1.63%；其他支出（类）47.24万元，占0.29%</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18244.03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16150.10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88.52</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0"/>
          <w:sz w:val="32"/>
          <w:szCs w:val="32"/>
          <w:lang w:val="en-US" w:eastAsia="zh-CN"/>
        </w:rPr>
        <w:t xml:space="preserve">年初预算数为0.00万元，决算数41.29万元,决算数与年初预算数存在差异的主要原因是为9月份工资及代扣社保，支出时下入此科目，。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0"/>
          <w:sz w:val="32"/>
          <w:szCs w:val="32"/>
          <w:lang w:val="en-US" w:eastAsia="zh-CN"/>
        </w:rPr>
        <w:t xml:space="preserve">年初预算数为221.59万元，决算数35.02万元,完成年初预算的15.80%，决算数与年初预算数存在差异的主要原因是我部门许昌市中心医院2023年度未纳入全市统一预算，年末终了编制决算报告，造成预决算差异教导。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年初预算数为13.20万元，决算数229.34万元,完成年初预算的1737.42%，决算数与年初预算数存在差异的主要原因是主要是二级机构项目经费支出，未纳入年初预算。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年初预算数为258.59万元，决算数321.75万元,完成年初预算的124.42%，决算数与年初预算数存在差异的主要原因是本年度新增离退休人员较多，追加预算较多。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年初预算数为914.67万元，决算数489.63万元,完成年初预算的53.53%，决算数与年初预算数存在差异的主要原因是预算执行时未列入年初预算科目。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年初预算数为925.73万元，决算数287.12万元,完成年初预算的31.02%，决算数与年初预算数存在差异的主要原因是预算执行时未列入年初预算科目。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7.社会保障和就业支出（类）行政事业单位养老支出（款）机关事业单位职业年金缴费支出（项）</w:t>
      </w:r>
      <w:r>
        <w:rPr>
          <w:rFonts w:ascii="仿宋" w:eastAsia="仿宋" w:hAnsi="仿宋" w:cs="仿宋" w:hint="default"/>
          <w:kern w:val="0"/>
          <w:sz w:val="32"/>
          <w:szCs w:val="32"/>
          <w:lang w:val="en-US" w:eastAsia="zh-CN"/>
        </w:rPr>
        <w:t xml:space="preserve">年初预算数为136.18万元，决算数21.40万元,完成年初预算的15.71%，决算数与年初预算数存在差异的主要原因是年初此科目预算136.18万元，执行时未下入此科目。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年初预算数为0.00万元，决算数2.56万元,决算数与年初预算数存在差异的主要原因是主要是公益岗人员支出，年初无此项预算。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9.社会保障和就业支出（类）抚恤（款）死亡抚恤（项）</w:t>
      </w:r>
      <w:r>
        <w:rPr>
          <w:rFonts w:ascii="仿宋" w:eastAsia="仿宋" w:hAnsi="仿宋" w:cs="仿宋" w:hint="default"/>
          <w:kern w:val="0"/>
          <w:sz w:val="32"/>
          <w:szCs w:val="32"/>
          <w:lang w:val="en-US" w:eastAsia="zh-CN"/>
        </w:rPr>
        <w:t xml:space="preserve">年初预算数为0.00万元，决算数114.04万元,决算数与年初预算数存在差异的主要原因是年初无此项预算，年中有离退休干部趋势，临时追加预算。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10.社会保障和就业支出（类）社会福利（款）养老服务（项）</w:t>
      </w:r>
      <w:r>
        <w:rPr>
          <w:rFonts w:ascii="仿宋" w:eastAsia="仿宋" w:hAnsi="仿宋" w:cs="仿宋" w:hint="default"/>
          <w:kern w:val="0"/>
          <w:sz w:val="32"/>
          <w:szCs w:val="32"/>
          <w:lang w:val="en-US" w:eastAsia="zh-CN"/>
        </w:rPr>
        <w:t xml:space="preserve">年初预算数为0.00万元，决算数592.72万元,决算数与年初预算数存在差异的主要原因是本项目为60岁以上独生子女及其他特殊家庭方面住院护理扶助，执行时下入此科目。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11.社会保障和就业支出（类）红十字事业（款）行政运行（项）</w:t>
      </w:r>
      <w:r>
        <w:rPr>
          <w:rFonts w:ascii="仿宋" w:eastAsia="仿宋" w:hAnsi="仿宋" w:cs="仿宋" w:hint="default"/>
          <w:kern w:val="0"/>
          <w:sz w:val="32"/>
          <w:szCs w:val="32"/>
          <w:lang w:val="en-US" w:eastAsia="zh-CN"/>
        </w:rPr>
        <w:t xml:space="preserve">年初预算数为72.37万元，决算数96.62万元,完成年初预算的133.51%，决算数与年初预算数存在差异的主要原因是主要是红十字会基本经费支出，主要是年度人员增加。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12.社会保障和就业支出（类）红十字事业（款）一般行政管理事务（项）</w:t>
      </w:r>
      <w:r>
        <w:rPr>
          <w:rFonts w:ascii="仿宋" w:eastAsia="仿宋" w:hAnsi="仿宋" w:cs="仿宋" w:hint="default"/>
          <w:kern w:val="0"/>
          <w:sz w:val="32"/>
          <w:szCs w:val="32"/>
          <w:lang w:val="en-US" w:eastAsia="zh-CN"/>
        </w:rPr>
        <w:t xml:space="preserve">年初预算数为0.00万元，决算数10.00万元,决算数与年初预算数存在差异的主要原因是新增许昌红十字蓝天救援队专项业务经费项目，年初无预算。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13.卫生健康支出（类）卫生健康管理事务（款）行政运行（项）</w:t>
      </w:r>
      <w:r>
        <w:rPr>
          <w:rFonts w:ascii="仿宋" w:eastAsia="仿宋" w:hAnsi="仿宋" w:cs="仿宋" w:hint="default"/>
          <w:kern w:val="0"/>
          <w:sz w:val="32"/>
          <w:szCs w:val="32"/>
          <w:lang w:val="en-US" w:eastAsia="zh-CN"/>
        </w:rPr>
        <w:t xml:space="preserve">年初预算数为933.09万元，决算数956.30万元,完成年初预算的102.49%，决算数与年初预算数存在差异的主要原因是主要是卫健委机关基本经费支出，主要是追加人员支出预算。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14.卫生健康支出（类）卫生健康管理事务（款）一般行政管理事务（项）</w:t>
      </w:r>
      <w:r>
        <w:rPr>
          <w:rFonts w:ascii="仿宋" w:eastAsia="仿宋" w:hAnsi="仿宋" w:cs="仿宋" w:hint="default"/>
          <w:kern w:val="0"/>
          <w:sz w:val="32"/>
          <w:szCs w:val="32"/>
          <w:lang w:val="en-US" w:eastAsia="zh-CN"/>
        </w:rPr>
        <w:t xml:space="preserve">年初预算数为0.00万元，决算数230.38万元,决算数与年初预算数存在差异的主要原因是主要是卫生健康项目支出，年初无预算。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15.卫生健康支出（类）公立医院（款）综合医院（项）</w:t>
      </w:r>
      <w:r>
        <w:rPr>
          <w:rFonts w:ascii="仿宋" w:eastAsia="仿宋" w:hAnsi="仿宋" w:cs="仿宋" w:hint="default"/>
          <w:kern w:val="0"/>
          <w:sz w:val="32"/>
          <w:szCs w:val="32"/>
          <w:lang w:val="en-US" w:eastAsia="zh-CN"/>
        </w:rPr>
        <w:t xml:space="preserve">年初预算数为1000.00万元，决算数162.91万元,完成年初预算的16.29%，决算数与年初预算数存在差异的主要原因是主要是上级拨付公立医院资金，资金拨付不到位。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16.卫生健康支出（类）公立医院（款）传染病医院（项）</w:t>
      </w:r>
      <w:r>
        <w:rPr>
          <w:rFonts w:ascii="仿宋" w:eastAsia="仿宋" w:hAnsi="仿宋" w:cs="仿宋" w:hint="default"/>
          <w:kern w:val="0"/>
          <w:sz w:val="32"/>
          <w:szCs w:val="32"/>
          <w:lang w:val="en-US" w:eastAsia="zh-CN"/>
        </w:rPr>
        <w:t xml:space="preserve">年初预算数为0.00万元，决算数15.45万元,决算数与年初预算数存在差异的主要原因是主要是上级转移支付资金，年初无预算。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17.卫生健康支出（类）公立医院（款）职业病防治医院（项）</w:t>
      </w:r>
      <w:r>
        <w:rPr>
          <w:rFonts w:ascii="仿宋" w:eastAsia="仿宋" w:hAnsi="仿宋" w:cs="仿宋" w:hint="default"/>
          <w:kern w:val="0"/>
          <w:sz w:val="32"/>
          <w:szCs w:val="32"/>
          <w:lang w:val="en-US" w:eastAsia="zh-CN"/>
        </w:rPr>
        <w:t xml:space="preserve">年初预算数为0.00万元，决算数27.00万元,决算数与年初预算数存在差异的主要原因是主要是上级转移支付资金，年初无预算。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18.卫生健康支出（类）公立医院（款）精神病医院（项）</w:t>
      </w:r>
      <w:r>
        <w:rPr>
          <w:rFonts w:ascii="仿宋" w:eastAsia="仿宋" w:hAnsi="仿宋" w:cs="仿宋" w:hint="default"/>
          <w:kern w:val="0"/>
          <w:sz w:val="32"/>
          <w:szCs w:val="32"/>
          <w:lang w:val="en-US" w:eastAsia="zh-CN"/>
        </w:rPr>
        <w:t xml:space="preserve">年初预算数为6669.66万元，决算数287.91万元,完成年初预算的4.32%，决算数与年初预算数存在差异的主要原因是预算为建安医院财政拨款及事业收入，决算仅包含一般公共预算拨款支出，口径不一致。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19.卫生健康支出（类）公立医院（款）妇幼保健医院（项）</w:t>
      </w:r>
      <w:r>
        <w:rPr>
          <w:rFonts w:ascii="仿宋" w:eastAsia="仿宋" w:hAnsi="仿宋" w:cs="仿宋" w:hint="default"/>
          <w:kern w:val="0"/>
          <w:sz w:val="32"/>
          <w:szCs w:val="32"/>
          <w:lang w:val="en-US" w:eastAsia="zh-CN"/>
        </w:rPr>
        <w:t xml:space="preserve">年初预算数为10531.50万元，决算数209.68万元,完成年初预算的1.99%，决算数与年初预算数存在差异的主要原因是预算为妇幼保健院财政拨款及事业收入，决算仅包含一般公共预算拨款支出，口径不一致。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20.卫生健康支出（类）公立医院（款）其他公立医院支出（项）</w:t>
      </w:r>
      <w:r>
        <w:rPr>
          <w:rFonts w:ascii="仿宋" w:eastAsia="仿宋" w:hAnsi="仿宋" w:cs="仿宋" w:hint="default"/>
          <w:kern w:val="0"/>
          <w:sz w:val="32"/>
          <w:szCs w:val="32"/>
          <w:lang w:val="en-US" w:eastAsia="zh-CN"/>
        </w:rPr>
        <w:t xml:space="preserve">年初预算数为2104.00万元，决算数1570.98万元,完成年初预算的74.67%，决算数与年初预算数存在差异的主要原因是主要是部分资金拨付不及时。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21.卫生健康支出（类）基层医疗卫生机构（款）其他基层医疗卫生机构支出（项）</w:t>
      </w:r>
      <w:r>
        <w:rPr>
          <w:rFonts w:ascii="仿宋" w:eastAsia="仿宋" w:hAnsi="仿宋" w:cs="仿宋" w:hint="default"/>
          <w:kern w:val="0"/>
          <w:sz w:val="32"/>
          <w:szCs w:val="32"/>
          <w:lang w:val="en-US" w:eastAsia="zh-CN"/>
        </w:rPr>
        <w:t xml:space="preserve">年初预算数为0.00万元，决算数6.00万元,决算数与年初预算数存在差异的主要原因是主要是上级转移支付资金，年初无预算。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22.卫生健康支出（类）公共卫生（款）疾病预防控制机构（项）</w:t>
      </w:r>
      <w:r>
        <w:rPr>
          <w:rFonts w:ascii="仿宋" w:eastAsia="仿宋" w:hAnsi="仿宋" w:cs="仿宋" w:hint="default"/>
          <w:kern w:val="0"/>
          <w:sz w:val="32"/>
          <w:szCs w:val="32"/>
          <w:lang w:val="en-US" w:eastAsia="zh-CN"/>
        </w:rPr>
        <w:t xml:space="preserve">年初预算数为1921.64万元，决算数2183.90万元,完成年初预算的113.65%，决算数与年初预算数存在差异的主要原因是部分上级转移支付资金无预算。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23.卫生健康支出（类）公共卫生（款）卫生监督机构（项）</w:t>
      </w:r>
      <w:r>
        <w:rPr>
          <w:rFonts w:ascii="仿宋" w:eastAsia="仿宋" w:hAnsi="仿宋" w:cs="仿宋" w:hint="default"/>
          <w:kern w:val="0"/>
          <w:sz w:val="32"/>
          <w:szCs w:val="32"/>
          <w:lang w:val="en-US" w:eastAsia="zh-CN"/>
        </w:rPr>
        <w:t xml:space="preserve">年初预算数为448.65万元，决算数450.04万元,完成年初预算的100.31%，决算数与年初预算数存在差异的主要原因是主要是有上年结转资金，另外存在年中追加预算。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24.卫生健康支出（类）公共卫生（款）妇幼保健机构（项）</w:t>
      </w:r>
      <w:r>
        <w:rPr>
          <w:rFonts w:ascii="仿宋" w:eastAsia="仿宋" w:hAnsi="仿宋" w:cs="仿宋" w:hint="default"/>
          <w:kern w:val="0"/>
          <w:sz w:val="32"/>
          <w:szCs w:val="32"/>
          <w:lang w:val="en-US" w:eastAsia="zh-CN"/>
        </w:rPr>
        <w:t xml:space="preserve">年初预算数为0.00万元，决算数39.06万元,决算数与年初预算数存在差异的主要原因是主要是财政补助妇幼保健院支出，年初无预算。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25.卫生健康支出（类）公共卫生（款）采供血机构（项）</w:t>
      </w:r>
      <w:r>
        <w:rPr>
          <w:rFonts w:ascii="仿宋" w:eastAsia="仿宋" w:hAnsi="仿宋" w:cs="仿宋" w:hint="default"/>
          <w:kern w:val="0"/>
          <w:sz w:val="32"/>
          <w:szCs w:val="32"/>
          <w:lang w:val="en-US" w:eastAsia="zh-CN"/>
        </w:rPr>
        <w:t xml:space="preserve">年初预算数为845.95万元，决算数2664.91万元,完成年初预算的315.02%，决算数与年初预算数存在差异的主要原因是主要是中心血站采供血支出，部分项目年初无预算。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26.卫生健康支出（类）公共卫生（款）基本公共卫生服务（项）</w:t>
      </w:r>
      <w:r>
        <w:rPr>
          <w:rFonts w:ascii="仿宋" w:eastAsia="仿宋" w:hAnsi="仿宋" w:cs="仿宋" w:hint="default"/>
          <w:kern w:val="0"/>
          <w:sz w:val="32"/>
          <w:szCs w:val="32"/>
          <w:lang w:val="en-US" w:eastAsia="zh-CN"/>
        </w:rPr>
        <w:t xml:space="preserve">年初预算数为0.00万元，决算数183.17万元,决算数与年初预算数存在差异的主要原因是主要是上级转移支付资金，年初无预算。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27.卫生健康支出（类）公共卫生（款）重大公共卫生服务（项）</w:t>
      </w:r>
      <w:r>
        <w:rPr>
          <w:rFonts w:ascii="仿宋" w:eastAsia="仿宋" w:hAnsi="仿宋" w:cs="仿宋" w:hint="default"/>
          <w:kern w:val="0"/>
          <w:sz w:val="32"/>
          <w:szCs w:val="32"/>
          <w:lang w:val="en-US" w:eastAsia="zh-CN"/>
        </w:rPr>
        <w:t xml:space="preserve">年初预算数为665.54万元，决算数736.55万元,完成年初预算的110.67%，决算数与年初预算数存在差异的主要原因是部分项目年初存在结转。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28.卫生健康支出（类）公共卫生（款）突发公共卫生事件应急处理（项）</w:t>
      </w:r>
      <w:r>
        <w:rPr>
          <w:rFonts w:ascii="仿宋" w:eastAsia="仿宋" w:hAnsi="仿宋" w:cs="仿宋" w:hint="default"/>
          <w:kern w:val="0"/>
          <w:sz w:val="32"/>
          <w:szCs w:val="32"/>
          <w:lang w:val="en-US" w:eastAsia="zh-CN"/>
        </w:rPr>
        <w:t xml:space="preserve">年初预算数为0.00万元，决算数2286.60万元,决算数与年初预算数存在差异的主要原因是主要是项目支出，年初无预算。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29.卫生健康支出（类）公共卫生（款）其他公共卫生支出（项）</w:t>
      </w:r>
      <w:r>
        <w:rPr>
          <w:rFonts w:ascii="仿宋" w:eastAsia="仿宋" w:hAnsi="仿宋" w:cs="仿宋" w:hint="default"/>
          <w:kern w:val="0"/>
          <w:sz w:val="32"/>
          <w:szCs w:val="32"/>
          <w:lang w:val="en-US" w:eastAsia="zh-CN"/>
        </w:rPr>
        <w:t xml:space="preserve">年初预算数为78.62万元，决算数287.39万元,完成年初预算的365.54%，决算数与年初预算数存在差异的主要原因是部分项目年初无预算，另部分项目年初有结余。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30.卫生健康支出（类）中医药（款）中医（民族医）药专项（项）</w:t>
      </w:r>
      <w:r>
        <w:rPr>
          <w:rFonts w:ascii="仿宋" w:eastAsia="仿宋" w:hAnsi="仿宋" w:cs="仿宋" w:hint="default"/>
          <w:kern w:val="0"/>
          <w:sz w:val="32"/>
          <w:szCs w:val="32"/>
          <w:lang w:val="en-US" w:eastAsia="zh-CN"/>
        </w:rPr>
        <w:t xml:space="preserve">年初预算数为5.00万元，决算数1.48万元,完成年初预算的29.60%，决算数与年初预算数存在差异的主要原因是结转下年支出。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31.卫生健康支出（类）计划生育事务（款）计划生育服务（项）</w:t>
      </w:r>
      <w:r>
        <w:rPr>
          <w:rFonts w:ascii="仿宋" w:eastAsia="仿宋" w:hAnsi="仿宋" w:cs="仿宋" w:hint="default"/>
          <w:kern w:val="0"/>
          <w:sz w:val="32"/>
          <w:szCs w:val="32"/>
          <w:lang w:val="en-US" w:eastAsia="zh-CN"/>
        </w:rPr>
        <w:t xml:space="preserve">年初预算数为1095.58万元，决算数60.64万元,完成年初预算的5.53%，决算数与年初预算数存在差异的主要原因是60岁以上独生子女及特殊家庭项目，执行时未下入此科目。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32.卫生健康支出（类）行政事业单位医疗（款）行政单位医疗（项）</w:t>
      </w:r>
      <w:r>
        <w:rPr>
          <w:rFonts w:ascii="仿宋" w:eastAsia="仿宋" w:hAnsi="仿宋" w:cs="仿宋" w:hint="default"/>
          <w:kern w:val="0"/>
          <w:sz w:val="32"/>
          <w:szCs w:val="32"/>
          <w:lang w:val="en-US" w:eastAsia="zh-CN"/>
        </w:rPr>
        <w:t xml:space="preserve">年初预算数为35.14万元，决算数31.94万元,完成年初预算的90.89%，决算数与年初预算数存在差异的主要原因是年度在职人员减少，相关支出减少。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33.卫生健康支出（类）行政事业单位医疗（款）事业单位医疗（项）</w:t>
      </w:r>
      <w:r>
        <w:rPr>
          <w:rFonts w:ascii="仿宋" w:eastAsia="仿宋" w:hAnsi="仿宋" w:cs="仿宋" w:hint="default"/>
          <w:kern w:val="0"/>
          <w:sz w:val="32"/>
          <w:szCs w:val="32"/>
          <w:lang w:val="en-US" w:eastAsia="zh-CN"/>
        </w:rPr>
        <w:t xml:space="preserve">年初预算数为392.63万元，决算数106.69万元,完成年初预算的27.17%，决算数与年初预算数存在差异的主要原因是执行时未列入此科目执行。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34.卫生健康支出（类）行政事业单位医疗（款）公务员医疗补助（项）</w:t>
      </w:r>
      <w:r>
        <w:rPr>
          <w:rFonts w:ascii="仿宋" w:eastAsia="仿宋" w:hAnsi="仿宋" w:cs="仿宋" w:hint="default"/>
          <w:kern w:val="0"/>
          <w:sz w:val="32"/>
          <w:szCs w:val="32"/>
          <w:lang w:val="en-US" w:eastAsia="zh-CN"/>
        </w:rPr>
        <w:t xml:space="preserve">年初预算数为52.84万元，决算数49.06万元,完成年初预算的92.85%，决算数与年初预算数存在差异的主要原因是年度在职人员减少，相关支出减少。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35.卫生健康支出（类）其他卫生健康支出（款）其他卫生健康支出（项）</w:t>
      </w:r>
      <w:r>
        <w:rPr>
          <w:rFonts w:ascii="仿宋" w:eastAsia="仿宋" w:hAnsi="仿宋" w:cs="仿宋" w:hint="default"/>
          <w:kern w:val="0"/>
          <w:sz w:val="32"/>
          <w:szCs w:val="32"/>
          <w:lang w:val="en-US" w:eastAsia="zh-CN"/>
        </w:rPr>
        <w:t xml:space="preserve">年初预算数为102.00万元，决算数1042.10万元,完成年初预算的1021.67%，决算数与年初预算数存在差异的主要原因是主要是项目支出，部分项目年初无预算。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36.农林水支出（类）巩固脱贫攻坚成果衔接乡村振兴（款）行政运行（项）</w:t>
      </w:r>
      <w:r>
        <w:rPr>
          <w:rFonts w:ascii="仿宋" w:eastAsia="仿宋" w:hAnsi="仿宋" w:cs="仿宋" w:hint="default"/>
          <w:kern w:val="0"/>
          <w:sz w:val="32"/>
          <w:szCs w:val="32"/>
          <w:lang w:val="en-US" w:eastAsia="zh-CN"/>
        </w:rPr>
        <w:t xml:space="preserve">年初预算数为0.00万元，决算数0.90万元,决算数与年初预算数存在差异的主要原因是主要是脱贫攻坚不知，年初无预算。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37.农林水支出（类）巩固脱贫攻坚成果衔接乡村振兴（款）一般行政管理事务（项）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年初预算数为0.00万元，决算数7.50万元,决算数与年初预算数存在差异的主要原因是主要是脱贫攻坚不知，年初无预算。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38.住房保障支出（类）住房改革支出（款）住房公积金（项）</w:t>
      </w:r>
      <w:r>
        <w:rPr>
          <w:rFonts w:ascii="仿宋" w:eastAsia="仿宋" w:hAnsi="仿宋" w:cs="仿宋" w:hint="default"/>
          <w:kern w:val="0"/>
          <w:sz w:val="32"/>
          <w:szCs w:val="32"/>
          <w:lang w:val="en-US" w:eastAsia="zh-CN"/>
        </w:rPr>
        <w:t xml:space="preserve">年初预算数为595.68万元，决算数262.86万元,完成年初预算的44.13%，决算数与年初预算数存在差异的主要原因是决算数仅包含一般公共预算支出，口径不一致。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39.其他支出（类）其他支出（款）其他支出（项）</w:t>
      </w:r>
      <w:r>
        <w:rPr>
          <w:rFonts w:ascii="仿宋" w:eastAsia="仿宋" w:hAnsi="仿宋" w:cs="仿宋" w:hint="default"/>
          <w:kern w:val="0"/>
          <w:sz w:val="32"/>
          <w:szCs w:val="32"/>
          <w:lang w:val="en-US" w:eastAsia="zh-CN"/>
        </w:rPr>
        <w:t xml:space="preserve">年初预算数为0.00万元，决算数47.24万元,决算数与年初预算数存在差异的主要原因是主要是项目支出，年初无预算。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7518.00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其中：人员经费6716.36万元，主要包括：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公用经费801.65万元，主要包括：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102.81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79.62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，完成预算的77.44%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2023年度“三公”经费支出决算数与预算数存在差异的主要原因是厉行勤俭节约，严控三公经费支出。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76.68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,完成预算的78.66%</w:t>
      </w:r>
      <w:r>
        <w:rPr>
          <w:rFonts w:ascii="仿宋" w:eastAsia="仿宋" w:hAnsi="仿宋" w:cs="仿宋" w:hint="eastAsia"/>
          <w:kern w:val="0"/>
          <w:sz w:val="32"/>
          <w:szCs w:val="32"/>
          <w:lang w:val="en-US" w:eastAsia="zh-CN"/>
        </w:rPr>
        <w:t xml:space="preserve">，占96.31%</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2.94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，完成预算的55.16%</w:t>
      </w:r>
      <w:r>
        <w:rPr>
          <w:rFonts w:ascii="仿宋" w:eastAsia="仿宋" w:hAnsi="仿宋" w:cs="仿宋" w:hint="eastAsia"/>
          <w:kern w:val="0"/>
          <w:sz w:val="32"/>
          <w:szCs w:val="32"/>
          <w:lang w:val="en-US" w:eastAsia="zh-CN"/>
        </w:rPr>
        <w:t xml:space="preserve">，占3.69%</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97.48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76.68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，完成预算的78.66%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决算数与预算数存在差异的主要原因是厉行勤俭节约，严控三公经费支出。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76.68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主要用于公务用车运行及日常维护。</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36</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5.33</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2.94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，完成预算的55.16%</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决算数与预算数存在差异的主要原因是厉行勤俭节约，严格控制公务接待相关支出。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2.94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主要用于上级、同级卫生健康管理部门调研、督导、检查等活动公务接待。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38</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331</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2023年度机关运行经费支出172.38万元，</w:t>
      </w:r>
      <w:r>
        <w:rPr>
          <w:rFonts w:ascii="仿宋" w:eastAsia="仿宋" w:hAnsi="仿宋" w:cs="仿宋" w:hint="eastAsia"/>
          <w:kern w:val="0"/>
          <w:sz w:val="32"/>
          <w:szCs w:val="32"/>
          <w:lang w:val="en-US" w:eastAsia="zh-CN"/>
        </w:rPr>
        <w:t xml:space="preserve">较2022年度增长72.25万元，</w:t>
      </w:r>
      <w:r>
        <w:rPr>
          <w:rFonts w:ascii="仿宋" w:eastAsia="仿宋" w:hAnsi="仿宋" w:cs="仿宋" w:hint="eastAsia"/>
          <w:kern w:val="0"/>
          <w:sz w:val="32"/>
          <w:szCs w:val="32"/>
          <w:lang w:val="en-US" w:eastAsia="zh-CN"/>
        </w:rPr>
        <w:t xml:space="preserve">增长72.16%，</w:t>
      </w:r>
      <w:r>
        <w:rPr>
          <w:rFonts w:ascii="仿宋" w:eastAsia="仿宋" w:hAnsi="仿宋" w:cs="仿宋" w:hint="eastAsia"/>
          <w:kern w:val="0"/>
          <w:sz w:val="32"/>
          <w:szCs w:val="32"/>
          <w:lang w:val="en-US" w:eastAsia="zh-CN"/>
        </w:rPr>
        <w:t xml:space="preserve">主要原因是上年度机关运行经费支出不包含公车运行费用。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3853.37</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1850.13</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116.31</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1886.94</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974.76</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25.30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770.76</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79.07</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73</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31</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137</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财政拨款的公务用车保有量与国有资产车辆差异原因:我部门部分医院车辆为划拨车辆或非财政拨款购置车辆。</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200587.3</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市卫健委较好完成了巩固疫情防控成果、提升医疗服务水平、完善公共卫生体系建设、深化医药卫生体制改革、推进中医药传承创新等方面工作</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基于项目预期目标的实现程度，我部门对2023年度部门预算项目支出（含部门参与分配的转移支付项目）开展绩效自评，涉及项目49个，项目金额200587.3万元。其中：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提前下达2023年重大传染病防控经费（上级提前下达），自评得分9.88分，等级为“优”，项目全年预算数35.4万元，全年执行数34.96万元，执行率98.76%，项目开展情况：2023年许昌市结核病防治所共发现并治疗管理肺结核患者174例，结核病检查可疑肺结核患者1670例，耐药可疑者筛查患者930例，筛查病原学阳性患者密切接触者503例，耐药监测患者数52例。登记患者病原学阳性率为73.25%，患者及疑似患者转诊追踪总体到位率为91.06%，肺结核患者成功治疗率为85.27%。</w:t>
        <w:br/>
        <w:t xml:space="preserve">    （2）提前下达2023年公立医院综合改革（上级提前下达），自评得分10 分，等级为“ 优”。项目全年预算数50.50  万元，全年执行数 50.50万元，执行率100 %，项目开展情况：深化以公益性为导向的公立医院改革，推动公立医院高质量发展，深入推进三明医改经验，促进医保、医疗、医药协同发展。</w:t>
        <w:br/>
        <w:t xml:space="preserve">    （3）疫情防控工作经费（结转本级资金），自评得分 10分，等级为“优 ”。项目全年预算数 100万元，全年执行数 100万元，执行率100 %，项目开展情况：经费用于实验室试剂耗材采购、车辆维修、物业管理等费用支出，有效保障了各类疫情防控工作顺利开展。</w:t>
        <w:br/>
        <w:t xml:space="preserve">    （4）2023年重症医疗资源建设补助资金（市直），自评得分 100分，等级为“优”。项目全年预算数 12万元，全年执行数 12万元，执行率 100%，项目开展情况：救治能力全面提升。</w:t>
        <w:br/>
        <w:t xml:space="preserve">    （5）提前下达2023年公立医院综合改革（上级提前下达），自评得分98 分，等级为“ 优”。项目全年预算数 87.3万元，全年执行数 87.3万元，执行率100 %，项目开展情况：推动公立医院高质量发展，深入推进三明医改经验，促进医保、医疗、医药协同发展和治理。</w:t>
        <w:br/>
        <w:t xml:space="preserve">    （6）60岁独生子女父母住院补贴（市级奖补支出），自评得分100 分，等级为“ 优”。项目全年预算数 1025.23万元，全年执行数 1025.23万元，执行率100 %，项目开展情况：2023-2024保险年度的独生子女及特殊家庭父母扶助对象76296人，全部纳入扶助范围。严格按照市政府印发的《住院护理扶助办法》执行：独生子女家庭住院，每人每天按照100元标准扶助；计生特殊家庭住院，每人每天按照150元标准进行扶助。</w:t>
        <w:br/>
        <w:t xml:space="preserve">    （7）2023年四家改制医疗卫生机构离退休人员经费，自评得分99.96 分，等级为“ 优”，项目全年预算数 1230.51万元，全年执行数 1198.94万元，执行率97.43 %，项目开展情况：已完成拨付四家改制医疗机构（许昌市中心医院、许昌中医院、许昌市中心医院康复医院、许昌卫洁医疗废物处置有限公司）2023年应发放给改制前离退休人员的各项补贴。</w:t>
        <w:br/>
        <w:t xml:space="preserve">    （8）提前下达2023年公立医院综合改革（上级提前下达），自评得分87.46 分，等级为“良 ”，项目全年预算数 142万元，全年执行数142 万元，执行率100 %，项目开展情况：基本实现权责清晰、管理科学、治理完善、运行高效、监督有力的现代医院管理。</w:t>
        <w:br/>
        <w:t xml:space="preserve">    （9）提前下达2023年计划生育奖扶项目（扩大农村部分奖扶）市级补助资金，自评得分99.95 分，等级为“优 ”。项目全年预算数 363万元，全年执行数 363万元，执行率100 %，项目开展情况：实施计划生育家庭特别扶助制度，缓解计划生育困难家庭在生产、生活、医疗和养老等方面的特殊困难，保障和改善民生，促进社会和谐稳定。</w:t>
        <w:br/>
        <w:t xml:space="preserve">    （10）提前下达2023年计划生育奖扶项目（农村部分计划生育家庭）市级补助资金，自评得分98.2 分，等级为“ 优”。项目全年预算数 77万元，全年执行数77 万元，执行率100 %，项目开展情况：实施计划生育家庭特别扶助制度，缓解计划生育困难家庭在生产、生活、医疗和养老等方面的特殊困难，保障和改善民生，促进社会和谐稳定。</w:t>
        <w:br/>
        <w:t xml:space="preserve">    （11）提前下达2023年计划生育奖扶项目（市直破产企业独生子女）市级补助资金，自评得分 100分，等级为“优 ”。项目全年预算数 11万元，全年执行数11 万元，执行率100 %，项目开展情况：贯彻落实各项计划生育家庭奖励扶助政策，确保奖扶资金及时足额发放到扶助对象手中。</w:t>
        <w:br/>
        <w:t xml:space="preserve">    （12）提前下达2023年卫生健康人才培养培训资金（上级提前下达），自评得分92.07 分，等级为“优 ”。项目全年预算数 86.24万元，全年执行数 17.84万元，执行率 20.69%，项目开展情况：以基层卫生人员实际需求为导向，以补短板为目标，以提高基层医疗卫生服务能力和家庭医生团队实用技能为重点，完成2023年度中央财政经费支持的基层卫生人才能力提升项目培训任务。</w:t>
        <w:br/>
        <w:t xml:space="preserve">    （13）提前下达2023年中医药事业传承与发展资金（上级提前下达），自评得分 97.02分，等级为“优 ”。项目全年预算数 2万元，全年执行数1.48 万元，执行率74 %，项目开展情况：全部完成推动实施健康中国行动中医药专项行动，普及中医药健康知识，推广中医药适宜技术，提供覆盖全民和全生命周期的中医药健康服务。 </w:t>
        <w:br/>
        <w:t xml:space="preserve">    （14）提前下达2023年重大传染病防控经费（上级提前下达），自评得分 99.5分，等级为“优 ”。项目全年预算数406.63 万元，全年执行数406.63 万元，执行率 100%，项目开展情况：1、2023年许昌市通过持续深入开展“免疫规划标准化建设”，加大预防接种单位规范化管理，优化预防接种服务质量，规范开展预防接种知识宣传，全面提升预防接种服务环境和质量，免疫规划疫苗接种率达95.93%，有效控制疫苗针对传染病发生。2、新报告艾滋病病例数上升势头趋缓，血液传播、母婴传播、婚内传播得到有效控制，全市艾滋病疫情整体处于低流行水平。。感染者和病人规范管理，各项指标均完成国家、省级考核要求。坚持艾滋病宣传常态化，针对不同人群特点采用多种形式的宣传，大大提高了居民、农民工、青少年学生、企事业工作人员等人群的防艾意识和防艾技能。进一步加强了对肺结核患者的收治和管理，进一步减轻结核病患者的疾病负担，提高了居民健康水平，逐步提升了社会公共卫生均等化水平。3、许昌市全面加强慢性病防控能力建设，深入推进全民健康生活方式行动，大力推广癌症、心脑血管疾病、口腔疾病等重点慢性病早期筛查和干预技术，开展群体健康与癌症综合防控、淮河流域早诊早治、农村癌症早诊早治等项目，推动癌症早期筛查，早期发现，早期干预，不断健全慢性病综合监测网络，在全市范围内开展死因监测、肿瘤监测和心脑血管急性事件监测，加强严重精神障碍患者筛查、登记报告和随访服务。</w:t>
        <w:br/>
        <w:t xml:space="preserve">    （15）在编人员调整绩效系数人员经费（结转本级资金），自评得分100 分，等级“ 优”。项目全年预算数 6.25万元，全年执行数 6.25万元，执行率100 %，项目开展情况：为全是采供血业务做好人才储备工作。</w:t>
        <w:br/>
        <w:t xml:space="preserve">    （16）提前下达2023年公立医院综合改革（上级提前下达），自评得分 97.23分，等级为“优”。项目全年预算数 272.7万元，全年执行数 251.7万元，执行率92.3 %，项目开展情况：基本建立具有中国特色的权责清晰、管理科学、治理完善、运行高效、监督有力的现代医院管理制度， 建立维护公益性、调动积极性、保障可持续的运行新机制和科学合理的补偿机制。</w:t>
        <w:br/>
        <w:t xml:space="preserve">    （17）120指挥中心运行费（基本运转支出），自评得分为100分，等级为“优”。涉及预算资金3万元，全年执行数3万元，执行率为100%，项目开展情况：基本满足许昌市120急救指挥中心全年光纤使用费及部分电费。</w:t>
        <w:br/>
        <w:t xml:space="preserve">    （18）三免及学校结核病筛查经费（结转本级资金），自评得分 99.87分，等级为“优”。项目全年预算数6万元，全年执行数6万元，执行率100 %，项目开展情况：2023年度全年无聚集性学校结核病疫情发生；2023年发现并治疗管理肺结核患者174例，肺结核报告发病率35.51/10万。</w:t>
        <w:br/>
        <w:t xml:space="preserve">    （19）提前下达2023年公立医院综合改革（上级提前下达），自评得分86分，等级为“良”。项目全年预算数 4.6万元，全年执行数4.6 万元，执行率100 %，项目开展情况：继续推进公立医院改革,推动公立医院高质量发展，促进医保、医疗、医药协同发展和治理。</w:t>
        <w:br/>
        <w:t xml:space="preserve">    （20）提前下达2023年重大传染病防控经费（上级提前下达），自评得分100 分，等级“优”。项目全年预算数 55.6万元，全年执行数55.6 万元，执行率100 %，项目开展情况：减少艾滋病新发感染，降低艾滋病病死率。</w:t>
        <w:br/>
        <w:t xml:space="preserve">    （21）提前下达2023年重大传染病防控经费（上级提前下达），自评得分98.5 分，等级为“优 ”。项目全年预算数 205.54万元，全年执行数 191.4万元，执行率93.12 %，项目开展情况：1、2023年许昌市通过持续深入开展“免疫规划标准化建设”，加大预防接种单位规范化管理，优化预防接种服务质量，规范开展预防接种知识宣传，全面提升预防接种服务环境和质量，免疫规划疫苗接种率达95.93%，有效控制疫苗针对传染病发生。2、新报告艾滋病病例数上升势头趋缓，血液传播、母婴传播、婚内传播得到有效控制。感染者和病人规范管理，各项指标均完成国家、省级考核要求。3、强化新冠病毒感染病原学，为科学开展新冠综合防治提供了数据支撑。加强流行性出血热病例、手足口病等重点传染病监测管理。按照要求对病例进行规范处置，有效开展病媒生物防控，为科学评估疾病传播风险提供依据。</w:t>
        <w:br/>
        <w:t xml:space="preserve">    （22）2023年新冠疫情应急救治能力提升项目中央基建投资预算项目，自评得分100分，等级为“ 优”。项目全年预算数 15万元，全年执行数15 万元，执行率100 %，项目开展情况：加强可转换ICU建设，提高应急救治能力，为满足人民群众健康需求提供保障。</w:t>
        <w:br/>
        <w:t xml:space="preserve">    （23）提前下达2023年重大传染病防控经费（上级提前下达），自评得分95.01 分，等级为“优 ”。项目全年预算数29.8 万元，全年执行数 29.8万元，执行率100 %，项目开展情况开展重大慢性病早期筛查干预项目，落实慢性病及其相关危险因素监测。加强严重精神障碍患者筛查、登记报告和随访服务。</w:t>
        <w:br/>
        <w:t xml:space="preserve">    （24）60岁独生子女父母住院补贴市级奖补政策支出（结转本级资金），自评得分100 分，等级为“ 优”。项目全年预算数592.72 万元，全年执行数 592.72万元，执行率100 %，项目开展情况：2021-2022保险年度的独生子女及特殊家庭父母扶助对象58718人，全部纳入扶助范围。独生子女家庭住院，每人每天按照100元标准扶助；计生特殊家庭住院，每人每天按照150元标准进行扶助。</w:t>
        <w:br/>
        <w:t xml:space="preserve">    （25）2023年老年乡村医生生活补助市级补助资金，自评得分100分，等级为“优”。项目全年预算数12.24万元，全年执行数12.24万元，执行率100%，项目开展情况：切实保障乡村医生到龄退休生活。</w:t>
        <w:br/>
        <w:t xml:space="preserve">    （26）2023年新冠疫情应急救治能力提升项目中央基建投资预算项目自评得分98.56分，等级为“优”。项目全年预算数238万元，全年执行数203.56万元，执行率85.55%，项目开展情况：按文件政策要求，实施例设备购置项目，提高应急救治能力，满足人民群众健康需求提供重要保障。</w:t>
        <w:br/>
        <w:t xml:space="preserve">    （27）2023年重症医疗资源建设补助资金（市直），自评得分100分，等级为“优”。项目全年预算数480万元，全年执行数480万元，执行率100 %，项目开展情况：统筹全省医疗资源,加快综合ICU监护单元建设、迅速改造其他专科ICU床位、对供电和供氧系统进行改造,确保重症资源随时可用于重症患者救治工作,全面提升救治能力,进一步降低新冠病毒感染重症率和死亡率。</w:t>
        <w:br/>
        <w:t xml:space="preserve">    （28）2023年重症医疗资源建设补助资金（县区），自评得分100分，等级为“优”。项目全年预算数36万元，全年执行数36万元，执行率100%，项目开展情况：全市9家三级医院，设置床位8128张，其中，综合ICU床位325张，占比4%；可转化综合ICU床位327张，占比4.04%，均已达到国家要求。全市24家二级医院都设置重症医学科、重症监护病房（单元），配备重症救治医师283人、护士740人，目前尚能满足重症救治需求。         </w:t>
        <w:br/>
        <w:t xml:space="preserve">    （29）提前下达2023年村卫生室实施基本药物制度市级补助资金，自评得分100分，等级为“优”。项目全年预算数63万元，全年执行数63万元，执行率100%，项目开展情况：保证所有政府举办基层医疗卫生机构实施国家基本药物制度，推进综合改革顺利进行。对实施国家基本药物制度的村卫生室给与补助，支持国家基本药物制度在村卫生室顺利实施。</w:t>
        <w:br/>
        <w:t xml:space="preserve">    （30）提前下达2023年公立医院综合改革（上级提前下达），自评得分96.22分，等级“优”。项目全年预算数419万元，全年执行数419万元，执行率100%，项目开展情况：基本实现权责清晰、管理科学、治理完善、运行高效、监督有力的现代医院管理。</w:t>
        <w:br/>
        <w:t xml:space="preserve">    （31）提前下达2023年基本公共卫生服务（上级提前下达），自评得分100分，等级为“优”。项目全年预算数1104万元，全年执行数1104万元，执行率100%，项目开展情况：全部完成。</w:t>
        <w:br/>
        <w:t xml:space="preserve">    （32）提前下达2023年基本公共卫生服务项目市级补助资金，自评得分99.8分，等级为“优”。项目全年预算数6080.7万元，全年执行数6080.7万元，执行率100%，项目开展情况：全部完成。</w:t>
        <w:br/>
        <w:t xml:space="preserve">    （33）提前下达2023年计划生育奖扶项目（城镇独生子女父母奖扶）市级补助资金，自评得分100分，等级为“优”。项目全年预算数886万元，全年执行数886万元，执行率%，项目开展情况：全部完成。</w:t>
        <w:br/>
        <w:t xml:space="preserve">    （34）提前下达2023年计划生育奖扶项目（计划生育家庭特别扶助）市级补助资金，自评得分99.99分，等级为“优”。项目全年预算数187万元，全年执行数187万元，执行率100%，项目开展情况：实施计划生育家庭特别扶助制度，缓解计划生育困难家庭在生产、生活、医疗和养老等方面的特殊困难，保障和改善民生，促进社会和谐稳定。</w:t>
        <w:br/>
        <w:t xml:space="preserve">    （35）提前下达2023年计划生育转移支付资金（上级提前下达），自评得分99.98分，等级为“优”。项目全年预算数704万元，全年执行数704万元，执行率100%，项目开展情况：按时完成。</w:t>
        <w:br/>
        <w:t xml:space="preserve">    （36）提前下达2023年卫生健康人才培养培训资金（上级提前下达），自评得分100分，等级为“优”。项目全年预算数397.1万元，全年执行数397.1万元，执行率100%，项目开展情况：完成2021级-2023级130人住院医师规范化培训任务，完成2022级-2023级共计58人的助理全科医生培训任务，完成2023年20名全科医生转岗人员的基本理论知识培训、临床综合诊疗能力培训任务。</w:t>
        <w:br/>
        <w:t xml:space="preserve">    （37）提前下达2023年中医药事业传承与发展资金（上级提前下达），自评得分97.4分，等级为“优”。项目全年预算数2万元，全年执行数1.48万元，执行率74%，项目开展情况：推动实施健康中国行动中医药专项行动，普及中医药健康知识，推广中医药适宜技术，提供覆盖全民和全生命周期的中医药健康服务。</w:t>
        <w:br/>
        <w:t xml:space="preserve">    （38）提前下达2023年重大传染病防控经费（上级提前下达），自评得分99.12分，等级为“优”。项目全年预算数669.94万元，全年执行数669.94万元，执行率100%，项目开展情况：1、2023年许昌市通过持续深入开展“免疫规划标准化建设”，加大预防接种单位规范化管理，优化预防接种服务质量，规范开展预防接种知识宣传，全面提升预防接种服务环境和质量，免疫规划疫苗接种率达95.93%，有效控制疫苗针对传染病发生。2、新报告艾滋病病例数上升势头趋缓，血液传播、母婴传播、婚内传播得到有效控制。感染者和病人规范管理，各项指标均完成国家、省级考核要求。进一步加强了对肺结核患者的收治和管理，进一步减轻结核病患者的疾病负担，提高了居民健康水平，逐步提升了社会公共卫生均等化水平。3、全面推进慢性病防控各项工作，建立健全政府主导、多部门参与、全社会共同参与的慢性病综合防治工作机制，全面落实各项防治措施，居民健康知识水平和健康技能进一步得到了提高, 初步形成全社会共同行动，推广践行健康生活方式的良好氛围。加强严重精神障碍患者筛查、登记报告和随访服务。4、强化新冠病毒感染病原学和本土变异株监测工作，开展本土变异株监测工作，全年成功测序数226份，为科学开展新冠综合防治提供了数据支撑。加强流行性出血热病例、手足口病等重点传染病监测管理，按照要求对病例进行规范处置。从哨点医院收集435份致病菌识别网病例并完成网络上报，复核哨点医院提供菌株120株，为疫情预测预警、爆发溯源、及突发疫情处置提供了数据支持。有效开展病媒生物防控，为科学评估疾病传播风险提供依据。</w:t>
        <w:br/>
        <w:t xml:space="preserve">    （39）采供血日常运行保障其他人员经费（基本运转支出）自评得分99.24，预算执行率为96.22%，等级为“优”。绩效目标为完成单位人事代理及聘用人员工资发放工作，绩效目标全部完成，存在的问题主要为单位聘用人员数量减少，原因为单位部分聘用人员转为物业公司代管。</w:t>
        <w:br/>
        <w:t xml:space="preserve">    （40）采供血日常运行保障经费（基本运转支出）自评得分93.05，预算执行率为83.78%，等级为“优”。绩效目标为保障2023年采供血工作能够正常运行，确保临床血液100%安全一系列工作中所需要支付的采供血运行保障费，具体包括办公费、印刷费、劳务费、委托业务费、会议培训费、差旅费、水、电、邮电费、基础设施及专用设备维修维护费、专业用车运行维护费、宣传费、短信费、慰问困难献血者、部队、高校助学金等费用，绩效目标全部完成，存在的问题为编制预算时不够精准，造成预算执行率较低，原因为本年单位采血量下降，下一步单位将做好预算管理，加强编制预算前瞻性，结合上一年度预算执行情况和本年度预算收支变化因素，科学、合理的编制预算，避免项目支出划分不准或预算支出与实际执行出现较大偏差的情况。</w:t>
        <w:br/>
        <w:t xml:space="preserve">    （41）不可预见费（基本运转支出）项目评分为81.51分，预算执行率为75.11%，等级为“良”。绩效目标为完成单位人事代理、聘用人员工资发放工作及科室大型修缮，绩效目标部分完成，存在的问题主要为2023年大型修缮预算未审批未执行。原因为因大型修缮审批手续不完备，该项目暂未执行。下一步单位将做好预算管理，严格按照要求合理编制预算。</w:t>
        <w:br/>
        <w:t xml:space="preserve">    （42）采供血纪念品及无偿献血报销经费（定额外基本运转支出）项目评分为96.8分，预算执行率为68%，等级为“优”。绩效目标为完成2023年献血纪念品发放及无偿献血报销工作，绩效目标基本完成，存在的问题为2023年全血采集量未完成，纪念品发放总量减少，原因为2023年单位采血量下降，下一步单位将加大宣传力度，采取有效措施增加采血量。</w:t>
        <w:br/>
        <w:t xml:space="preserve">    （43）采供血专用材料经费（基本运转支出）项目评分为89.77分，预算执行率为52.35%，等级为“良”。绩效目标为完成全年全血采集计划92869单位（含机采血小板5000单位），2023年单位实际全血实际采集量为84050个单位，完成率为90.5%，存在的问题为预算执行率低，原因为2023年单位采血量下降，下一步单位将加大宣传力度，采取有效措施增加采血量。</w:t>
        <w:br/>
        <w:t xml:space="preserve">    （44）采供血设备购置、基础设施及实验室改造经费（结转本级资金）项目评分为100分，预算执行率为100%，绩效目标为满足血液检验环境工作要求，将检验科酶免实验室改造，绩效目标基本完成，符合项目预算批复的用途，不存在截留、挤占、挪用、虚列支出等情况。实验室改造后投入使用及时，保障采供血业务工作正常开展，促进采供血服务效率的提升。</w:t>
        <w:br/>
        <w:t xml:space="preserve">    （45）采供血设备购置、基础设施及实验室改造经费（设备及大宗物资更新购置支出）（结转本级资金）项目评分为100分，预算执行率为100%，绩效目标为为了满足采供血业务工作的需要，购置采血设备，绩效目标基本完成，符合项目预算批复的用途，设备利用率达到100%。设备验收及时，保障采供血业务工作正常开展，促进采供血服务效率的提升。</w:t>
        <w:br/>
        <w:t xml:space="preserve">    （46）提前下达2023年重大传染病防控经费（上级提前下达）自评得分84.79分，预算执行率为57.86%，等级为“良”。绩效目标为缩短艾滋病检测窗口期，进一步保证血液安全，建设血站科普基地，绩效目标部分完成，存在的问题主要为执行率低，原因为科普基地建设项目因年底前政府采购手续审批中，暂未开始建设。下一步单位将做好预算管理，动态检测项目执行。</w:t>
        <w:br/>
        <w:t xml:space="preserve">    （47）提前下达2023年公立医院综合改革（上级提前下达），自评得分90.74分，等级为“优”。项目全年预算数24.9万元，全年执行数24.9万元，执行率100%，项目开展情况：深化公立医院公益性，极大地推动医院高质量发展，对医院的发展提供有力的保障。</w:t>
        <w:br/>
        <w:t xml:space="preserve">    （48）提前下达2023年卫生健康人才培养培训资金（上级提前下达），自评得分96.13分，等级为“优”。项目全年预算数624.52万元，全年执行数624.52万元，执行率100%，项目开展情况：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w:t>
        <w:br/>
        <w:t xml:space="preserve">    （49）提前下达2023年重大传染病防控经费（上级提前下达），自评得分97.92分，等级为“优”。项目全年预算数102万元，全年执行数101.2万元，执行率99.22%，项目开展情况：有效控制艾滋病疫情、开展脑卒中早期筛查干预项目，完成以新冠肺炎为主的病毒性传染病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从项目绩效自评情况来看，①投入管理指标完成情况，卫生健康各项工作取得了一定成效。 ②产出指标完成情况，健康中原建设全面推进，健康许昌16 个专项行动深入推进，29 项考核指标总体完成情况良好。医药卫生体制改革成效明显。紧密型县域医共体建设提质增效。③效益指标完成情况。2023 年卫生健康系统在巩固疫情防控成果、提升医疗服务水平、完善公共卫生体系建设、深化医药卫生体制改革、推进中医药传承创新等方面取得不错成果。。</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0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