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许昌市劳动保障监察支队单位决算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许昌市劳动保障监察支队概况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许昌市劳动保障监察支队概况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一）开展普法教育工作，宣传国家劳动保障方针、政策和劳动保障法律、法规和规章，督促用人单位贯彻执行;检查用人单位遵守劳动保障法律、法规和规章的情况;依法纠正和查处违反劳动保障法律、法规或者规章的行为;具体承办局各执法单位提请需要实施行政处罚的案件。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（二）督促用人单位和劳动者依法办理各种用工手续，负责劳动合同的推行和管理工作。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（三）认真接待群众来信、来访，及时受理对违反劳动保障法律、法规或者规章的行为的举报、投诉。协助做好劳动争议案件的调查取证和调解工作或移交劳动争议仲裁委员会处理。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（四）对立案的劳动保障监察案件进行调查取证，并提出处理意见。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（五）妥善处理企业职工罢工、集体上访等突发事件，协调劳动关系，维护社会稳定。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（六）负责报送劳动保障监察、劳动信访等情况报表。 对劳动保障监察员进行培训和监督。忠于职守，秉公执法，勤政廉洁，保守秘密。完成法律、法规、规章规定的其他职责和上级布置的其他工作。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许昌市劳动保障监察支队内设机构6个,包括：办公室、监察一科、监察二科、监察三科、“两网化”中心、举报投诉科。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从决算单位构成看，许昌市劳动保障监察支队单位决算包括：本级决算（1个）。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许昌市劳动保障监察支队本级决算</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402.77</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346.45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21.13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19.69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402.77</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402.77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402.77</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402.77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402.77</w:t>
            </w:r>
          </w:p>
        </w:tc>
        <w:tc>
          <w:tcPr>
            <w:tcW w:w="1440" w:type="dxa"/>
            <w:vAlign w:val="center"/>
          </w:tcPr>
          <w:p>
            <w:pPr>
              <w:jc w:val="right"/>
            </w:pPr>
            <w:r>
              <w:rPr>
                <w:rFonts w:ascii="宋体" w:hAnsi="宋体" w:eastAsia="宋体" w:cs="宋体"/>
                <w:b/>
                <w:i w:val="0"/>
                <w:color w:val="000000"/>
                <w:sz w:val="17"/>
              </w:rPr>
              <w:t>402.77</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15.50</w:t>
            </w:r>
          </w:p>
        </w:tc>
        <w:tc>
          <w:tcPr>
            <w:tcW w:w="1440" w:type="dxa"/>
            <w:vAlign w:val="center"/>
          </w:tcPr>
          <w:p>
            <w:pPr>
              <w:jc w:val="right"/>
            </w:pPr>
            <w:r>
              <w:rPr>
                <w:rFonts w:ascii="宋体" w:hAnsi="宋体" w:eastAsia="宋体" w:cs="宋体"/>
                <w:b w:val="0"/>
                <w:i w:val="0"/>
                <w:color w:val="000000"/>
                <w:sz w:val="17"/>
              </w:rPr>
              <w:t>15.50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1.68</w:t>
            </w:r>
          </w:p>
        </w:tc>
        <w:tc>
          <w:tcPr>
            <w:tcW w:w="1440" w:type="dxa"/>
            <w:vAlign w:val="center"/>
          </w:tcPr>
          <w:p>
            <w:pPr>
              <w:jc w:val="right"/>
            </w:pPr>
            <w:r>
              <w:rPr>
                <w:rFonts w:ascii="宋体" w:hAnsi="宋体" w:eastAsia="宋体" w:cs="宋体"/>
                <w:b w:val="0"/>
                <w:i w:val="0"/>
                <w:color w:val="000000"/>
                <w:sz w:val="17"/>
              </w:rPr>
              <w:t>1.68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1.68</w:t>
            </w:r>
          </w:p>
        </w:tc>
        <w:tc>
          <w:tcPr>
            <w:tcW w:w="1440" w:type="dxa"/>
            <w:vAlign w:val="center"/>
          </w:tcPr>
          <w:p>
            <w:pPr>
              <w:jc w:val="right"/>
            </w:pPr>
            <w:r>
              <w:rPr>
                <w:rFonts w:ascii="宋体" w:hAnsi="宋体" w:eastAsia="宋体" w:cs="宋体"/>
                <w:b w:val="0"/>
                <w:i w:val="0"/>
                <w:color w:val="000000"/>
                <w:sz w:val="17"/>
              </w:rPr>
              <w:t>1.68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346.45</w:t>
            </w:r>
          </w:p>
        </w:tc>
        <w:tc>
          <w:tcPr>
            <w:tcW w:w="1440" w:type="dxa"/>
            <w:vAlign w:val="center"/>
          </w:tcPr>
          <w:p>
            <w:pPr>
              <w:jc w:val="right"/>
            </w:pPr>
            <w:r>
              <w:rPr>
                <w:rFonts w:ascii="宋体" w:hAnsi="宋体" w:eastAsia="宋体" w:cs="宋体"/>
                <w:b w:val="0"/>
                <w:i w:val="0"/>
                <w:color w:val="000000"/>
                <w:sz w:val="17"/>
              </w:rPr>
              <w:t>346.45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w:t>
            </w:r>
          </w:p>
        </w:tc>
        <w:tc>
          <w:tcPr>
            <w:tcW w:w="3140" w:type="dxa"/>
            <w:vAlign w:val="center"/>
          </w:tcPr>
          <w:p>
            <w:pPr>
              <w:jc w:val="left"/>
            </w:pPr>
            <w:r>
              <w:rPr>
                <w:rFonts w:ascii="宋体" w:hAnsi="宋体" w:eastAsia="宋体" w:cs="宋体"/>
                <w:b w:val="0"/>
                <w:i w:val="0"/>
                <w:color w:val="000000"/>
                <w:sz w:val="17"/>
              </w:rPr>
              <w:t>人力资源和社会保障管理事务</w:t>
            </w:r>
          </w:p>
        </w:tc>
        <w:tc>
          <w:tcPr>
            <w:tcW w:w="1440" w:type="dxa"/>
            <w:vAlign w:val="center"/>
          </w:tcPr>
          <w:p>
            <w:pPr>
              <w:jc w:val="right"/>
            </w:pPr>
            <w:r>
              <w:rPr>
                <w:rFonts w:ascii="宋体" w:hAnsi="宋体" w:eastAsia="宋体" w:cs="宋体"/>
                <w:b w:val="0"/>
                <w:i w:val="0"/>
                <w:color w:val="000000"/>
                <w:sz w:val="17"/>
              </w:rPr>
              <w:t>322.95</w:t>
            </w:r>
          </w:p>
        </w:tc>
        <w:tc>
          <w:tcPr>
            <w:tcW w:w="1440" w:type="dxa"/>
            <w:vAlign w:val="center"/>
          </w:tcPr>
          <w:p>
            <w:pPr>
              <w:jc w:val="right"/>
            </w:pPr>
            <w:r>
              <w:rPr>
                <w:rFonts w:ascii="宋体" w:hAnsi="宋体" w:eastAsia="宋体" w:cs="宋体"/>
                <w:b w:val="0"/>
                <w:i w:val="0"/>
                <w:color w:val="000000"/>
                <w:sz w:val="17"/>
              </w:rPr>
              <w:t>322.95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322.95</w:t>
            </w:r>
          </w:p>
        </w:tc>
        <w:tc>
          <w:tcPr>
            <w:tcW w:w="1440" w:type="dxa"/>
            <w:vAlign w:val="center"/>
          </w:tcPr>
          <w:p>
            <w:pPr>
              <w:jc w:val="right"/>
            </w:pPr>
            <w:r>
              <w:rPr>
                <w:rFonts w:ascii="宋体" w:hAnsi="宋体" w:eastAsia="宋体" w:cs="宋体"/>
                <w:b w:val="0"/>
                <w:i w:val="0"/>
                <w:color w:val="000000"/>
                <w:sz w:val="17"/>
              </w:rPr>
              <w:t>322.95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23.22</w:t>
            </w:r>
          </w:p>
        </w:tc>
        <w:tc>
          <w:tcPr>
            <w:tcW w:w="1440" w:type="dxa"/>
            <w:vAlign w:val="center"/>
          </w:tcPr>
          <w:p>
            <w:pPr>
              <w:jc w:val="right"/>
            </w:pPr>
            <w:r>
              <w:rPr>
                <w:rFonts w:ascii="宋体" w:hAnsi="宋体" w:eastAsia="宋体" w:cs="宋体"/>
                <w:b w:val="0"/>
                <w:i w:val="0"/>
                <w:color w:val="000000"/>
                <w:sz w:val="17"/>
              </w:rPr>
              <w:t>23.22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3.88</w:t>
            </w:r>
          </w:p>
        </w:tc>
        <w:tc>
          <w:tcPr>
            <w:tcW w:w="1440" w:type="dxa"/>
            <w:vAlign w:val="center"/>
          </w:tcPr>
          <w:p>
            <w:pPr>
              <w:jc w:val="right"/>
            </w:pPr>
            <w:r>
              <w:rPr>
                <w:rFonts w:ascii="宋体" w:hAnsi="宋体" w:eastAsia="宋体" w:cs="宋体"/>
                <w:b w:val="0"/>
                <w:i w:val="0"/>
                <w:color w:val="000000"/>
                <w:sz w:val="17"/>
              </w:rPr>
              <w:t>3.88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19.34</w:t>
            </w:r>
          </w:p>
        </w:tc>
        <w:tc>
          <w:tcPr>
            <w:tcW w:w="1440" w:type="dxa"/>
            <w:vAlign w:val="center"/>
          </w:tcPr>
          <w:p>
            <w:pPr>
              <w:jc w:val="right"/>
            </w:pPr>
            <w:r>
              <w:rPr>
                <w:rFonts w:ascii="宋体" w:hAnsi="宋体" w:eastAsia="宋体" w:cs="宋体"/>
                <w:b w:val="0"/>
                <w:i w:val="0"/>
                <w:color w:val="000000"/>
                <w:sz w:val="17"/>
              </w:rPr>
              <w:t>19.34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0.28</w:t>
            </w:r>
          </w:p>
        </w:tc>
        <w:tc>
          <w:tcPr>
            <w:tcW w:w="1440" w:type="dxa"/>
            <w:vAlign w:val="center"/>
          </w:tcPr>
          <w:p>
            <w:pPr>
              <w:jc w:val="right"/>
            </w:pPr>
            <w:r>
              <w:rPr>
                <w:rFonts w:ascii="宋体" w:hAnsi="宋体" w:eastAsia="宋体" w:cs="宋体"/>
                <w:b w:val="0"/>
                <w:i w:val="0"/>
                <w:color w:val="000000"/>
                <w:sz w:val="17"/>
              </w:rPr>
              <w:t>0.28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0.28</w:t>
            </w:r>
          </w:p>
        </w:tc>
        <w:tc>
          <w:tcPr>
            <w:tcW w:w="1440" w:type="dxa"/>
            <w:vAlign w:val="center"/>
          </w:tcPr>
          <w:p>
            <w:pPr>
              <w:jc w:val="right"/>
            </w:pPr>
            <w:r>
              <w:rPr>
                <w:rFonts w:ascii="宋体" w:hAnsi="宋体" w:eastAsia="宋体" w:cs="宋体"/>
                <w:b w:val="0"/>
                <w:i w:val="0"/>
                <w:color w:val="000000"/>
                <w:sz w:val="17"/>
              </w:rPr>
              <w:t>0.28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21.13</w:t>
            </w:r>
          </w:p>
        </w:tc>
        <w:tc>
          <w:tcPr>
            <w:tcW w:w="1440" w:type="dxa"/>
            <w:vAlign w:val="center"/>
          </w:tcPr>
          <w:p>
            <w:pPr>
              <w:jc w:val="right"/>
            </w:pPr>
            <w:r>
              <w:rPr>
                <w:rFonts w:ascii="宋体" w:hAnsi="宋体" w:eastAsia="宋体" w:cs="宋体"/>
                <w:b w:val="0"/>
                <w:i w:val="0"/>
                <w:color w:val="000000"/>
                <w:sz w:val="17"/>
              </w:rPr>
              <w:t>21.13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21.13</w:t>
            </w:r>
          </w:p>
        </w:tc>
        <w:tc>
          <w:tcPr>
            <w:tcW w:w="1440" w:type="dxa"/>
            <w:vAlign w:val="center"/>
          </w:tcPr>
          <w:p>
            <w:pPr>
              <w:jc w:val="right"/>
            </w:pPr>
            <w:r>
              <w:rPr>
                <w:rFonts w:ascii="宋体" w:hAnsi="宋体" w:eastAsia="宋体" w:cs="宋体"/>
                <w:b w:val="0"/>
                <w:i w:val="0"/>
                <w:color w:val="000000"/>
                <w:sz w:val="17"/>
              </w:rPr>
              <w:t>21.13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10.34</w:t>
            </w:r>
          </w:p>
        </w:tc>
        <w:tc>
          <w:tcPr>
            <w:tcW w:w="1440" w:type="dxa"/>
            <w:vAlign w:val="center"/>
          </w:tcPr>
          <w:p>
            <w:pPr>
              <w:jc w:val="right"/>
            </w:pPr>
            <w:r>
              <w:rPr>
                <w:rFonts w:ascii="宋体" w:hAnsi="宋体" w:eastAsia="宋体" w:cs="宋体"/>
                <w:b w:val="0"/>
                <w:i w:val="0"/>
                <w:color w:val="000000"/>
                <w:sz w:val="17"/>
              </w:rPr>
              <w:t>10.34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10.79</w:t>
            </w:r>
          </w:p>
        </w:tc>
        <w:tc>
          <w:tcPr>
            <w:tcW w:w="1440" w:type="dxa"/>
            <w:vAlign w:val="center"/>
          </w:tcPr>
          <w:p>
            <w:pPr>
              <w:jc w:val="right"/>
            </w:pPr>
            <w:r>
              <w:rPr>
                <w:rFonts w:ascii="宋体" w:hAnsi="宋体" w:eastAsia="宋体" w:cs="宋体"/>
                <w:b w:val="0"/>
                <w:i w:val="0"/>
                <w:color w:val="000000"/>
                <w:sz w:val="17"/>
              </w:rPr>
              <w:t>10.79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19.69</w:t>
            </w:r>
          </w:p>
        </w:tc>
        <w:tc>
          <w:tcPr>
            <w:tcW w:w="1440" w:type="dxa"/>
            <w:vAlign w:val="center"/>
          </w:tcPr>
          <w:p>
            <w:pPr>
              <w:jc w:val="right"/>
            </w:pPr>
            <w:r>
              <w:rPr>
                <w:rFonts w:ascii="宋体" w:hAnsi="宋体" w:eastAsia="宋体" w:cs="宋体"/>
                <w:b w:val="0"/>
                <w:i w:val="0"/>
                <w:color w:val="000000"/>
                <w:sz w:val="17"/>
              </w:rPr>
              <w:t>19.69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19.69</w:t>
            </w:r>
          </w:p>
        </w:tc>
        <w:tc>
          <w:tcPr>
            <w:tcW w:w="1440" w:type="dxa"/>
            <w:vAlign w:val="center"/>
          </w:tcPr>
          <w:p>
            <w:pPr>
              <w:jc w:val="right"/>
            </w:pPr>
            <w:r>
              <w:rPr>
                <w:rFonts w:ascii="宋体" w:hAnsi="宋体" w:eastAsia="宋体" w:cs="宋体"/>
                <w:b w:val="0"/>
                <w:i w:val="0"/>
                <w:color w:val="000000"/>
                <w:sz w:val="17"/>
              </w:rPr>
              <w:t>19.69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19.69</w:t>
            </w:r>
          </w:p>
        </w:tc>
        <w:tc>
          <w:tcPr>
            <w:tcW w:w="1440" w:type="dxa"/>
            <w:vAlign w:val="center"/>
          </w:tcPr>
          <w:p>
            <w:pPr>
              <w:jc w:val="right"/>
            </w:pPr>
            <w:r>
              <w:rPr>
                <w:rFonts w:ascii="宋体" w:hAnsi="宋体" w:eastAsia="宋体" w:cs="宋体"/>
                <w:b w:val="0"/>
                <w:i w:val="0"/>
                <w:color w:val="000000"/>
                <w:sz w:val="17"/>
              </w:rPr>
              <w:t>19.69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402.77</w:t>
            </w:r>
          </w:p>
        </w:tc>
        <w:tc>
          <w:tcPr>
            <w:tcW w:w="1600" w:type="dxa"/>
            <w:vAlign w:val="center"/>
          </w:tcPr>
          <w:p>
            <w:pPr>
              <w:jc w:val="right"/>
            </w:pPr>
            <w:r>
              <w:rPr>
                <w:rFonts w:ascii="宋体" w:hAnsi="宋体" w:eastAsia="宋体" w:cs="宋体"/>
                <w:b/>
                <w:i w:val="0"/>
                <w:color w:val="000000"/>
                <w:sz w:val="19"/>
              </w:rPr>
              <w:t>402.48</w:t>
            </w:r>
          </w:p>
        </w:tc>
        <w:tc>
          <w:tcPr>
            <w:tcW w:w="1600" w:type="dxa"/>
            <w:vAlign w:val="center"/>
          </w:tcPr>
          <w:p>
            <w:pPr>
              <w:jc w:val="right"/>
            </w:pPr>
            <w:r>
              <w:rPr>
                <w:rFonts w:ascii="宋体" w:hAnsi="宋体" w:eastAsia="宋体" w:cs="宋体"/>
                <w:b/>
                <w:i w:val="0"/>
                <w:color w:val="000000"/>
                <w:sz w:val="19"/>
              </w:rPr>
              <w:t>0.28</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15.50</w:t>
            </w:r>
          </w:p>
        </w:tc>
        <w:tc>
          <w:tcPr>
            <w:tcW w:w="1600" w:type="dxa"/>
            <w:vAlign w:val="center"/>
          </w:tcPr>
          <w:p>
            <w:pPr>
              <w:jc w:val="right"/>
            </w:pPr>
            <w:r>
              <w:rPr>
                <w:rFonts w:ascii="宋体" w:hAnsi="宋体" w:eastAsia="宋体" w:cs="宋体"/>
                <w:b w:val="0"/>
                <w:i w:val="0"/>
                <w:color w:val="000000"/>
                <w:sz w:val="19"/>
              </w:rPr>
              <w:t>15.50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1.68</w:t>
            </w:r>
          </w:p>
        </w:tc>
        <w:tc>
          <w:tcPr>
            <w:tcW w:w="1600" w:type="dxa"/>
            <w:vAlign w:val="center"/>
          </w:tcPr>
          <w:p>
            <w:pPr>
              <w:jc w:val="right"/>
            </w:pPr>
            <w:r>
              <w:rPr>
                <w:rFonts w:ascii="宋体" w:hAnsi="宋体" w:eastAsia="宋体" w:cs="宋体"/>
                <w:b w:val="0"/>
                <w:i w:val="0"/>
                <w:color w:val="000000"/>
                <w:sz w:val="19"/>
              </w:rPr>
              <w:t>1.68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1.68</w:t>
            </w:r>
          </w:p>
        </w:tc>
        <w:tc>
          <w:tcPr>
            <w:tcW w:w="1600" w:type="dxa"/>
            <w:vAlign w:val="center"/>
          </w:tcPr>
          <w:p>
            <w:pPr>
              <w:jc w:val="right"/>
            </w:pPr>
            <w:r>
              <w:rPr>
                <w:rFonts w:ascii="宋体" w:hAnsi="宋体" w:eastAsia="宋体" w:cs="宋体"/>
                <w:b w:val="0"/>
                <w:i w:val="0"/>
                <w:color w:val="000000"/>
                <w:sz w:val="19"/>
              </w:rPr>
              <w:t>1.68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346.45</w:t>
            </w:r>
          </w:p>
        </w:tc>
        <w:tc>
          <w:tcPr>
            <w:tcW w:w="1600" w:type="dxa"/>
            <w:vAlign w:val="center"/>
          </w:tcPr>
          <w:p>
            <w:pPr>
              <w:jc w:val="right"/>
            </w:pPr>
            <w:r>
              <w:rPr>
                <w:rFonts w:ascii="宋体" w:hAnsi="宋体" w:eastAsia="宋体" w:cs="宋体"/>
                <w:b w:val="0"/>
                <w:i w:val="0"/>
                <w:color w:val="000000"/>
                <w:sz w:val="19"/>
              </w:rPr>
              <w:t>346.17</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w:t>
            </w:r>
          </w:p>
        </w:tc>
        <w:tc>
          <w:tcPr>
            <w:tcW w:w="3480" w:type="dxa"/>
            <w:vAlign w:val="center"/>
          </w:tcPr>
          <w:p>
            <w:pPr>
              <w:jc w:val="left"/>
            </w:pPr>
            <w:r>
              <w:rPr>
                <w:rFonts w:ascii="宋体" w:hAnsi="宋体" w:eastAsia="宋体" w:cs="宋体"/>
                <w:b w:val="0"/>
                <w:i w:val="0"/>
                <w:color w:val="000000"/>
                <w:sz w:val="19"/>
              </w:rPr>
              <w:t>人力资源和社会保障管理事务</w:t>
            </w:r>
          </w:p>
        </w:tc>
        <w:tc>
          <w:tcPr>
            <w:tcW w:w="1600" w:type="dxa"/>
            <w:vAlign w:val="center"/>
          </w:tcPr>
          <w:p>
            <w:pPr>
              <w:jc w:val="right"/>
            </w:pPr>
            <w:r>
              <w:rPr>
                <w:rFonts w:ascii="宋体" w:hAnsi="宋体" w:eastAsia="宋体" w:cs="宋体"/>
                <w:b w:val="0"/>
                <w:i w:val="0"/>
                <w:color w:val="000000"/>
                <w:sz w:val="19"/>
              </w:rPr>
              <w:t>322.95</w:t>
            </w:r>
          </w:p>
        </w:tc>
        <w:tc>
          <w:tcPr>
            <w:tcW w:w="1600" w:type="dxa"/>
            <w:vAlign w:val="center"/>
          </w:tcPr>
          <w:p>
            <w:pPr>
              <w:jc w:val="right"/>
            </w:pPr>
            <w:r>
              <w:rPr>
                <w:rFonts w:ascii="宋体" w:hAnsi="宋体" w:eastAsia="宋体" w:cs="宋体"/>
                <w:b w:val="0"/>
                <w:i w:val="0"/>
                <w:color w:val="000000"/>
                <w:sz w:val="19"/>
              </w:rPr>
              <w:t>322.95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322.95</w:t>
            </w:r>
          </w:p>
        </w:tc>
        <w:tc>
          <w:tcPr>
            <w:tcW w:w="1600" w:type="dxa"/>
            <w:vAlign w:val="center"/>
          </w:tcPr>
          <w:p>
            <w:pPr>
              <w:jc w:val="right"/>
            </w:pPr>
            <w:r>
              <w:rPr>
                <w:rFonts w:ascii="宋体" w:hAnsi="宋体" w:eastAsia="宋体" w:cs="宋体"/>
                <w:b w:val="0"/>
                <w:i w:val="0"/>
                <w:color w:val="000000"/>
                <w:sz w:val="19"/>
              </w:rPr>
              <w:t>322.95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23.22</w:t>
            </w:r>
          </w:p>
        </w:tc>
        <w:tc>
          <w:tcPr>
            <w:tcW w:w="1600" w:type="dxa"/>
            <w:vAlign w:val="center"/>
          </w:tcPr>
          <w:p>
            <w:pPr>
              <w:jc w:val="right"/>
            </w:pPr>
            <w:r>
              <w:rPr>
                <w:rFonts w:ascii="宋体" w:hAnsi="宋体" w:eastAsia="宋体" w:cs="宋体"/>
                <w:b w:val="0"/>
                <w:i w:val="0"/>
                <w:color w:val="000000"/>
                <w:sz w:val="19"/>
              </w:rPr>
              <w:t>23.22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3.88</w:t>
            </w:r>
          </w:p>
        </w:tc>
        <w:tc>
          <w:tcPr>
            <w:tcW w:w="1600" w:type="dxa"/>
            <w:vAlign w:val="center"/>
          </w:tcPr>
          <w:p>
            <w:pPr>
              <w:jc w:val="right"/>
            </w:pPr>
            <w:r>
              <w:rPr>
                <w:rFonts w:ascii="宋体" w:hAnsi="宋体" w:eastAsia="宋体" w:cs="宋体"/>
                <w:b w:val="0"/>
                <w:i w:val="0"/>
                <w:color w:val="000000"/>
                <w:sz w:val="19"/>
              </w:rPr>
              <w:t>3.88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19.34</w:t>
            </w:r>
          </w:p>
        </w:tc>
        <w:tc>
          <w:tcPr>
            <w:tcW w:w="1600" w:type="dxa"/>
            <w:vAlign w:val="center"/>
          </w:tcPr>
          <w:p>
            <w:pPr>
              <w:jc w:val="right"/>
            </w:pPr>
            <w:r>
              <w:rPr>
                <w:rFonts w:ascii="宋体" w:hAnsi="宋体" w:eastAsia="宋体" w:cs="宋体"/>
                <w:b w:val="0"/>
                <w:i w:val="0"/>
                <w:color w:val="000000"/>
                <w:sz w:val="19"/>
              </w:rPr>
              <w:t>19.34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21.13</w:t>
            </w:r>
          </w:p>
        </w:tc>
        <w:tc>
          <w:tcPr>
            <w:tcW w:w="1600" w:type="dxa"/>
            <w:vAlign w:val="center"/>
          </w:tcPr>
          <w:p>
            <w:pPr>
              <w:jc w:val="right"/>
            </w:pPr>
            <w:r>
              <w:rPr>
                <w:rFonts w:ascii="宋体" w:hAnsi="宋体" w:eastAsia="宋体" w:cs="宋体"/>
                <w:b w:val="0"/>
                <w:i w:val="0"/>
                <w:color w:val="000000"/>
                <w:sz w:val="19"/>
              </w:rPr>
              <w:t>21.13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21.13</w:t>
            </w:r>
          </w:p>
        </w:tc>
        <w:tc>
          <w:tcPr>
            <w:tcW w:w="1600" w:type="dxa"/>
            <w:vAlign w:val="center"/>
          </w:tcPr>
          <w:p>
            <w:pPr>
              <w:jc w:val="right"/>
            </w:pPr>
            <w:r>
              <w:rPr>
                <w:rFonts w:ascii="宋体" w:hAnsi="宋体" w:eastAsia="宋体" w:cs="宋体"/>
                <w:b w:val="0"/>
                <w:i w:val="0"/>
                <w:color w:val="000000"/>
                <w:sz w:val="19"/>
              </w:rPr>
              <w:t>21.13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10.34</w:t>
            </w:r>
          </w:p>
        </w:tc>
        <w:tc>
          <w:tcPr>
            <w:tcW w:w="1600" w:type="dxa"/>
            <w:vAlign w:val="center"/>
          </w:tcPr>
          <w:p>
            <w:pPr>
              <w:jc w:val="right"/>
            </w:pPr>
            <w:r>
              <w:rPr>
                <w:rFonts w:ascii="宋体" w:hAnsi="宋体" w:eastAsia="宋体" w:cs="宋体"/>
                <w:b w:val="0"/>
                <w:i w:val="0"/>
                <w:color w:val="000000"/>
                <w:sz w:val="19"/>
              </w:rPr>
              <w:t>10.34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10.79</w:t>
            </w:r>
          </w:p>
        </w:tc>
        <w:tc>
          <w:tcPr>
            <w:tcW w:w="1600" w:type="dxa"/>
            <w:vAlign w:val="center"/>
          </w:tcPr>
          <w:p>
            <w:pPr>
              <w:jc w:val="right"/>
            </w:pPr>
            <w:r>
              <w:rPr>
                <w:rFonts w:ascii="宋体" w:hAnsi="宋体" w:eastAsia="宋体" w:cs="宋体"/>
                <w:b w:val="0"/>
                <w:i w:val="0"/>
                <w:color w:val="000000"/>
                <w:sz w:val="19"/>
              </w:rPr>
              <w:t>10.79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19.69</w:t>
            </w:r>
          </w:p>
        </w:tc>
        <w:tc>
          <w:tcPr>
            <w:tcW w:w="1600" w:type="dxa"/>
            <w:vAlign w:val="center"/>
          </w:tcPr>
          <w:p>
            <w:pPr>
              <w:jc w:val="right"/>
            </w:pPr>
            <w:r>
              <w:rPr>
                <w:rFonts w:ascii="宋体" w:hAnsi="宋体" w:eastAsia="宋体" w:cs="宋体"/>
                <w:b w:val="0"/>
                <w:i w:val="0"/>
                <w:color w:val="000000"/>
                <w:sz w:val="19"/>
              </w:rPr>
              <w:t>19.69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19.69</w:t>
            </w:r>
          </w:p>
        </w:tc>
        <w:tc>
          <w:tcPr>
            <w:tcW w:w="1600" w:type="dxa"/>
            <w:vAlign w:val="center"/>
          </w:tcPr>
          <w:p>
            <w:pPr>
              <w:jc w:val="right"/>
            </w:pPr>
            <w:r>
              <w:rPr>
                <w:rFonts w:ascii="宋体" w:hAnsi="宋体" w:eastAsia="宋体" w:cs="宋体"/>
                <w:b w:val="0"/>
                <w:i w:val="0"/>
                <w:color w:val="000000"/>
                <w:sz w:val="19"/>
              </w:rPr>
              <w:t>19.69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19.69</w:t>
            </w:r>
          </w:p>
        </w:tc>
        <w:tc>
          <w:tcPr>
            <w:tcW w:w="1600" w:type="dxa"/>
            <w:vAlign w:val="center"/>
          </w:tcPr>
          <w:p>
            <w:pPr>
              <w:jc w:val="right"/>
            </w:pPr>
            <w:r>
              <w:rPr>
                <w:rFonts w:ascii="宋体" w:hAnsi="宋体" w:eastAsia="宋体" w:cs="宋体"/>
                <w:b w:val="0"/>
                <w:i w:val="0"/>
                <w:color w:val="000000"/>
                <w:sz w:val="19"/>
              </w:rPr>
              <w:t>19.69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402.77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15.50</w:t>
            </w:r>
          </w:p>
        </w:tc>
        <w:tc>
          <w:tcPr>
            <w:tcW w:w="1420" w:type="dxa"/>
            <w:vAlign w:val="center"/>
          </w:tcPr>
          <w:p>
            <w:pPr>
              <w:jc w:val="right"/>
            </w:pPr>
            <w:r>
              <w:rPr>
                <w:rFonts w:ascii="宋体" w:hAnsi="宋体" w:eastAsia="宋体" w:cs="宋体"/>
                <w:b w:val="0"/>
                <w:i w:val="0"/>
                <w:color w:val="000000"/>
                <w:sz w:val="18"/>
              </w:rPr>
              <w:t>15.50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346.45</w:t>
            </w:r>
          </w:p>
        </w:tc>
        <w:tc>
          <w:tcPr>
            <w:tcW w:w="1420" w:type="dxa"/>
            <w:vAlign w:val="center"/>
          </w:tcPr>
          <w:p>
            <w:pPr>
              <w:jc w:val="right"/>
            </w:pPr>
            <w:r>
              <w:rPr>
                <w:rFonts w:ascii="宋体" w:hAnsi="宋体" w:eastAsia="宋体" w:cs="宋体"/>
                <w:b w:val="0"/>
                <w:i w:val="0"/>
                <w:color w:val="000000"/>
                <w:sz w:val="18"/>
              </w:rPr>
              <w:t>346.45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21.13</w:t>
            </w:r>
          </w:p>
        </w:tc>
        <w:tc>
          <w:tcPr>
            <w:tcW w:w="1420" w:type="dxa"/>
            <w:vAlign w:val="center"/>
          </w:tcPr>
          <w:p>
            <w:pPr>
              <w:jc w:val="right"/>
            </w:pPr>
            <w:r>
              <w:rPr>
                <w:rFonts w:ascii="宋体" w:hAnsi="宋体" w:eastAsia="宋体" w:cs="宋体"/>
                <w:b w:val="0"/>
                <w:i w:val="0"/>
                <w:color w:val="000000"/>
                <w:sz w:val="18"/>
              </w:rPr>
              <w:t>21.13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19.69</w:t>
            </w:r>
          </w:p>
        </w:tc>
        <w:tc>
          <w:tcPr>
            <w:tcW w:w="1420" w:type="dxa"/>
            <w:vAlign w:val="center"/>
          </w:tcPr>
          <w:p>
            <w:pPr>
              <w:jc w:val="right"/>
            </w:pPr>
            <w:r>
              <w:rPr>
                <w:rFonts w:ascii="宋体" w:hAnsi="宋体" w:eastAsia="宋体" w:cs="宋体"/>
                <w:b w:val="0"/>
                <w:i w:val="0"/>
                <w:color w:val="000000"/>
                <w:sz w:val="18"/>
              </w:rPr>
              <w:t>19.69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402.77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402.77</w:t>
            </w:r>
          </w:p>
        </w:tc>
        <w:tc>
          <w:tcPr>
            <w:tcW w:w="1420" w:type="dxa"/>
            <w:vAlign w:val="center"/>
          </w:tcPr>
          <w:p>
            <w:pPr>
              <w:jc w:val="right"/>
            </w:pPr>
            <w:r>
              <w:rPr>
                <w:rFonts w:ascii="宋体" w:hAnsi="宋体" w:eastAsia="宋体" w:cs="宋体"/>
                <w:b w:val="0"/>
                <w:i w:val="0"/>
                <w:color w:val="000000"/>
                <w:sz w:val="18"/>
              </w:rPr>
              <w:t>402.77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402.77</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402.77</w:t>
            </w:r>
          </w:p>
        </w:tc>
        <w:tc>
          <w:tcPr>
            <w:tcW w:w="1420" w:type="dxa"/>
            <w:vAlign w:val="center"/>
          </w:tcPr>
          <w:p>
            <w:pPr>
              <w:jc w:val="right"/>
            </w:pPr>
            <w:r>
              <w:rPr>
                <w:rFonts w:ascii="宋体" w:hAnsi="宋体" w:eastAsia="宋体" w:cs="宋体"/>
                <w:b w:val="0"/>
                <w:i w:val="0"/>
                <w:color w:val="000000"/>
                <w:sz w:val="18"/>
              </w:rPr>
              <w:t>402.77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402.77</w:t>
            </w:r>
          </w:p>
        </w:tc>
        <w:tc>
          <w:tcPr>
            <w:tcW w:w="2700" w:type="dxa"/>
            <w:vAlign w:val="center"/>
          </w:tcPr>
          <w:p>
            <w:pPr>
              <w:jc w:val="right"/>
            </w:pPr>
            <w:r>
              <w:rPr>
                <w:rFonts w:ascii="宋体" w:hAnsi="宋体" w:eastAsia="宋体" w:cs="宋体"/>
                <w:b/>
                <w:i w:val="0"/>
                <w:color w:val="000000"/>
                <w:sz w:val="25"/>
              </w:rPr>
              <w:t>402.48</w:t>
            </w:r>
          </w:p>
        </w:tc>
        <w:tc>
          <w:tcPr>
            <w:tcW w:w="2658" w:type="dxa"/>
            <w:vAlign w:val="center"/>
          </w:tcPr>
          <w:p>
            <w:pPr>
              <w:jc w:val="right"/>
            </w:pPr>
            <w:r>
              <w:rPr>
                <w:rFonts w:ascii="宋体" w:hAnsi="宋体" w:eastAsia="宋体" w:cs="宋体"/>
                <w:b/>
                <w:i w:val="0"/>
                <w:color w:val="000000"/>
                <w:sz w:val="25"/>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15.50</w:t>
            </w:r>
          </w:p>
        </w:tc>
        <w:tc>
          <w:tcPr>
            <w:tcW w:w="2700" w:type="dxa"/>
            <w:vAlign w:val="center"/>
          </w:tcPr>
          <w:p>
            <w:pPr>
              <w:jc w:val="right"/>
            </w:pPr>
            <w:r>
              <w:rPr>
                <w:rFonts w:ascii="宋体" w:hAnsi="宋体" w:eastAsia="宋体" w:cs="宋体"/>
                <w:b w:val="0"/>
                <w:i w:val="0"/>
                <w:color w:val="000000"/>
                <w:sz w:val="25"/>
              </w:rPr>
              <w:t>15.50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1.68</w:t>
            </w:r>
          </w:p>
        </w:tc>
        <w:tc>
          <w:tcPr>
            <w:tcW w:w="2700" w:type="dxa"/>
            <w:vAlign w:val="center"/>
          </w:tcPr>
          <w:p>
            <w:pPr>
              <w:jc w:val="right"/>
            </w:pPr>
            <w:r>
              <w:rPr>
                <w:rFonts w:ascii="宋体" w:hAnsi="宋体" w:eastAsia="宋体" w:cs="宋体"/>
                <w:b w:val="0"/>
                <w:i w:val="0"/>
                <w:color w:val="000000"/>
                <w:sz w:val="25"/>
              </w:rPr>
              <w:t>1.68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1.68</w:t>
            </w:r>
          </w:p>
        </w:tc>
        <w:tc>
          <w:tcPr>
            <w:tcW w:w="2700" w:type="dxa"/>
            <w:vAlign w:val="center"/>
          </w:tcPr>
          <w:p>
            <w:pPr>
              <w:jc w:val="right"/>
            </w:pPr>
            <w:r>
              <w:rPr>
                <w:rFonts w:ascii="宋体" w:hAnsi="宋体" w:eastAsia="宋体" w:cs="宋体"/>
                <w:b w:val="0"/>
                <w:i w:val="0"/>
                <w:color w:val="000000"/>
                <w:sz w:val="25"/>
              </w:rPr>
              <w:t>1.68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13.82</w:t>
            </w:r>
          </w:p>
        </w:tc>
        <w:tc>
          <w:tcPr>
            <w:tcW w:w="2700" w:type="dxa"/>
            <w:vAlign w:val="center"/>
          </w:tcPr>
          <w:p>
            <w:pPr>
              <w:jc w:val="right"/>
            </w:pPr>
            <w:r>
              <w:rPr>
                <w:rFonts w:ascii="宋体" w:hAnsi="宋体" w:eastAsia="宋体" w:cs="宋体"/>
                <w:b w:val="0"/>
                <w:i w:val="0"/>
                <w:color w:val="000000"/>
                <w:sz w:val="25"/>
              </w:rPr>
              <w:t>13.82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13.82</w:t>
            </w:r>
          </w:p>
        </w:tc>
        <w:tc>
          <w:tcPr>
            <w:tcW w:w="2700" w:type="dxa"/>
            <w:vAlign w:val="center"/>
          </w:tcPr>
          <w:p>
            <w:pPr>
              <w:jc w:val="right"/>
            </w:pPr>
            <w:r>
              <w:rPr>
                <w:rFonts w:ascii="宋体" w:hAnsi="宋体" w:eastAsia="宋体" w:cs="宋体"/>
                <w:b w:val="0"/>
                <w:i w:val="0"/>
                <w:color w:val="000000"/>
                <w:sz w:val="25"/>
              </w:rPr>
              <w:t>13.82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346.45</w:t>
            </w:r>
          </w:p>
        </w:tc>
        <w:tc>
          <w:tcPr>
            <w:tcW w:w="2700" w:type="dxa"/>
            <w:vAlign w:val="center"/>
          </w:tcPr>
          <w:p>
            <w:pPr>
              <w:jc w:val="right"/>
            </w:pPr>
            <w:r>
              <w:rPr>
                <w:rFonts w:ascii="宋体" w:hAnsi="宋体" w:eastAsia="宋体" w:cs="宋体"/>
                <w:b w:val="0"/>
                <w:i w:val="0"/>
                <w:color w:val="000000"/>
                <w:sz w:val="25"/>
              </w:rPr>
              <w:t>346.17</w:t>
            </w:r>
          </w:p>
        </w:tc>
        <w:tc>
          <w:tcPr>
            <w:tcW w:w="2658" w:type="dxa"/>
            <w:vAlign w:val="center"/>
          </w:tcPr>
          <w:p>
            <w:pPr>
              <w:jc w:val="right"/>
            </w:pPr>
            <w:r>
              <w:rPr>
                <w:rFonts w:ascii="宋体" w:hAnsi="宋体" w:eastAsia="宋体" w:cs="宋体"/>
                <w:b w:val="0"/>
                <w:i w:val="0"/>
                <w:color w:val="000000"/>
                <w:sz w:val="25"/>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w:t>
            </w:r>
          </w:p>
        </w:tc>
        <w:tc>
          <w:tcPr>
            <w:tcW w:w="4700" w:type="dxa"/>
            <w:vAlign w:val="center"/>
          </w:tcPr>
          <w:p>
            <w:pPr>
              <w:jc w:val="left"/>
            </w:pPr>
            <w:r>
              <w:rPr>
                <w:rFonts w:ascii="宋体" w:hAnsi="宋体" w:eastAsia="宋体" w:cs="宋体"/>
                <w:b w:val="0"/>
                <w:i w:val="0"/>
                <w:color w:val="000000"/>
                <w:sz w:val="25"/>
              </w:rPr>
              <w:t>人力资源和社会保障管理事务</w:t>
            </w:r>
          </w:p>
        </w:tc>
        <w:tc>
          <w:tcPr>
            <w:tcW w:w="2700" w:type="dxa"/>
            <w:vAlign w:val="center"/>
          </w:tcPr>
          <w:p>
            <w:pPr>
              <w:jc w:val="right"/>
            </w:pPr>
            <w:r>
              <w:rPr>
                <w:rFonts w:ascii="宋体" w:hAnsi="宋体" w:eastAsia="宋体" w:cs="宋体"/>
                <w:b w:val="0"/>
                <w:i w:val="0"/>
                <w:color w:val="000000"/>
                <w:sz w:val="25"/>
              </w:rPr>
              <w:t>322.95</w:t>
            </w:r>
          </w:p>
        </w:tc>
        <w:tc>
          <w:tcPr>
            <w:tcW w:w="2700" w:type="dxa"/>
            <w:vAlign w:val="center"/>
          </w:tcPr>
          <w:p>
            <w:pPr>
              <w:jc w:val="right"/>
            </w:pPr>
            <w:r>
              <w:rPr>
                <w:rFonts w:ascii="宋体" w:hAnsi="宋体" w:eastAsia="宋体" w:cs="宋体"/>
                <w:b w:val="0"/>
                <w:i w:val="0"/>
                <w:color w:val="000000"/>
                <w:sz w:val="25"/>
              </w:rPr>
              <w:t>322.95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322.95</w:t>
            </w:r>
          </w:p>
        </w:tc>
        <w:tc>
          <w:tcPr>
            <w:tcW w:w="2700" w:type="dxa"/>
            <w:vAlign w:val="center"/>
          </w:tcPr>
          <w:p>
            <w:pPr>
              <w:jc w:val="right"/>
            </w:pPr>
            <w:r>
              <w:rPr>
                <w:rFonts w:ascii="宋体" w:hAnsi="宋体" w:eastAsia="宋体" w:cs="宋体"/>
                <w:b w:val="0"/>
                <w:i w:val="0"/>
                <w:color w:val="000000"/>
                <w:sz w:val="25"/>
              </w:rPr>
              <w:t>322.95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23.22</w:t>
            </w:r>
          </w:p>
        </w:tc>
        <w:tc>
          <w:tcPr>
            <w:tcW w:w="2700" w:type="dxa"/>
            <w:vAlign w:val="center"/>
          </w:tcPr>
          <w:p>
            <w:pPr>
              <w:jc w:val="right"/>
            </w:pPr>
            <w:r>
              <w:rPr>
                <w:rFonts w:ascii="宋体" w:hAnsi="宋体" w:eastAsia="宋体" w:cs="宋体"/>
                <w:b w:val="0"/>
                <w:i w:val="0"/>
                <w:color w:val="000000"/>
                <w:sz w:val="25"/>
              </w:rPr>
              <w:t>23.22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3.88</w:t>
            </w:r>
          </w:p>
        </w:tc>
        <w:tc>
          <w:tcPr>
            <w:tcW w:w="2700" w:type="dxa"/>
            <w:vAlign w:val="center"/>
          </w:tcPr>
          <w:p>
            <w:pPr>
              <w:jc w:val="right"/>
            </w:pPr>
            <w:r>
              <w:rPr>
                <w:rFonts w:ascii="宋体" w:hAnsi="宋体" w:eastAsia="宋体" w:cs="宋体"/>
                <w:b w:val="0"/>
                <w:i w:val="0"/>
                <w:color w:val="000000"/>
                <w:sz w:val="25"/>
              </w:rPr>
              <w:t>3.88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19.34</w:t>
            </w:r>
          </w:p>
        </w:tc>
        <w:tc>
          <w:tcPr>
            <w:tcW w:w="2700" w:type="dxa"/>
            <w:vAlign w:val="center"/>
          </w:tcPr>
          <w:p>
            <w:pPr>
              <w:jc w:val="right"/>
            </w:pPr>
            <w:r>
              <w:rPr>
                <w:rFonts w:ascii="宋体" w:hAnsi="宋体" w:eastAsia="宋体" w:cs="宋体"/>
                <w:b w:val="0"/>
                <w:i w:val="0"/>
                <w:color w:val="000000"/>
                <w:sz w:val="25"/>
              </w:rPr>
              <w:t>19.34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0.28</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0.28</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21.13</w:t>
            </w:r>
          </w:p>
        </w:tc>
        <w:tc>
          <w:tcPr>
            <w:tcW w:w="2700" w:type="dxa"/>
            <w:vAlign w:val="center"/>
          </w:tcPr>
          <w:p>
            <w:pPr>
              <w:jc w:val="right"/>
            </w:pPr>
            <w:r>
              <w:rPr>
                <w:rFonts w:ascii="宋体" w:hAnsi="宋体" w:eastAsia="宋体" w:cs="宋体"/>
                <w:b w:val="0"/>
                <w:i w:val="0"/>
                <w:color w:val="000000"/>
                <w:sz w:val="25"/>
              </w:rPr>
              <w:t>21.13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21.13</w:t>
            </w:r>
          </w:p>
        </w:tc>
        <w:tc>
          <w:tcPr>
            <w:tcW w:w="2700" w:type="dxa"/>
            <w:vAlign w:val="center"/>
          </w:tcPr>
          <w:p>
            <w:pPr>
              <w:jc w:val="right"/>
            </w:pPr>
            <w:r>
              <w:rPr>
                <w:rFonts w:ascii="宋体" w:hAnsi="宋体" w:eastAsia="宋体" w:cs="宋体"/>
                <w:b w:val="0"/>
                <w:i w:val="0"/>
                <w:color w:val="000000"/>
                <w:sz w:val="25"/>
              </w:rPr>
              <w:t>21.13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10.34</w:t>
            </w:r>
          </w:p>
        </w:tc>
        <w:tc>
          <w:tcPr>
            <w:tcW w:w="2700" w:type="dxa"/>
            <w:vAlign w:val="center"/>
          </w:tcPr>
          <w:p>
            <w:pPr>
              <w:jc w:val="right"/>
            </w:pPr>
            <w:r>
              <w:rPr>
                <w:rFonts w:ascii="宋体" w:hAnsi="宋体" w:eastAsia="宋体" w:cs="宋体"/>
                <w:b w:val="0"/>
                <w:i w:val="0"/>
                <w:color w:val="000000"/>
                <w:sz w:val="25"/>
              </w:rPr>
              <w:t>10.34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10.79</w:t>
            </w:r>
          </w:p>
        </w:tc>
        <w:tc>
          <w:tcPr>
            <w:tcW w:w="2700" w:type="dxa"/>
            <w:vAlign w:val="center"/>
          </w:tcPr>
          <w:p>
            <w:pPr>
              <w:jc w:val="right"/>
            </w:pPr>
            <w:r>
              <w:rPr>
                <w:rFonts w:ascii="宋体" w:hAnsi="宋体" w:eastAsia="宋体" w:cs="宋体"/>
                <w:b w:val="0"/>
                <w:i w:val="0"/>
                <w:color w:val="000000"/>
                <w:sz w:val="25"/>
              </w:rPr>
              <w:t>10.79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19.69</w:t>
            </w:r>
          </w:p>
        </w:tc>
        <w:tc>
          <w:tcPr>
            <w:tcW w:w="2700" w:type="dxa"/>
            <w:vAlign w:val="center"/>
          </w:tcPr>
          <w:p>
            <w:pPr>
              <w:jc w:val="right"/>
            </w:pPr>
            <w:r>
              <w:rPr>
                <w:rFonts w:ascii="宋体" w:hAnsi="宋体" w:eastAsia="宋体" w:cs="宋体"/>
                <w:b w:val="0"/>
                <w:i w:val="0"/>
                <w:color w:val="000000"/>
                <w:sz w:val="25"/>
              </w:rPr>
              <w:t>19.69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19.69</w:t>
            </w:r>
          </w:p>
        </w:tc>
        <w:tc>
          <w:tcPr>
            <w:tcW w:w="2700" w:type="dxa"/>
            <w:vAlign w:val="center"/>
          </w:tcPr>
          <w:p>
            <w:pPr>
              <w:jc w:val="right"/>
            </w:pPr>
            <w:r>
              <w:rPr>
                <w:rFonts w:ascii="宋体" w:hAnsi="宋体" w:eastAsia="宋体" w:cs="宋体"/>
                <w:b w:val="0"/>
                <w:i w:val="0"/>
                <w:color w:val="000000"/>
                <w:sz w:val="25"/>
              </w:rPr>
              <w:t>19.69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19.69</w:t>
            </w:r>
          </w:p>
        </w:tc>
        <w:tc>
          <w:tcPr>
            <w:tcW w:w="2700" w:type="dxa"/>
            <w:vAlign w:val="center"/>
          </w:tcPr>
          <w:p>
            <w:pPr>
              <w:jc w:val="right"/>
            </w:pPr>
            <w:r>
              <w:rPr>
                <w:rFonts w:ascii="宋体" w:hAnsi="宋体" w:eastAsia="宋体" w:cs="宋体"/>
                <w:b w:val="0"/>
                <w:i w:val="0"/>
                <w:color w:val="000000"/>
                <w:sz w:val="25"/>
              </w:rPr>
              <w:t>19.69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363.66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33.34</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82.66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6.18</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146.15</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3.71</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74.02</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20.10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0.51</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9.81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10.90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0.32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1.76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19.69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0.55</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3.88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3.88</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1.68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15.98</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0.97</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367.54</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34.94</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单位：许昌市劳动保障监察支队</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2023年度收、支总计均为402.77万元。与上年度相比，收、支总计各增加59.55万元，增长17.35%。主要原因是2023年工资改革，基础绩效纳入月工资；2022年度部分按年发放项目在2023年进行了发放。</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402.77万元，其中：财政拨款收入402.77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2023年度支出合计402.77万元，其中：基本支出402.48万元，占99.93%；项目支出0.28万元，占0.07%；上缴上级支出0.00万元，占0.00%；经营支出0.00万元，占0.00%；对附属单位补助支出0.00万元，占0.00%。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2023年度财政拨款收、支总计均为402.77万元。与上年度相比，财政拨款收、支总计各增加59.55万元，增长17.35%。主要原因是2023年工资改革，基础绩效纳入月工资；2022年度部分按年发放项目在2023年进行了发放。</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402.77万元，占支出合计的100.00%。与上年度相比，一般公共预算财政拨款支出增加59.55万元，增长17.35%。主要原因是2023年工资改革，基础绩效纳入月工资；2022年度部分按年发放项目在2023年进行了发放。</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402.77万元，主要用于以下方面：一般公共服务支出（类）15.50万元，占3.85%；社会保障和就业支出（类）346.45万元，占86.02%；卫生健康支出（类）21.13万元，占5.25%；住房保障支出（类）19.69万元，占4.89%。</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2023年度一般公共预算财政拨款支出年初预算为356.15万元，支出决算为402.77万元，完成年初预算的113.09%。其中：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年初预算数为1.68万元，决算数1.68万元,完成年初预算的100.00%，决算数与年初预算数不存在差异。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年初预算数为0.00万元，决算数13.82万元,决算数与年初预算数存在差异的主要原因是2021年度平安建设奖在2023年进行了发放，未列入年初预算。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3.社会保障和就业支出（类）人力资源和社会保障管理事务（款）行政运行（项）</w:t>
      </w:r>
      <w:r>
        <w:rPr>
          <w:rFonts w:hint="default" w:ascii="仿宋" w:hAnsi="仿宋" w:eastAsia="仿宋" w:cs="仿宋"/>
          <w:kern w:val="2"/>
          <w:sz w:val="32"/>
          <w:szCs w:val="32"/>
          <w:lang w:val="en-US" w:eastAsia="zh-CN"/>
        </w:rPr>
        <w:t>年初预算数为292.09万元，决算数322.95万元,完成年初预算的110.57%，决算数与年初预算数存在差异的主要原因是2023年工资改革，基础绩效纳入月工资。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2"/>
          <w:sz w:val="32"/>
          <w:szCs w:val="32"/>
          <w:lang w:val="en-US" w:eastAsia="zh-CN"/>
        </w:rPr>
        <w:t>年初预算数为3.21万元，决算数3.88万元,完成年初预算的120.87%，决算数与年初预算数存在差异的主要原因是2023年工资改革，退休人员基础绩效纳入月发放补贴。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年初预算数为19.34万元，决算数19.34万元,完成年初预算的100.00%，决算数与年初预算数不存在差异。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6.社会保障和就业支出（类）就业补助（款）其他就业补助支出（项）</w:t>
      </w:r>
      <w:r>
        <w:rPr>
          <w:rFonts w:hint="default" w:ascii="仿宋" w:hAnsi="仿宋" w:eastAsia="仿宋" w:cs="仿宋"/>
          <w:kern w:val="2"/>
          <w:sz w:val="32"/>
          <w:szCs w:val="32"/>
          <w:lang w:val="en-US" w:eastAsia="zh-CN"/>
        </w:rPr>
        <w:t>年初预算数为0.00万元，决算数0.28万元,决算数与年初预算数存在差异的主要原因是从2023年12月开始，公益性岗工资、社保由各单位支付。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年初预算数为10.34万元，决算数10.34万元,完成年初预算的100.00%，决算数与年初预算数不存在差异。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年初预算数为9.84万元，决算数10.79万元,完成年初预算的109.65%，决算数与年初预算数存在差异的主要原因是2023年职工医保上涨，导致公务员医疗补助支出增加。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年初预算数为19.69万元，决算数19.69万元,完成年初预算的100.00%，决算数与年初预算数不存在差异。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402.48万元。其中：人员经费367.54万元，主要包括：基本工资、津贴补贴、奖金、机关事业单位基本养老保险缴费、职工基本医疗保险缴费、公务员医疗补助缴费、其他社会保障缴费、住房公积金、退休费。公用经费34.94万元，主要包括：办公费、印刷费、邮电费、差旅费、维修（护）费、工会经费、福利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2023年度机关运行经费支出34.94万元，较2022年度增长2.77万元，增长8.61%，主要原因是2023年先后完成国家、河南省保障农民工工资支付考核，期间宣传、督导及差旅支出增加。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涉及预算资金402.77万元。自评得分为91.8分，等级为“优”。从单位整体自评情况来看，我单位根据财政预算管理要求，绩效目标设置合理，严格按各项管理制度执行，年初设定的各项工作目标完成情况较好。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基于项目预期目标的实现程度，我单位对2023年度单位预算项目支出（含单位参与分配的转移支付项目）开展绩效自评，涉及项目1个，项目金额0.28万元。其中：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2023年12月，我单位公益性岗的工资、社保由各市财政直接拨付至单位项目支出类，实际年初制定未制定项目。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从项目绩效自评情况来看，根据工作实际，我单位没有项目需要开展项目绩效评价。</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377"/>
        <w:gridCol w:w="377"/>
        <w:gridCol w:w="1116"/>
        <w:gridCol w:w="1660"/>
        <w:gridCol w:w="1186"/>
        <w:gridCol w:w="2079"/>
        <w:gridCol w:w="795"/>
        <w:gridCol w:w="670"/>
        <w:gridCol w:w="670"/>
        <w:gridCol w:w="977"/>
      </w:tblGrid>
      <w:tr>
        <w:tblPrEx>
          <w:tblCellMar>
            <w:top w:w="0" w:type="dxa"/>
            <w:left w:w="20" w:type="dxa"/>
            <w:bottom w:w="0" w:type="dxa"/>
            <w:right w:w="20" w:type="dxa"/>
          </w:tblCellMar>
        </w:tblPrEx>
        <w:trPr>
          <w:trHeight w:val="211" w:hRule="exact"/>
          <w:jc w:val="center"/>
        </w:trPr>
        <w:tc>
          <w:tcPr>
            <w:tcW w:w="377" w:type="dxa"/>
            <w:shd w:val="clear" w:color="auto" w:fill="auto"/>
            <w:vAlign w:val="bottom"/>
          </w:tcPr>
          <w:p>
            <w:pPr>
              <w:snapToGrid w:val="0"/>
              <w:spacing w:before="0" w:beforeAutospacing="0" w:after="0" w:afterAutospacing="0" w:line="240" w:lineRule="auto"/>
            </w:pPr>
            <w:r>
              <w:rPr>
                <w:rFonts w:ascii="黑体" w:hAnsi="黑体" w:eastAsia="黑体" w:cs="黑体"/>
                <w:b w:val="0"/>
                <w:i w:val="0"/>
                <w:color w:val="000000"/>
                <w:sz w:val="15"/>
              </w:rPr>
              <w:t>附件2</w:t>
            </w:r>
          </w:p>
        </w:tc>
        <w:tc>
          <w:tcPr>
            <w:tcW w:w="377" w:type="dxa"/>
            <w:shd w:val="clear" w:color="auto" w:fill="auto"/>
            <w:vAlign w:val="bottom"/>
          </w:tcPr>
          <w:p>
            <w:pPr>
              <w:snapToGrid w:val="0"/>
              <w:spacing w:before="0" w:beforeAutospacing="0" w:after="0" w:afterAutospacing="0" w:line="240" w:lineRule="auto"/>
            </w:pPr>
          </w:p>
        </w:tc>
        <w:tc>
          <w:tcPr>
            <w:tcW w:w="1116" w:type="dxa"/>
            <w:shd w:val="clear" w:color="auto" w:fill="auto"/>
            <w:vAlign w:val="bottom"/>
          </w:tcPr>
          <w:p>
            <w:pPr>
              <w:snapToGrid w:val="0"/>
              <w:spacing w:before="0" w:beforeAutospacing="0" w:after="0" w:afterAutospacing="0" w:line="240" w:lineRule="auto"/>
            </w:pPr>
          </w:p>
        </w:tc>
        <w:tc>
          <w:tcPr>
            <w:tcW w:w="1660" w:type="dxa"/>
            <w:shd w:val="clear" w:color="auto" w:fill="auto"/>
            <w:vAlign w:val="bottom"/>
          </w:tcPr>
          <w:p>
            <w:pPr>
              <w:snapToGrid w:val="0"/>
              <w:spacing w:before="0" w:beforeAutospacing="0" w:after="0" w:afterAutospacing="0" w:line="240" w:lineRule="auto"/>
            </w:pPr>
          </w:p>
        </w:tc>
        <w:tc>
          <w:tcPr>
            <w:tcW w:w="1186" w:type="dxa"/>
            <w:shd w:val="clear" w:color="auto" w:fill="auto"/>
            <w:vAlign w:val="bottom"/>
          </w:tcPr>
          <w:p>
            <w:pPr>
              <w:snapToGrid w:val="0"/>
              <w:spacing w:before="0" w:beforeAutospacing="0" w:after="0" w:afterAutospacing="0" w:line="240" w:lineRule="auto"/>
            </w:pPr>
          </w:p>
        </w:tc>
        <w:tc>
          <w:tcPr>
            <w:tcW w:w="2079" w:type="dxa"/>
            <w:shd w:val="clear" w:color="auto" w:fill="auto"/>
            <w:vAlign w:val="bottom"/>
          </w:tcPr>
          <w:p>
            <w:pPr>
              <w:snapToGrid w:val="0"/>
              <w:spacing w:before="0" w:beforeAutospacing="0" w:after="0" w:afterAutospacing="0" w:line="240" w:lineRule="auto"/>
            </w:pPr>
          </w:p>
        </w:tc>
        <w:tc>
          <w:tcPr>
            <w:tcW w:w="795" w:type="dxa"/>
            <w:shd w:val="clear" w:color="auto" w:fill="auto"/>
            <w:vAlign w:val="bottom"/>
          </w:tcPr>
          <w:p>
            <w:pPr>
              <w:snapToGrid w:val="0"/>
              <w:spacing w:before="0" w:beforeAutospacing="0" w:after="0" w:afterAutospacing="0" w:line="240" w:lineRule="auto"/>
            </w:pPr>
          </w:p>
        </w:tc>
        <w:tc>
          <w:tcPr>
            <w:tcW w:w="670" w:type="dxa"/>
            <w:shd w:val="clear" w:color="auto" w:fill="auto"/>
            <w:vAlign w:val="bottom"/>
          </w:tcPr>
          <w:p>
            <w:pPr>
              <w:snapToGrid w:val="0"/>
              <w:spacing w:before="0" w:beforeAutospacing="0" w:after="0" w:afterAutospacing="0" w:line="240" w:lineRule="auto"/>
            </w:pPr>
          </w:p>
        </w:tc>
        <w:tc>
          <w:tcPr>
            <w:tcW w:w="670" w:type="dxa"/>
            <w:shd w:val="clear" w:color="auto" w:fill="auto"/>
            <w:vAlign w:val="bottom"/>
          </w:tcPr>
          <w:p>
            <w:pPr>
              <w:snapToGrid w:val="0"/>
              <w:spacing w:before="0" w:beforeAutospacing="0" w:after="0" w:afterAutospacing="0" w:line="240" w:lineRule="auto"/>
            </w:pPr>
          </w:p>
        </w:tc>
        <w:tc>
          <w:tcPr>
            <w:tcW w:w="977" w:type="dxa"/>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53" w:hRule="exact"/>
          <w:jc w:val="center"/>
        </w:trPr>
        <w:tc>
          <w:tcPr>
            <w:tcW w:w="9907" w:type="dxa"/>
            <w:gridSpan w:val="10"/>
            <w:shd w:val="clear" w:color="auto" w:fill="auto"/>
            <w:vAlign w:val="bottom"/>
          </w:tcPr>
          <w:p>
            <w:pPr>
              <w:snapToGrid w:val="0"/>
              <w:spacing w:before="0" w:beforeAutospacing="0" w:after="0" w:afterAutospacing="0" w:line="240" w:lineRule="auto"/>
              <w:jc w:val="center"/>
            </w:pPr>
            <w:r>
              <w:rPr>
                <w:rFonts w:ascii="Calibri" w:hAnsi="Calibri" w:eastAsia="Calibri" w:cs="Calibri"/>
                <w:b/>
                <w:i w:val="0"/>
                <w:color w:val="000000"/>
                <w:sz w:val="23"/>
              </w:rPr>
              <w:t>部门整体自评表</w:t>
            </w:r>
          </w:p>
        </w:tc>
      </w:tr>
      <w:tr>
        <w:tblPrEx>
          <w:tblCellMar>
            <w:top w:w="0" w:type="dxa"/>
            <w:left w:w="20" w:type="dxa"/>
            <w:bottom w:w="0" w:type="dxa"/>
            <w:right w:w="20" w:type="dxa"/>
          </w:tblCellMar>
        </w:tblPrEx>
        <w:trPr>
          <w:trHeight w:val="222" w:hRule="exact"/>
          <w:jc w:val="center"/>
        </w:trPr>
        <w:tc>
          <w:tcPr>
            <w:tcW w:w="9907" w:type="dxa"/>
            <w:gridSpan w:val="10"/>
            <w:shd w:val="clear" w:color="auto" w:fill="auto"/>
            <w:vAlign w:val="bottom"/>
          </w:tcPr>
          <w:p>
            <w:pPr>
              <w:snapToGrid w:val="0"/>
              <w:spacing w:before="0" w:beforeAutospacing="0" w:after="0" w:afterAutospacing="0" w:line="240" w:lineRule="auto"/>
              <w:jc w:val="center"/>
            </w:pPr>
            <w:r>
              <w:rPr>
                <w:rFonts w:ascii="Calibri" w:hAnsi="Calibri" w:eastAsia="Calibri" w:cs="Calibri"/>
                <w:b w:val="0"/>
                <w:i w:val="0"/>
                <w:color w:val="000000"/>
                <w:sz w:val="15"/>
              </w:rPr>
              <w:t>（   2023  年度）</w:t>
            </w:r>
          </w:p>
        </w:tc>
      </w:tr>
      <w:tr>
        <w:tblPrEx>
          <w:tblCellMar>
            <w:top w:w="0" w:type="dxa"/>
            <w:left w:w="20" w:type="dxa"/>
            <w:bottom w:w="0" w:type="dxa"/>
            <w:right w:w="20" w:type="dxa"/>
          </w:tblCellMar>
        </w:tblPrEx>
        <w:trPr>
          <w:trHeight w:val="211" w:hRule="exact"/>
          <w:jc w:val="center"/>
        </w:trPr>
        <w:tc>
          <w:tcPr>
            <w:tcW w:w="377" w:type="dxa"/>
            <w:tcBorders>
              <w:bottom w:val="single" w:color="000000" w:sz="4" w:space="0"/>
            </w:tcBorders>
            <w:shd w:val="clear" w:color="auto" w:fill="auto"/>
            <w:vAlign w:val="bottom"/>
          </w:tcPr>
          <w:p>
            <w:pPr>
              <w:snapToGrid w:val="0"/>
              <w:spacing w:before="0" w:beforeAutospacing="0" w:after="0" w:afterAutospacing="0" w:line="240" w:lineRule="auto"/>
            </w:pPr>
            <w:r>
              <w:rPr>
                <w:rFonts w:ascii="Calibri" w:hAnsi="Calibri" w:eastAsia="Calibri" w:cs="Calibri"/>
                <w:b w:val="0"/>
                <w:i w:val="0"/>
                <w:color w:val="000000"/>
                <w:sz w:val="13"/>
              </w:rPr>
              <w:t xml:space="preserve">             </w:t>
            </w:r>
          </w:p>
        </w:tc>
        <w:tc>
          <w:tcPr>
            <w:tcW w:w="377"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1116"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1660"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1186"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2079" w:type="dxa"/>
            <w:tcBorders>
              <w:bottom w:val="single" w:color="000000" w:sz="4" w:space="0"/>
            </w:tcBorders>
            <w:shd w:val="clear" w:color="auto" w:fill="auto"/>
            <w:vAlign w:val="bottom"/>
          </w:tcPr>
          <w:p>
            <w:pPr>
              <w:snapToGrid w:val="0"/>
              <w:spacing w:before="0" w:beforeAutospacing="0" w:after="0" w:afterAutospacing="0" w:line="240" w:lineRule="auto"/>
            </w:pPr>
          </w:p>
        </w:tc>
        <w:tc>
          <w:tcPr>
            <w:tcW w:w="1465" w:type="dxa"/>
            <w:gridSpan w:val="2"/>
            <w:tcBorders>
              <w:bottom w:val="single" w:color="000000" w:sz="4" w:space="0"/>
            </w:tcBorders>
            <w:shd w:val="clear" w:color="auto" w:fill="auto"/>
            <w:vAlign w:val="bottom"/>
          </w:tcPr>
          <w:p>
            <w:pPr>
              <w:snapToGrid w:val="0"/>
              <w:spacing w:before="0" w:beforeAutospacing="0" w:after="0" w:afterAutospacing="0" w:line="240" w:lineRule="auto"/>
              <w:jc w:val="right"/>
            </w:pPr>
            <w:r>
              <w:rPr>
                <w:rFonts w:ascii="Calibri" w:hAnsi="Calibri" w:eastAsia="Calibri" w:cs="Calibri"/>
                <w:b w:val="0"/>
                <w:i w:val="0"/>
                <w:color w:val="000000"/>
                <w:sz w:val="13"/>
              </w:rPr>
              <w:t>填表人及联系方式：</w:t>
            </w:r>
          </w:p>
        </w:tc>
        <w:tc>
          <w:tcPr>
            <w:tcW w:w="1647" w:type="dxa"/>
            <w:gridSpan w:val="2"/>
            <w:tcBorders>
              <w:bottom w:val="single" w:color="000000" w:sz="4" w:space="0"/>
            </w:tcBorders>
            <w:shd w:val="clear" w:color="auto" w:fill="auto"/>
            <w:vAlign w:val="bottom"/>
          </w:tcPr>
          <w:p>
            <w:pPr>
              <w:snapToGrid w:val="0"/>
              <w:spacing w:before="0" w:beforeAutospacing="0" w:after="0" w:afterAutospacing="0" w:line="240" w:lineRule="auto"/>
              <w:jc w:val="center"/>
            </w:pPr>
            <w:r>
              <w:rPr>
                <w:rFonts w:ascii="Calibri" w:hAnsi="Calibri" w:eastAsia="Calibri" w:cs="Calibri"/>
                <w:b w:val="0"/>
                <w:i w:val="0"/>
                <w:color w:val="000000"/>
                <w:sz w:val="13"/>
              </w:rPr>
              <w:t>刘秀芬  2622636</w:t>
            </w:r>
          </w:p>
        </w:tc>
      </w:tr>
      <w:tr>
        <w:tblPrEx>
          <w:tblCellMar>
            <w:top w:w="0" w:type="dxa"/>
            <w:left w:w="20" w:type="dxa"/>
            <w:bottom w:w="0" w:type="dxa"/>
            <w:right w:w="20" w:type="dxa"/>
          </w:tblCellMar>
        </w:tblPrEx>
        <w:trPr>
          <w:trHeight w:val="232" w:hRule="exact"/>
          <w:jc w:val="center"/>
        </w:trPr>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部门（单位）名称</w:t>
            </w:r>
          </w:p>
        </w:tc>
        <w:tc>
          <w:tcPr>
            <w:tcW w:w="8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许昌市劳动保障监察支队</w:t>
            </w:r>
          </w:p>
        </w:tc>
      </w:tr>
      <w:tr>
        <w:tblPrEx>
          <w:tblCellMar>
            <w:top w:w="0" w:type="dxa"/>
            <w:left w:w="20" w:type="dxa"/>
            <w:bottom w:w="0" w:type="dxa"/>
            <w:right w:w="20" w:type="dxa"/>
          </w:tblCellMar>
        </w:tblPrEx>
        <w:trPr>
          <w:trHeight w:val="232" w:hRule="exact"/>
          <w:jc w:val="center"/>
        </w:trPr>
        <w:tc>
          <w:tcPr>
            <w:tcW w:w="754" w:type="dxa"/>
            <w:gridSpan w:val="2"/>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预算</w:t>
            </w:r>
          </w:p>
          <w:p>
            <w:pPr>
              <w:snapToGrid w:val="0"/>
              <w:spacing w:before="0" w:beforeAutospacing="0" w:after="0" w:afterAutospacing="0" w:line="240" w:lineRule="auto"/>
              <w:jc w:val="center"/>
            </w:pPr>
            <w:r>
              <w:rPr>
                <w:rFonts w:ascii="Calibri" w:hAnsi="Calibri" w:eastAsia="Calibri" w:cs="Calibri"/>
                <w:b w:val="0"/>
                <w:i w:val="0"/>
                <w:color w:val="000000"/>
                <w:sz w:val="13"/>
              </w:rPr>
              <w:t>执行</w:t>
            </w:r>
          </w:p>
          <w:p>
            <w:pPr>
              <w:snapToGrid w:val="0"/>
              <w:spacing w:before="0" w:beforeAutospacing="0" w:after="0" w:afterAutospacing="0" w:line="240" w:lineRule="auto"/>
              <w:jc w:val="center"/>
            </w:pPr>
            <w:r>
              <w:rPr>
                <w:rFonts w:ascii="Calibri" w:hAnsi="Calibri" w:eastAsia="Calibri" w:cs="Calibri"/>
                <w:b w:val="0"/>
                <w:i w:val="0"/>
                <w:color w:val="000000"/>
                <w:sz w:val="13"/>
              </w:rPr>
              <w:t>情况</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3"/>
              </w:rPr>
              <w:t>年初数</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3"/>
              </w:rPr>
              <w:t>全年数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全年执行数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分值</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预算执行率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得分</w:t>
            </w:r>
          </w:p>
        </w:tc>
      </w:tr>
      <w:tr>
        <w:tblPrEx>
          <w:tblCellMar>
            <w:top w:w="0" w:type="dxa"/>
            <w:left w:w="20" w:type="dxa"/>
            <w:bottom w:w="0" w:type="dxa"/>
            <w:right w:w="20" w:type="dxa"/>
          </w:tblCellMar>
        </w:tblPrEx>
        <w:trPr>
          <w:trHeight w:val="232" w:hRule="exact"/>
          <w:jc w:val="center"/>
        </w:trPr>
        <w:tc>
          <w:tcPr>
            <w:tcW w:w="754"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部门预算总额</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356.15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356.15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 w:hAnsi="仿宋" w:eastAsia="仿宋" w:cs="仿宋"/>
                <w:b w:val="0"/>
                <w:i w:val="0"/>
                <w:color w:val="000000"/>
                <w:sz w:val="13"/>
              </w:rPr>
              <w:t>402.77</w:t>
            </w:r>
          </w:p>
        </w:tc>
        <w:tc>
          <w:tcPr>
            <w:tcW w:w="67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eastAsia="仿宋_GB2312"/>
                <w:lang w:val="en-US" w:eastAsia="zh-CN"/>
              </w:rPr>
            </w:pPr>
            <w:r>
              <w:rPr>
                <w:rFonts w:hint="eastAsia" w:ascii="Calibri" w:hAnsi="Calibri" w:eastAsia="宋体" w:cs="Calibri"/>
                <w:b w:val="0"/>
                <w:i w:val="0"/>
                <w:color w:val="000000"/>
                <w:sz w:val="13"/>
                <w:lang w:val="en-US" w:eastAsia="zh-CN"/>
              </w:rPr>
              <w:t>113.09%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10</w:t>
            </w:r>
          </w:p>
        </w:tc>
      </w:tr>
      <w:tr>
        <w:tblPrEx>
          <w:tblCellMar>
            <w:top w:w="0" w:type="dxa"/>
            <w:left w:w="20" w:type="dxa"/>
            <w:bottom w:w="0" w:type="dxa"/>
            <w:right w:w="20" w:type="dxa"/>
          </w:tblCellMar>
        </w:tblPrEx>
        <w:trPr>
          <w:trHeight w:val="232" w:hRule="exact"/>
          <w:jc w:val="center"/>
        </w:trPr>
        <w:tc>
          <w:tcPr>
            <w:tcW w:w="754"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资金来源</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基本支出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5"/>
              </w:rPr>
              <w:t>356.15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5"/>
              </w:rPr>
              <w:t>356.15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 w:hAnsi="仿宋" w:eastAsia="仿宋" w:cs="仿宋"/>
                <w:b w:val="0"/>
                <w:i w:val="0"/>
                <w:color w:val="000000"/>
                <w:sz w:val="13"/>
              </w:rPr>
              <w:t>402.49</w:t>
            </w:r>
          </w:p>
        </w:tc>
        <w:tc>
          <w:tcPr>
            <w:tcW w:w="670"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eastAsia="仿宋_GB2312"/>
                <w:lang w:val="en-US" w:eastAsia="zh-CN"/>
              </w:rPr>
            </w:pPr>
            <w:r>
              <w:rPr>
                <w:rFonts w:hint="eastAsia" w:ascii="Calibri" w:hAnsi="Calibri" w:eastAsia="宋体" w:cs="Calibri"/>
                <w:b w:val="0"/>
                <w:i w:val="0"/>
                <w:color w:val="000000"/>
                <w:sz w:val="13"/>
                <w:lang w:val="en-US" w:eastAsia="zh-CN"/>
              </w:rPr>
              <w:t>113.01%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w:t>
            </w:r>
          </w:p>
        </w:tc>
      </w:tr>
      <w:tr>
        <w:tblPrEx>
          <w:tblCellMar>
            <w:top w:w="0" w:type="dxa"/>
            <w:left w:w="20" w:type="dxa"/>
            <w:bottom w:w="0" w:type="dxa"/>
            <w:right w:w="20" w:type="dxa"/>
          </w:tblCellMar>
        </w:tblPrEx>
        <w:trPr>
          <w:trHeight w:val="232" w:hRule="exact"/>
          <w:jc w:val="center"/>
        </w:trPr>
        <w:tc>
          <w:tcPr>
            <w:tcW w:w="754"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项目支出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0.28</w:t>
            </w:r>
          </w:p>
        </w:tc>
        <w:tc>
          <w:tcPr>
            <w:tcW w:w="67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=G9/F9</w:t>
            </w:r>
            <w:bookmarkStart w:id="0" w:name="_GoBack"/>
            <w:bookmarkEnd w:id="0"/>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w:t>
            </w:r>
          </w:p>
        </w:tc>
      </w:tr>
      <w:tr>
        <w:tblPrEx>
          <w:tblCellMar>
            <w:top w:w="0" w:type="dxa"/>
            <w:left w:w="20" w:type="dxa"/>
            <w:bottom w:w="0" w:type="dxa"/>
            <w:right w:w="20" w:type="dxa"/>
          </w:tblCellMar>
        </w:tblPrEx>
        <w:trPr>
          <w:trHeight w:val="274" w:hRule="exact"/>
          <w:jc w:val="center"/>
        </w:trPr>
        <w:tc>
          <w:tcPr>
            <w:tcW w:w="754" w:type="dxa"/>
            <w:gridSpan w:val="2"/>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年度</w:t>
            </w:r>
          </w:p>
          <w:p>
            <w:pPr>
              <w:snapToGrid w:val="0"/>
              <w:spacing w:before="0" w:beforeAutospacing="0" w:after="0" w:afterAutospacing="0" w:line="240" w:lineRule="auto"/>
              <w:jc w:val="center"/>
            </w:pPr>
            <w:r>
              <w:rPr>
                <w:rFonts w:ascii="Calibri" w:hAnsi="Calibri" w:eastAsia="Calibri" w:cs="Calibri"/>
                <w:b w:val="0"/>
                <w:i w:val="0"/>
                <w:color w:val="000000"/>
                <w:sz w:val="13"/>
              </w:rPr>
              <w:t>总体</w:t>
            </w:r>
          </w:p>
          <w:p>
            <w:pPr>
              <w:snapToGrid w:val="0"/>
              <w:spacing w:before="0" w:beforeAutospacing="0" w:after="0" w:afterAutospacing="0" w:line="240" w:lineRule="auto"/>
              <w:jc w:val="center"/>
            </w:pPr>
            <w:r>
              <w:rPr>
                <w:rFonts w:ascii="Calibri" w:hAnsi="Calibri" w:eastAsia="Calibri" w:cs="Calibri"/>
                <w:b w:val="0"/>
                <w:i w:val="0"/>
                <w:color w:val="000000"/>
                <w:sz w:val="13"/>
              </w:rPr>
              <w:t>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预期目标</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实际完成情况</w:t>
            </w:r>
          </w:p>
        </w:tc>
      </w:tr>
      <w:tr>
        <w:tblPrEx>
          <w:tblCellMar>
            <w:top w:w="0" w:type="dxa"/>
            <w:left w:w="20" w:type="dxa"/>
            <w:bottom w:w="0" w:type="dxa"/>
            <w:right w:w="20" w:type="dxa"/>
          </w:tblCellMar>
        </w:tblPrEx>
        <w:trPr>
          <w:trHeight w:val="274" w:hRule="exact"/>
          <w:jc w:val="center"/>
        </w:trPr>
        <w:tc>
          <w:tcPr>
            <w:tcW w:w="754"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3"/>
              </w:rPr>
              <w:t>目标名称</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 xml:space="preserve">主要内容 </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目标完成情况</w:t>
            </w:r>
          </w:p>
        </w:tc>
      </w:tr>
      <w:tr>
        <w:tblPrEx>
          <w:tblCellMar>
            <w:top w:w="0" w:type="dxa"/>
            <w:left w:w="20" w:type="dxa"/>
            <w:bottom w:w="0" w:type="dxa"/>
            <w:right w:w="20" w:type="dxa"/>
          </w:tblCellMar>
        </w:tblPrEx>
        <w:trPr>
          <w:trHeight w:val="274" w:hRule="exact"/>
          <w:jc w:val="center"/>
        </w:trPr>
        <w:tc>
          <w:tcPr>
            <w:tcW w:w="754"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0"/>
              </w:rPr>
              <w:t>目标1：劳动欠薪法定时间结案率100%</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对于全年内接受举报投诉案件立案的，法定时间内结案</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已完成</w:t>
            </w:r>
          </w:p>
        </w:tc>
      </w:tr>
      <w:tr>
        <w:tblPrEx>
          <w:tblCellMar>
            <w:top w:w="0" w:type="dxa"/>
            <w:left w:w="20" w:type="dxa"/>
            <w:bottom w:w="0" w:type="dxa"/>
            <w:right w:w="20" w:type="dxa"/>
          </w:tblCellMar>
        </w:tblPrEx>
        <w:trPr>
          <w:trHeight w:val="274" w:hRule="exact"/>
          <w:jc w:val="center"/>
        </w:trPr>
        <w:tc>
          <w:tcPr>
            <w:tcW w:w="754"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目标2：完成年度计划安排各类检查</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劳动力市场专项检查、保障农民工工资支付监察、女职工产假等权益专项检查等。</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已完成</w:t>
            </w:r>
          </w:p>
        </w:tc>
      </w:tr>
      <w:tr>
        <w:tblPrEx>
          <w:tblCellMar>
            <w:top w:w="0" w:type="dxa"/>
            <w:left w:w="20" w:type="dxa"/>
            <w:bottom w:w="0" w:type="dxa"/>
            <w:right w:w="20" w:type="dxa"/>
          </w:tblCellMar>
        </w:tblPrEx>
        <w:trPr>
          <w:trHeight w:val="317" w:hRule="exact"/>
          <w:jc w:val="center"/>
        </w:trPr>
        <w:tc>
          <w:tcPr>
            <w:tcW w:w="754"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任务3：发布6期劳动用工诚信“红黑榜”工作</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每两个月收集一次养老保险、医疗保险、失业保险、劳动保障监察、人力资源市场科等部门意见，汇总形成劳动用工诚信“红名单”和“黑名单”，向社会公开发布。</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已完成</w:t>
            </w:r>
          </w:p>
        </w:tc>
      </w:tr>
      <w:tr>
        <w:tblPrEx>
          <w:tblCellMar>
            <w:top w:w="0" w:type="dxa"/>
            <w:left w:w="20" w:type="dxa"/>
            <w:bottom w:w="0" w:type="dxa"/>
            <w:right w:w="20" w:type="dxa"/>
          </w:tblCellMar>
        </w:tblPrEx>
        <w:trPr>
          <w:trHeight w:val="274" w:hRule="exact"/>
          <w:jc w:val="center"/>
        </w:trPr>
        <w:tc>
          <w:tcPr>
            <w:tcW w:w="754" w:type="dxa"/>
            <w:gridSpan w:val="2"/>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年度</w:t>
            </w:r>
          </w:p>
          <w:p>
            <w:pPr>
              <w:snapToGrid w:val="0"/>
              <w:spacing w:before="0" w:beforeAutospacing="0" w:after="0" w:afterAutospacing="0" w:line="240" w:lineRule="auto"/>
              <w:jc w:val="center"/>
            </w:pPr>
            <w:r>
              <w:rPr>
                <w:rFonts w:ascii="Calibri" w:hAnsi="Calibri" w:eastAsia="Calibri" w:cs="Calibri"/>
                <w:b w:val="0"/>
                <w:i w:val="0"/>
                <w:color w:val="000000"/>
                <w:sz w:val="13"/>
              </w:rPr>
              <w:t>主要</w:t>
            </w:r>
          </w:p>
          <w:p>
            <w:pPr>
              <w:snapToGrid w:val="0"/>
              <w:spacing w:before="0" w:beforeAutospacing="0" w:after="0" w:afterAutospacing="0" w:line="240" w:lineRule="auto"/>
              <w:jc w:val="center"/>
            </w:pPr>
            <w:r>
              <w:rPr>
                <w:rFonts w:ascii="Calibri" w:hAnsi="Calibri" w:eastAsia="Calibri" w:cs="Calibri"/>
                <w:b w:val="0"/>
                <w:i w:val="0"/>
                <w:color w:val="000000"/>
                <w:sz w:val="13"/>
              </w:rPr>
              <w:t>任务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3"/>
              </w:rPr>
              <w:t>任务名称</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 xml:space="preserve">主要内容 </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任务完成情况</w:t>
            </w:r>
          </w:p>
        </w:tc>
      </w:tr>
      <w:tr>
        <w:tblPrEx>
          <w:tblCellMar>
            <w:top w:w="0" w:type="dxa"/>
            <w:left w:w="20" w:type="dxa"/>
            <w:bottom w:w="0" w:type="dxa"/>
            <w:right w:w="20" w:type="dxa"/>
          </w:tblCellMar>
        </w:tblPrEx>
        <w:trPr>
          <w:trHeight w:val="317" w:hRule="exact"/>
          <w:jc w:val="center"/>
        </w:trPr>
        <w:tc>
          <w:tcPr>
            <w:tcW w:w="754"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0"/>
              </w:rPr>
              <w:t>任务1：举报投诉受理和检查巡查</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接受举报投诉和案件受理，不定期到企业、工地等用人单位进行检查巡查。</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2022年举报投诉结案率100%</w:t>
            </w:r>
          </w:p>
        </w:tc>
      </w:tr>
      <w:tr>
        <w:tblPrEx>
          <w:tblCellMar>
            <w:top w:w="0" w:type="dxa"/>
            <w:left w:w="20" w:type="dxa"/>
            <w:bottom w:w="0" w:type="dxa"/>
            <w:right w:w="20" w:type="dxa"/>
          </w:tblCellMar>
        </w:tblPrEx>
        <w:trPr>
          <w:trHeight w:val="317" w:hRule="exact"/>
          <w:jc w:val="center"/>
        </w:trPr>
        <w:tc>
          <w:tcPr>
            <w:tcW w:w="754"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0"/>
              </w:rPr>
              <w:t>任务2：企业书面材料审查和诚信等级评价</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对市辖区企业上一年度相关书面材料审查，根据审查结果，对市辖区内企业进行诚信等级评价并公示。</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2022年完成了市辖区内247家企业劳动保障守法诚信等级评价,其中A级企业137家、B级企业108家、C级企业2家</w:t>
            </w:r>
          </w:p>
        </w:tc>
      </w:tr>
      <w:tr>
        <w:tblPrEx>
          <w:tblCellMar>
            <w:top w:w="0" w:type="dxa"/>
            <w:left w:w="20" w:type="dxa"/>
            <w:bottom w:w="0" w:type="dxa"/>
            <w:right w:w="20" w:type="dxa"/>
          </w:tblCellMar>
        </w:tblPrEx>
        <w:trPr>
          <w:trHeight w:val="317" w:hRule="exact"/>
          <w:jc w:val="center"/>
        </w:trPr>
        <w:tc>
          <w:tcPr>
            <w:tcW w:w="754"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任务3：完成各类专项检查行动</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劳动力市场专项检查、保障农民工工资支付监察、女职工产假等权益专项检查等。</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2022年圆满完成劳动力市场专项检查、保障农民工工资支付监察、女职工产假等权益专项检查等。</w:t>
            </w:r>
          </w:p>
        </w:tc>
      </w:tr>
      <w:tr>
        <w:tblPrEx>
          <w:tblCellMar>
            <w:top w:w="0" w:type="dxa"/>
            <w:left w:w="20" w:type="dxa"/>
            <w:bottom w:w="0" w:type="dxa"/>
            <w:right w:w="20" w:type="dxa"/>
          </w:tblCellMar>
        </w:tblPrEx>
        <w:trPr>
          <w:trHeight w:val="317" w:hRule="exact"/>
          <w:jc w:val="center"/>
        </w:trPr>
        <w:tc>
          <w:tcPr>
            <w:tcW w:w="754"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任务4：发布劳动用工诚信“红黑榜”工作</w:t>
            </w:r>
          </w:p>
        </w:tc>
        <w:tc>
          <w:tcPr>
            <w:tcW w:w="4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每两个月收集一次养老保险、医疗保险、失业保险、劳动保障监察、人力资源市场科等部门意见，汇总形成劳动用工诚信“红名单”和“黑名单”，向社会公开发布。</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0"/>
              </w:rPr>
              <w:t>2022年，共发布劳动用工“红黑榜”6期，其中诚信“红榜”企业63户、违法失信“黑榜”企业58户</w:t>
            </w:r>
          </w:p>
        </w:tc>
      </w:tr>
      <w:tr>
        <w:tblPrEx>
          <w:tblCellMar>
            <w:top w:w="0" w:type="dxa"/>
            <w:left w:w="20" w:type="dxa"/>
            <w:bottom w:w="0" w:type="dxa"/>
            <w:right w:w="20" w:type="dxa"/>
          </w:tblCellMar>
        </w:tblPrEx>
        <w:trPr>
          <w:trHeight w:val="391" w:hRule="exact"/>
          <w:jc w:val="center"/>
        </w:trPr>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一级指标</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分值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二级指标</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三级指标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指标值</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指标说明</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实际完成值</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分值</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得分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未完成原因分析及改进措施</w:t>
            </w:r>
          </w:p>
        </w:tc>
      </w:tr>
      <w:tr>
        <w:tblPrEx>
          <w:tblCellMar>
            <w:top w:w="0" w:type="dxa"/>
            <w:left w:w="20" w:type="dxa"/>
            <w:bottom w:w="0" w:type="dxa"/>
            <w:right w:w="20" w:type="dxa"/>
          </w:tblCellMar>
        </w:tblPrEx>
        <w:trPr>
          <w:trHeight w:val="274" w:hRule="exact"/>
          <w:jc w:val="center"/>
        </w:trPr>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履职效能</w:t>
            </w:r>
          </w:p>
        </w:tc>
        <w:tc>
          <w:tcPr>
            <w:tcW w:w="377"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30分</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3"/>
              </w:rPr>
              <w:t>工作目标管理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年度履职目标相关性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相关</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依据《劳动合同法》、《劳动保障监察条例》、《保障农民民工工资支付条例》等相关法律法规制定。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工作任务科学性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科学</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工作目标设立依据往年度工作完成情况，结合本年度实际情况制定。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绩效指标合理性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合理</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建立台账制度，保证目标落实。</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80"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整体工作完成</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总体工作完成率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8"/>
              </w:rPr>
              <w:t>总体工作完成率=部门年度工作要点已完成的数量/部门年度工作要点工作总数量。得分=指标实际完成值×指标分值。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549"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牵头单位工作完成率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承接市委市政府年度工作任务的牵头单位制定的工作要点是否涵盖所要承接的重点工作。工作完成率=工作要点已完成的数量/工作要点工作总数量。得分=指标实际完成值×指标分值。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重点工作履行</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重点工作1电话举报和网上受理举报投诉事项登记计划完成率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8"/>
              </w:rPr>
              <w:t>列示本部门重点工作推进情况，相关情况应予以细化、量化表述。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重点工作2案件结案率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部门目标实现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年度工作目标1电话举报和网上受理举报投诉事项登记率100%实现率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8"/>
              </w:rPr>
              <w:t>列示本部门年度工作目标达成情况，相关情况应予以细化、量化表述。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年度工作目标2辖区内劳动保障监察“网格化、网络化”全覆盖实现率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0.98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极少数新成立企业和用人单位不及时报送材料</w:t>
            </w:r>
          </w:p>
        </w:tc>
      </w:tr>
      <w:tr>
        <w:tblPrEx>
          <w:tblCellMar>
            <w:top w:w="0" w:type="dxa"/>
            <w:left w:w="20" w:type="dxa"/>
            <w:bottom w:w="0" w:type="dxa"/>
            <w:right w:w="20" w:type="dxa"/>
          </w:tblCellMar>
        </w:tblPrEx>
        <w:trPr>
          <w:trHeight w:val="274" w:hRule="exact"/>
          <w:jc w:val="center"/>
        </w:trPr>
        <w:tc>
          <w:tcPr>
            <w:tcW w:w="377"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管理效率</w:t>
            </w:r>
          </w:p>
        </w:tc>
        <w:tc>
          <w:tcPr>
            <w:tcW w:w="377"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40分</w:t>
            </w:r>
          </w:p>
        </w:tc>
        <w:tc>
          <w:tcPr>
            <w:tcW w:w="1116"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预算管理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预算编制完整性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预算编制完整</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①收入预算编制是否足额，是否将所有部门预算收入全部编入收入预算；</w:t>
            </w:r>
          </w:p>
          <w:p>
            <w:pPr>
              <w:snapToGrid w:val="0"/>
              <w:spacing w:before="0" w:beforeAutospacing="0" w:after="0" w:afterAutospacing="0" w:line="240" w:lineRule="auto"/>
            </w:pPr>
            <w:r>
              <w:rPr>
                <w:rFonts w:ascii="Calibri" w:hAnsi="Calibri" w:eastAsia="Calibri" w:cs="Calibri"/>
                <w:b w:val="0"/>
                <w:i w:val="0"/>
                <w:color w:val="000000"/>
                <w:sz w:val="8"/>
              </w:rPr>
              <w:t>②支出预算编制是否科学，是否是按人员经费按标准、日常公用经费按定额、专项经费按项目分别编制。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17"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专项资金细化率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无项目</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预算细化率=（部门参与分配的专项待分资金/部门参与分配资金合计）×100%。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无项目</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无项目</w:t>
            </w:r>
          </w:p>
        </w:tc>
      </w:tr>
      <w:tr>
        <w:tblPrEx>
          <w:tblCellMar>
            <w:top w:w="0" w:type="dxa"/>
            <w:left w:w="20" w:type="dxa"/>
            <w:bottom w:w="0" w:type="dxa"/>
            <w:right w:w="20" w:type="dxa"/>
          </w:tblCellMar>
        </w:tblPrEx>
        <w:trPr>
          <w:trHeight w:val="486"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预算执行率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预算执行率=（预算执行数/预算数）×100%。</w:t>
            </w:r>
          </w:p>
          <w:p>
            <w:pPr>
              <w:snapToGrid w:val="0"/>
              <w:spacing w:before="0" w:beforeAutospacing="0" w:after="0" w:afterAutospacing="0" w:line="240" w:lineRule="auto"/>
            </w:pPr>
            <w:r>
              <w:rPr>
                <w:rFonts w:ascii="Calibri" w:hAnsi="Calibri" w:eastAsia="Calibri" w:cs="Calibri"/>
                <w:b w:val="0"/>
                <w:i w:val="0"/>
                <w:color w:val="000000"/>
                <w:sz w:val="8"/>
              </w:rPr>
              <w:t>其中，预算完成数指部门本年度实际执行的预算数；预算数指财政部门批复的本年度部门的预算数。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1.13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64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预算调整率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预算调整率=（预算调整数/预算数）×100%。</w:t>
            </w:r>
          </w:p>
          <w:p>
            <w:pPr>
              <w:snapToGrid w:val="0"/>
              <w:spacing w:before="0" w:beforeAutospacing="0" w:after="0" w:afterAutospacing="0" w:line="240" w:lineRule="auto"/>
            </w:pPr>
            <w:r>
              <w:rPr>
                <w:rFonts w:ascii="Calibri" w:hAnsi="Calibri" w:eastAsia="Calibri" w:cs="Calibri"/>
                <w:b w:val="0"/>
                <w:i w:val="0"/>
                <w:color w:val="000000"/>
                <w:sz w:val="8"/>
              </w:rPr>
              <w:t>预算调整数：部门在本年度内涉及预算的追加、追减或结构调整的资金总和（因落实国家政策、发生不可抗力、上级部门或本级党委政府临时交办而产生的调整除外）。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0.06</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33"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结转结余率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≤7%</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结转结余变动率=[（本年度累计结转结余资金总额-上年度累计结转结余资金总额）/上年度累计结转结余资金总额]×100%。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0.023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91"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部门决算编报质量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良好</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①是否按照相关编审要求报送；</w:t>
            </w:r>
          </w:p>
          <w:p>
            <w:pPr>
              <w:snapToGrid w:val="0"/>
              <w:spacing w:before="0" w:beforeAutospacing="0" w:after="0" w:afterAutospacing="0" w:line="240" w:lineRule="auto"/>
            </w:pPr>
            <w:r>
              <w:rPr>
                <w:rFonts w:ascii="Calibri" w:hAnsi="Calibri" w:eastAsia="Calibri" w:cs="Calibri"/>
                <w:b w:val="0"/>
                <w:i w:val="0"/>
                <w:color w:val="000000"/>
                <w:sz w:val="8"/>
              </w:rPr>
              <w:t>②部门决算编报的单位范围和资金范围是否符合相关要求。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01"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项目库完整性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年初无项目</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项目库管理完整性=（年度预算安排项目资金总额—未纳入项目库预算项目资金额）/年度预算安排项目资金总额×100%。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无项目</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33"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国库集中支付例规性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合规</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国库集中支付合规性=（年度部门预算资金国库集中支付总额—国库集中支付监控系统拦截资金额）/年度部门预算资金国库集中支付总额×100%。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43"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收支管理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收管管理规范性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收入管理规范</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财政拨款收入、事业收入、上级补助收入、附属单位上缴收入、经营收入及其他收入管理是否符合事业单位财务规则的有关规定。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支出管理规范性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支出管理规范</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基本支出和项目支出是否符合事业单位财务规则及相关制度办法的有关规定。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财务管理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财务管理制度的完备性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完备</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①资金的拨付和使用是否有比较完整的审批程序和手续；</w:t>
            </w:r>
          </w:p>
          <w:p>
            <w:pPr>
              <w:snapToGrid w:val="0"/>
              <w:spacing w:before="0" w:beforeAutospacing="0" w:after="0" w:afterAutospacing="0" w:line="240" w:lineRule="auto"/>
            </w:pPr>
            <w:r>
              <w:rPr>
                <w:rFonts w:ascii="Calibri" w:hAnsi="Calibri" w:eastAsia="Calibri" w:cs="Calibri"/>
                <w:b w:val="0"/>
                <w:i w:val="0"/>
                <w:color w:val="000000"/>
                <w:sz w:val="8"/>
              </w:rPr>
              <w:t>②财务核算符合国家财经法规和财务管理制度及专项资金管理有关规定；</w:t>
            </w:r>
          </w:p>
          <w:p>
            <w:pPr>
              <w:snapToGrid w:val="0"/>
              <w:spacing w:before="0" w:beforeAutospacing="0" w:after="0" w:afterAutospacing="0" w:line="240" w:lineRule="auto"/>
            </w:pPr>
            <w:r>
              <w:rPr>
                <w:rFonts w:ascii="Calibri" w:hAnsi="Calibri" w:eastAsia="Calibri" w:cs="Calibri"/>
                <w:b w:val="0"/>
                <w:i w:val="0"/>
                <w:color w:val="000000"/>
                <w:sz w:val="8"/>
              </w:rPr>
              <w:t>③部门基础数据信息和会计信息资料的真实性、完整性、准确性，能否对预算管理工作起到很好的支撑作用。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部分达成预期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财务管理制度不完善，相关制度执行不到位。完善相关制度，加强财务管理</w:t>
            </w:r>
          </w:p>
        </w:tc>
      </w:tr>
      <w:tr>
        <w:tblPrEx>
          <w:tblCellMar>
            <w:top w:w="0" w:type="dxa"/>
            <w:left w:w="20" w:type="dxa"/>
            <w:bottom w:w="0" w:type="dxa"/>
            <w:right w:w="20" w:type="dxa"/>
          </w:tblCellMar>
        </w:tblPrEx>
        <w:trPr>
          <w:trHeight w:val="422"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银行账户管理规范性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规范</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财政专户的资金是否按照国库集中收缴的有关规定及时足额上缴，是否存在隐瞒、滞留、截留、挪用和坐支等情况。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971"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政府采购执行率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①资金使用是否符合政府采购的程序和流程；资金使用是否符合公务卡结算相关制度和规定；</w:t>
            </w:r>
          </w:p>
          <w:p>
            <w:pPr>
              <w:snapToGrid w:val="0"/>
              <w:spacing w:before="0" w:beforeAutospacing="0" w:after="0" w:afterAutospacing="0" w:line="240" w:lineRule="auto"/>
            </w:pPr>
            <w:r>
              <w:rPr>
                <w:rFonts w:ascii="Calibri" w:hAnsi="Calibri" w:eastAsia="Calibri" w:cs="Calibri"/>
                <w:b w:val="0"/>
                <w:i w:val="0"/>
                <w:color w:val="000000"/>
                <w:sz w:val="8"/>
              </w:rPr>
              <w:t>②政府采购执行率=（实际政府采购金额/政府采购预算数）×100%；</w:t>
            </w:r>
          </w:p>
          <w:p>
            <w:pPr>
              <w:snapToGrid w:val="0"/>
              <w:spacing w:before="0" w:beforeAutospacing="0" w:after="0" w:afterAutospacing="0" w:line="240" w:lineRule="auto"/>
            </w:pPr>
            <w:r>
              <w:rPr>
                <w:rFonts w:ascii="Calibri" w:hAnsi="Calibri" w:eastAsia="Calibri" w:cs="Calibri"/>
                <w:b w:val="0"/>
                <w:i w:val="0"/>
                <w:color w:val="000000"/>
                <w:sz w:val="8"/>
              </w:rPr>
              <w:t>政府采购预算：采购机关根据事业发展计划和行政任务编制的、并经过规定程序批准的年度政府采购计划。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005"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内控制度有效性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内控制度有效</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①预算业务控制：单位是否建立健全预算编制、审批、执行、决算与评价等预算内部管理制度；</w:t>
            </w:r>
          </w:p>
          <w:p>
            <w:pPr>
              <w:snapToGrid w:val="0"/>
              <w:spacing w:before="0" w:beforeAutospacing="0" w:after="0" w:afterAutospacing="0" w:line="240" w:lineRule="auto"/>
            </w:pPr>
            <w:r>
              <w:rPr>
                <w:rFonts w:ascii="Calibri" w:hAnsi="Calibri" w:eastAsia="Calibri" w:cs="Calibri"/>
                <w:b w:val="0"/>
                <w:i w:val="0"/>
                <w:color w:val="000000"/>
                <w:sz w:val="8"/>
              </w:rPr>
              <w:t>②收支业务控制：单位是否建立健全收入、支出内部管理制度；</w:t>
            </w:r>
          </w:p>
          <w:p>
            <w:pPr>
              <w:snapToGrid w:val="0"/>
              <w:spacing w:before="0" w:beforeAutospacing="0" w:after="0" w:afterAutospacing="0" w:line="240" w:lineRule="auto"/>
            </w:pPr>
            <w:r>
              <w:rPr>
                <w:rFonts w:ascii="Calibri" w:hAnsi="Calibri" w:eastAsia="Calibri" w:cs="Calibri"/>
                <w:b w:val="0"/>
                <w:i w:val="0"/>
                <w:color w:val="000000"/>
                <w:sz w:val="8"/>
              </w:rPr>
              <w:t>③政府采购业务控制：单位是否建立健全政府采购预算与计划管理、政府采购活动管理、验收管理等政府采购内部管理制度；</w:t>
            </w:r>
          </w:p>
          <w:p>
            <w:pPr>
              <w:snapToGrid w:val="0"/>
              <w:spacing w:before="0" w:beforeAutospacing="0" w:after="0" w:afterAutospacing="0" w:line="240" w:lineRule="auto"/>
            </w:pPr>
            <w:r>
              <w:rPr>
                <w:rFonts w:ascii="Calibri" w:hAnsi="Calibri" w:eastAsia="Calibri" w:cs="Calibri"/>
                <w:b w:val="0"/>
                <w:i w:val="0"/>
                <w:color w:val="000000"/>
                <w:sz w:val="8"/>
              </w:rPr>
              <w:t>④资产控制：单位是否建立健全资产内部管理制度；</w:t>
            </w:r>
          </w:p>
          <w:p>
            <w:pPr>
              <w:snapToGrid w:val="0"/>
              <w:spacing w:before="0" w:beforeAutospacing="0" w:after="0" w:afterAutospacing="0" w:line="240" w:lineRule="auto"/>
            </w:pPr>
            <w:r>
              <w:rPr>
                <w:rFonts w:ascii="Calibri" w:hAnsi="Calibri" w:eastAsia="Calibri" w:cs="Calibri"/>
                <w:b w:val="0"/>
                <w:i w:val="0"/>
                <w:color w:val="000000"/>
                <w:sz w:val="8"/>
              </w:rPr>
              <w:t>⑤建设项目控制：单位是否建立健全建设项目内部管理制度，包括与建设项目相关的议事决策机制、审核机制等；</w:t>
            </w:r>
          </w:p>
          <w:p>
            <w:pPr>
              <w:snapToGrid w:val="0"/>
              <w:spacing w:before="0" w:beforeAutospacing="0" w:after="0" w:afterAutospacing="0" w:line="240" w:lineRule="auto"/>
            </w:pPr>
            <w:r>
              <w:rPr>
                <w:rFonts w:ascii="Calibri" w:hAnsi="Calibri" w:eastAsia="Calibri" w:cs="Calibri"/>
                <w:b w:val="0"/>
                <w:i w:val="0"/>
                <w:color w:val="000000"/>
                <w:sz w:val="8"/>
              </w:rPr>
              <w:t>⑥合同控制：单位是否建立健全合同内部管理制度。</w:t>
            </w:r>
          </w:p>
          <w:p>
            <w:pPr>
              <w:snapToGrid w:val="0"/>
              <w:spacing w:before="0" w:beforeAutospacing="0" w:after="0" w:afterAutospacing="0" w:line="240" w:lineRule="auto"/>
            </w:pPr>
            <w:r>
              <w:rPr>
                <w:rFonts w:ascii="Calibri" w:hAnsi="Calibri" w:eastAsia="Calibri" w:cs="Calibri"/>
                <w:b w:val="0"/>
                <w:i w:val="0"/>
                <w:color w:val="000000"/>
                <w:sz w:val="8"/>
              </w:rPr>
              <w:t>⑦上述内部控制管理制度是否执行到位有效。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部分达成预期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部分内控制度不够完善，下一步进一步健全管理制度</w:t>
            </w:r>
          </w:p>
        </w:tc>
      </w:tr>
      <w:tr>
        <w:tblPrEx>
          <w:tblCellMar>
            <w:top w:w="0" w:type="dxa"/>
            <w:left w:w="20" w:type="dxa"/>
            <w:bottom w:w="0" w:type="dxa"/>
            <w:right w:w="20" w:type="dxa"/>
          </w:tblCellMar>
        </w:tblPrEx>
        <w:trPr>
          <w:trHeight w:val="1119"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资产管理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资产管理规范性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规范</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①资产保存是否完整，是否定期对固定资产进行清查，是否有因管理不当发生严重资产损失和丢失的情况；</w:t>
            </w:r>
          </w:p>
          <w:p>
            <w:pPr>
              <w:snapToGrid w:val="0"/>
              <w:spacing w:before="0" w:beforeAutospacing="0" w:after="0" w:afterAutospacing="0" w:line="240" w:lineRule="auto"/>
            </w:pPr>
            <w:r>
              <w:rPr>
                <w:rFonts w:ascii="Calibri" w:hAnsi="Calibri" w:eastAsia="Calibri" w:cs="Calibri"/>
                <w:b w:val="0"/>
                <w:i w:val="0"/>
                <w:color w:val="000000"/>
                <w:sz w:val="8"/>
              </w:rPr>
              <w:t>②是否存在超标准配置资产；</w:t>
            </w:r>
          </w:p>
          <w:p>
            <w:pPr>
              <w:snapToGrid w:val="0"/>
              <w:spacing w:before="0" w:beforeAutospacing="0" w:after="0" w:afterAutospacing="0" w:line="240" w:lineRule="auto"/>
            </w:pPr>
            <w:r>
              <w:rPr>
                <w:rFonts w:ascii="Calibri" w:hAnsi="Calibri" w:eastAsia="Calibri" w:cs="Calibri"/>
                <w:b w:val="0"/>
                <w:i w:val="0"/>
                <w:color w:val="000000"/>
                <w:sz w:val="8"/>
              </w:rPr>
              <w:t>③资产使用是否规范，是否存在未经批准擅自出租、出借资产行为；</w:t>
            </w:r>
          </w:p>
          <w:p>
            <w:pPr>
              <w:snapToGrid w:val="0"/>
              <w:spacing w:before="0" w:beforeAutospacing="0" w:after="0" w:afterAutospacing="0" w:line="240" w:lineRule="auto"/>
            </w:pPr>
            <w:r>
              <w:rPr>
                <w:rFonts w:ascii="Calibri" w:hAnsi="Calibri" w:eastAsia="Calibri" w:cs="Calibri"/>
                <w:b w:val="0"/>
                <w:i w:val="0"/>
                <w:color w:val="000000"/>
                <w:sz w:val="8"/>
              </w:rPr>
              <w:t>④资产处置是否规范，是否存在不按要求进行报批或资产不公开处置行为。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559"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部门固定资产利用率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≥90%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计算公式：</w:t>
            </w:r>
          </w:p>
          <w:p>
            <w:pPr>
              <w:snapToGrid w:val="0"/>
              <w:spacing w:before="0" w:beforeAutospacing="0" w:after="0" w:afterAutospacing="0" w:line="240" w:lineRule="auto"/>
            </w:pPr>
            <w:r>
              <w:rPr>
                <w:rFonts w:ascii="Calibri" w:hAnsi="Calibri" w:eastAsia="Calibri" w:cs="Calibri"/>
                <w:b w:val="0"/>
                <w:i w:val="0"/>
                <w:color w:val="000000"/>
                <w:sz w:val="8"/>
              </w:rPr>
              <w:t>部门固定资产利用率=（部门实际在用固定资产总额/部门所有固定资产总额）×100%或资产闲置率=（闲置资产总额/部门所有固定资产总额）×100%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0.95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基础管理</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信息化建设成效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“两网化”建设覆盖达到98%</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8"/>
              </w:rPr>
              <w:t>分项具体列示为保障整体工作和重点工作所采取的基础管理工作，相关情况应予以细化、量化表述。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管理制度建设成效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举报投诉登记率100%</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达成预期</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43" w:hRule="exact"/>
          <w:jc w:val="center"/>
        </w:trPr>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运行成本</w:t>
            </w: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成本控制成效</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在职人员经费变动率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≤20%</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8"/>
              </w:rPr>
              <w:t>计算公式：</w:t>
            </w:r>
          </w:p>
          <w:p>
            <w:pPr>
              <w:snapToGrid w:val="0"/>
              <w:spacing w:before="0" w:beforeAutospacing="0" w:after="0" w:afterAutospacing="0" w:line="240" w:lineRule="auto"/>
              <w:jc w:val="left"/>
            </w:pPr>
            <w:r>
              <w:rPr>
                <w:rFonts w:ascii="Calibri" w:hAnsi="Calibri" w:eastAsia="Calibri" w:cs="Calibri"/>
                <w:b w:val="0"/>
                <w:i w:val="0"/>
                <w:color w:val="000000"/>
                <w:sz w:val="8"/>
              </w:rPr>
              <w:t>①在职人员经费变动率=[（本年度在职人员经费-上年度在职人员经费） /上年度在职人员经费]×100%。</w:t>
            </w:r>
          </w:p>
          <w:p>
            <w:pPr>
              <w:snapToGrid w:val="0"/>
              <w:spacing w:before="0" w:beforeAutospacing="0" w:after="0" w:afterAutospacing="0" w:line="240" w:lineRule="auto"/>
              <w:jc w:val="left"/>
            </w:pPr>
            <w:r>
              <w:rPr>
                <w:rFonts w:ascii="Calibri" w:hAnsi="Calibri" w:eastAsia="Calibri" w:cs="Calibri"/>
                <w:b w:val="0"/>
                <w:i w:val="0"/>
                <w:color w:val="000000"/>
                <w:sz w:val="8"/>
              </w:rPr>
              <w:t>②离退休人员经费变动率=[（本年度离退休人员经费-上年度离退休人员经费） /上年度离退休人员经费]×100%。</w:t>
            </w:r>
          </w:p>
          <w:p>
            <w:pPr>
              <w:snapToGrid w:val="0"/>
              <w:spacing w:before="0" w:beforeAutospacing="0" w:after="0" w:afterAutospacing="0" w:line="240" w:lineRule="auto"/>
              <w:jc w:val="left"/>
            </w:pPr>
            <w:r>
              <w:rPr>
                <w:rFonts w:ascii="Calibri" w:hAnsi="Calibri" w:eastAsia="Calibri" w:cs="Calibri"/>
                <w:b w:val="0"/>
                <w:i w:val="0"/>
                <w:color w:val="000000"/>
                <w:sz w:val="8"/>
              </w:rPr>
              <w:t>计算公式：</w:t>
            </w:r>
          </w:p>
          <w:p>
            <w:pPr>
              <w:snapToGrid w:val="0"/>
              <w:spacing w:before="0" w:beforeAutospacing="0" w:after="0" w:afterAutospacing="0" w:line="240" w:lineRule="auto"/>
              <w:jc w:val="left"/>
            </w:pPr>
            <w:r>
              <w:rPr>
                <w:rFonts w:ascii="Calibri" w:hAnsi="Calibri" w:eastAsia="Calibri" w:cs="Calibri"/>
                <w:b w:val="0"/>
                <w:i w:val="0"/>
                <w:color w:val="000000"/>
                <w:sz w:val="8"/>
              </w:rPr>
              <w:t>①人均公用经费变动率=[（本年度人均公用经费-上年度人均公用经费） /上年度人均公用经费]×100%。</w:t>
            </w:r>
          </w:p>
          <w:p>
            <w:pPr>
              <w:snapToGrid w:val="0"/>
              <w:spacing w:before="0" w:beforeAutospacing="0" w:after="0" w:afterAutospacing="0" w:line="240" w:lineRule="auto"/>
              <w:jc w:val="left"/>
            </w:pPr>
            <w:r>
              <w:rPr>
                <w:rFonts w:ascii="Calibri" w:hAnsi="Calibri" w:eastAsia="Calibri" w:cs="Calibri"/>
                <w:b w:val="0"/>
                <w:i w:val="0"/>
                <w:color w:val="000000"/>
                <w:sz w:val="8"/>
              </w:rPr>
              <w:t>人均公用经费：年度在职人员公用经费实际支出数/年度实际在职人数。</w:t>
            </w:r>
          </w:p>
          <w:p>
            <w:pPr>
              <w:snapToGrid w:val="0"/>
              <w:spacing w:before="0" w:beforeAutospacing="0" w:after="0" w:afterAutospacing="0" w:line="240" w:lineRule="auto"/>
              <w:jc w:val="left"/>
            </w:pPr>
            <w:r>
              <w:rPr>
                <w:rFonts w:ascii="Calibri" w:hAnsi="Calibri" w:eastAsia="Calibri" w:cs="Calibri"/>
                <w:b w:val="0"/>
                <w:i w:val="0"/>
                <w:color w:val="000000"/>
                <w:sz w:val="8"/>
              </w:rPr>
              <w:t>②“三公经费”变动率=[（本年度“三公经费”总额-上年度“三公经费”总额） /上年度“三公经费”总额]×100%。</w:t>
            </w:r>
          </w:p>
          <w:p>
            <w:pPr>
              <w:snapToGrid w:val="0"/>
              <w:spacing w:before="0" w:beforeAutospacing="0" w:after="0" w:afterAutospacing="0" w:line="240" w:lineRule="auto"/>
              <w:jc w:val="left"/>
            </w:pPr>
            <w:r>
              <w:rPr>
                <w:rFonts w:ascii="Calibri" w:hAnsi="Calibri" w:eastAsia="Calibri" w:cs="Calibri"/>
                <w:b w:val="0"/>
                <w:i w:val="0"/>
                <w:color w:val="000000"/>
                <w:sz w:val="8"/>
              </w:rPr>
              <w:t>③厉行节约变动率=[（本年度厉行节约总额-上年度厉行节约总额） /上年度厉行节约总额]×100%。</w:t>
            </w:r>
          </w:p>
          <w:p>
            <w:pPr>
              <w:snapToGrid w:val="0"/>
              <w:spacing w:before="0" w:beforeAutospacing="0" w:after="0" w:afterAutospacing="0" w:line="240" w:lineRule="auto"/>
              <w:jc w:val="left"/>
            </w:pPr>
            <w:r>
              <w:rPr>
                <w:rFonts w:ascii="Calibri" w:hAnsi="Calibri" w:eastAsia="Calibri" w:cs="Calibri"/>
                <w:b w:val="0"/>
                <w:i w:val="0"/>
                <w:color w:val="000000"/>
                <w:sz w:val="8"/>
              </w:rPr>
              <w:t>成本节约率= 成本节约额 / 总预算支出额×100%。（成本节约额 = 总预算支出额 - 实际支出额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0.17</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43"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离退休人员经费变动率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≤5%</w:t>
            </w:r>
          </w:p>
        </w:tc>
        <w:tc>
          <w:tcPr>
            <w:tcW w:w="207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0.046</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43"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人均公用经费变动率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≤3%</w:t>
            </w:r>
          </w:p>
        </w:tc>
        <w:tc>
          <w:tcPr>
            <w:tcW w:w="207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43"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“三公经费”变动率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≤20%</w:t>
            </w:r>
          </w:p>
        </w:tc>
        <w:tc>
          <w:tcPr>
            <w:tcW w:w="207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43"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厉行节约支出变动率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≥3%</w:t>
            </w:r>
          </w:p>
        </w:tc>
        <w:tc>
          <w:tcPr>
            <w:tcW w:w="207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0.03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43" w:hRule="exact"/>
          <w:jc w:val="center"/>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总体成本节约率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≥5%</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0.05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服务满意</w:t>
            </w:r>
          </w:p>
        </w:tc>
        <w:tc>
          <w:tcPr>
            <w:tcW w:w="377"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20分</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服务对象满意</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群众满意度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≥98%</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数据一般通过问卷调查的方式获得，用百分比衡量</w:t>
            </w:r>
          </w:p>
          <w:p>
            <w:pPr>
              <w:snapToGrid w:val="0"/>
              <w:spacing w:before="0" w:beforeAutospacing="0" w:after="0" w:afterAutospacing="0" w:line="240" w:lineRule="auto"/>
            </w:pPr>
            <w:r>
              <w:rPr>
                <w:rFonts w:ascii="Calibri" w:hAnsi="Calibri" w:eastAsia="Calibri" w:cs="Calibri"/>
                <w:b w:val="0"/>
                <w:i w:val="0"/>
                <w:color w:val="000000"/>
                <w:sz w:val="8"/>
              </w:rPr>
              <w:t>得分=实际完成值÷目标值×指标分值。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0.98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对口部门满意度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≥98%</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0.98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利益相关方满意</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企业满意度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≥98%</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数据一般通过问卷调查的方式获得，用百分比衡量</w:t>
            </w:r>
          </w:p>
          <w:p>
            <w:pPr>
              <w:snapToGrid w:val="0"/>
              <w:spacing w:before="0" w:beforeAutospacing="0" w:after="0" w:afterAutospacing="0" w:line="240" w:lineRule="auto"/>
            </w:pPr>
            <w:r>
              <w:rPr>
                <w:rFonts w:ascii="Calibri" w:hAnsi="Calibri" w:eastAsia="Calibri" w:cs="Calibri"/>
                <w:b w:val="0"/>
                <w:i w:val="0"/>
                <w:color w:val="000000"/>
                <w:sz w:val="8"/>
              </w:rPr>
              <w:t>若无目标值，则可参考公众满意度目标值设定参考值。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0.98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社会组织满意度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≥98%</w:t>
            </w:r>
          </w:p>
        </w:tc>
        <w:tc>
          <w:tcPr>
            <w:tcW w:w="207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0.98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监督部门满意</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外部监督部门满意度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≥98%</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0.98</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可持续性</w:t>
            </w: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体制机制改革情况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重要改革事项1：联合执法</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8"/>
              </w:rPr>
              <w:t>进一步加强与公安、法院等部门联动执法</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8"/>
              </w:rPr>
              <w:t>分项具体列示本部门体制机制改革情况。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基本完成</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重要改革事项2：诚信体系构建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8"/>
              </w:rPr>
              <w:t>进一步完善诚信企业评价体系</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基本完成</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创新能力</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重点创新事项1：建立预警机制</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8"/>
              </w:rPr>
              <w:t>完成辖区企业欠薪预警监控制度的建立</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8"/>
              </w:rPr>
              <w:t>分项具体列示本部门创新事项情况。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基本完成</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74"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重点创新事项2：建立长效机制</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8"/>
              </w:rPr>
              <w:t>推行劳动保障监察“一书一金”制度，建立解决工资支付问题长效机制的建立</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基本完成</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11"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4"/>
              </w:rPr>
              <w:t>人才支撑</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高层次领军人才</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w:t>
            </w:r>
          </w:p>
        </w:tc>
        <w:tc>
          <w:tcPr>
            <w:tcW w:w="207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8"/>
              </w:rPr>
              <w:t>比重=实际完成值÷目标值×指标分值。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8"/>
              </w:rPr>
              <w:t>无</w:t>
            </w:r>
          </w:p>
        </w:tc>
      </w:tr>
      <w:tr>
        <w:tblPrEx>
          <w:tblCellMar>
            <w:top w:w="0" w:type="dxa"/>
            <w:left w:w="20" w:type="dxa"/>
            <w:bottom w:w="0" w:type="dxa"/>
            <w:right w:w="20" w:type="dxa"/>
          </w:tblCellMar>
        </w:tblPrEx>
        <w:trPr>
          <w:trHeight w:val="211"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培训计划执行率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207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11" w:hRule="exact"/>
          <w:jc w:val="center"/>
        </w:trPr>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高级职称人才比重</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w:t>
            </w:r>
          </w:p>
        </w:tc>
        <w:tc>
          <w:tcPr>
            <w:tcW w:w="207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8"/>
              </w:rPr>
              <w:t>无</w:t>
            </w:r>
          </w:p>
        </w:tc>
      </w:tr>
      <w:tr>
        <w:tblPrEx>
          <w:tblCellMar>
            <w:top w:w="0" w:type="dxa"/>
            <w:left w:w="20" w:type="dxa"/>
            <w:bottom w:w="0" w:type="dxa"/>
            <w:right w:w="20" w:type="dxa"/>
          </w:tblCellMar>
        </w:tblPrEx>
        <w:trPr>
          <w:trHeight w:val="211" w:hRule="exact"/>
          <w:jc w:val="center"/>
        </w:trPr>
        <w:tc>
          <w:tcPr>
            <w:tcW w:w="377"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77"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0"/>
              </w:rPr>
              <w:t>硕士和博士人才数量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6.00%</w:t>
            </w:r>
          </w:p>
        </w:tc>
        <w:tc>
          <w:tcPr>
            <w:tcW w:w="207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仿宋_GB2312" w:hAnsi="仿宋_GB2312" w:eastAsia="仿宋_GB2312" w:cs="仿宋_GB2312"/>
                <w:b w:val="0"/>
                <w:i w:val="0"/>
                <w:color w:val="000000"/>
                <w:sz w:val="11"/>
              </w:rPr>
              <w:t>0.055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11" w:hRule="exact"/>
          <w:jc w:val="center"/>
        </w:trPr>
        <w:tc>
          <w:tcPr>
            <w:tcW w:w="75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总分（100分）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3"/>
              </w:rPr>
              <w:t>=SUM(H21:H66)+H7</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3"/>
              </w:rPr>
              <w:t>=SUM(I21:I66)+J7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908" w:hRule="exact"/>
          <w:jc w:val="center"/>
        </w:trPr>
        <w:tc>
          <w:tcPr>
            <w:tcW w:w="9907"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before="0" w:beforeAutospacing="0" w:after="0" w:afterAutospacing="0" w:line="240" w:lineRule="auto"/>
              <w:jc w:val="left"/>
            </w:pPr>
            <w:r>
              <w:rPr>
                <w:rFonts w:ascii="Calibri" w:hAnsi="Calibri" w:eastAsia="Calibri" w:cs="Calibri"/>
                <w:b w:val="0"/>
                <w:i w:val="0"/>
                <w:color w:val="000000"/>
                <w:sz w:val="13"/>
              </w:rPr>
              <w:t>注：1.自评采取打分评价的形式，满分为100分，各部门（单位）可根据指标的重要程度自主确定各项三级指标的权重分值，各项指标得分加总得出该项目绩效自评的总分。原则上一级指标分值统一设置为：履职效能30分、管理效率和运行成本40分、服务满意和可持续性20分、预算执行率10分。2.未完成原因分析及改进措施：说明偏离目标、不能完成目标的原因及改进措施。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2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l1uVLQAAAABQEAAA8AAAAAAAAA&#10;AQAgAAAAOAAAAGRycy9kb3ducmV2LnhtbFBLAQIUABQAAAAIAIdO4kB3xitHAwIAAAwEAAAOAAAA&#10;AAAAAAEAIAAAADUBAABkcnMvZTJvRG9jLnhtbF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C4E50"/>
    <w:multiLevelType w:val="multilevel"/>
    <w:tmpl w:val="FADC4E5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EFF8F8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2024-10-09T08:30:27Z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DF94CE1DC53D4C5F990C8EECCB3F5EB2_13</vt:lpwstr>
  </property>
</Properties>
</file>