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许昌市农机发展中心（本级）单位决算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许昌市农机发展中心（本级）概况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许昌市农机发展中心（本级）概况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（一）贯彻执行国家和省、市政府有关农业机械化工作的政策、法律、法规及管理办法。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（二）研究拟定全市农业机械化中长期规划；指导农业机械结构调整，引导农业机械产品结构调整。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（三）研究提出农业机械化的重大技术措施，组织农业机械化重点科技攻关、关键机具设备开发、技术推广项目的论证、立项、实施及监督管理工作。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（四）负责农业机械的安全生产检查，拟定农业机械安全管理办法，经批准后监督实施。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（五）研究制定农机服务体系建设的政策措施，指导基层农机服务体系建设；组织协调农业机械化生产、农机抗灾救灾工作；规范、规划指导农机作业市场。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（六）参与农机用油的供应、优惠政策的协调和市场监督工作。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（七）管理农业机械化事业的各项资金；负责农业机械化统计工作。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（八）承办市政府交办的其他事项。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许昌市农机发展中心（本级）内设机构5个,包括：办公室、生产服务科、农机装备科、产业发展科、机关党委。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从决算单位构成看，许昌市农机发展中心（本级）单位决算包括：本级决算（1个）。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许昌市农机发展中心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569.21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0.10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189.71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21.46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316.71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569.31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569.21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569.31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569.31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569.31</w:t>
            </w:r>
          </w:p>
        </w:tc>
        <w:tc>
          <w:tcPr>
            <w:tcW w:w="1440" w:type="dxa"/>
            <w:vAlign w:val="center"/>
          </w:tcPr>
          <w:p>
            <w:pPr>
              <w:jc w:val="right"/>
            </w:pPr>
            <w:r>
              <w:rPr>
                <w:rFonts w:ascii="宋体" w:hAnsi="宋体" w:eastAsia="宋体" w:cs="宋体"/>
                <w:b/>
                <w:i w:val="0"/>
                <w:color w:val="000000"/>
                <w:sz w:val="17"/>
              </w:rPr>
              <w:t>569.21</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22.32</w:t>
            </w:r>
          </w:p>
        </w:tc>
        <w:tc>
          <w:tcPr>
            <w:tcW w:w="1440" w:type="dxa"/>
            <w:vAlign w:val="center"/>
          </w:tcPr>
          <w:p>
            <w:pPr>
              <w:jc w:val="right"/>
            </w:pPr>
            <w:r>
              <w:rPr>
                <w:rFonts w:ascii="宋体" w:hAnsi="宋体" w:eastAsia="宋体" w:cs="宋体"/>
                <w:b w:val="0"/>
                <w:i w:val="0"/>
                <w:color w:val="000000"/>
                <w:sz w:val="17"/>
              </w:rPr>
              <w:t>22.32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1.98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20.34</w:t>
            </w:r>
          </w:p>
        </w:tc>
        <w:tc>
          <w:tcPr>
            <w:tcW w:w="1440" w:type="dxa"/>
            <w:vAlign w:val="center"/>
          </w:tcPr>
          <w:p>
            <w:pPr>
              <w:jc w:val="right"/>
            </w:pPr>
            <w:r>
              <w:rPr>
                <w:rFonts w:ascii="宋体" w:hAnsi="宋体" w:eastAsia="宋体" w:cs="宋体"/>
                <w:b w:val="0"/>
                <w:i w:val="0"/>
                <w:color w:val="000000"/>
                <w:sz w:val="17"/>
              </w:rPr>
              <w:t>20.34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20.34</w:t>
            </w:r>
          </w:p>
        </w:tc>
        <w:tc>
          <w:tcPr>
            <w:tcW w:w="1440" w:type="dxa"/>
            <w:vAlign w:val="center"/>
          </w:tcPr>
          <w:p>
            <w:pPr>
              <w:jc w:val="right"/>
            </w:pPr>
            <w:r>
              <w:rPr>
                <w:rFonts w:ascii="宋体" w:hAnsi="宋体" w:eastAsia="宋体" w:cs="宋体"/>
                <w:b w:val="0"/>
                <w:i w:val="0"/>
                <w:color w:val="000000"/>
                <w:sz w:val="17"/>
              </w:rPr>
              <w:t>20.34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189.71</w:t>
            </w:r>
          </w:p>
        </w:tc>
        <w:tc>
          <w:tcPr>
            <w:tcW w:w="1440" w:type="dxa"/>
            <w:vAlign w:val="center"/>
          </w:tcPr>
          <w:p>
            <w:pPr>
              <w:jc w:val="right"/>
            </w:pPr>
            <w:r>
              <w:rPr>
                <w:rFonts w:ascii="宋体" w:hAnsi="宋体" w:eastAsia="宋体" w:cs="宋体"/>
                <w:b w:val="0"/>
                <w:i w:val="0"/>
                <w:color w:val="000000"/>
                <w:sz w:val="17"/>
              </w:rPr>
              <w:t>189.71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117.17</w:t>
            </w:r>
          </w:p>
        </w:tc>
        <w:tc>
          <w:tcPr>
            <w:tcW w:w="1440" w:type="dxa"/>
            <w:vAlign w:val="center"/>
          </w:tcPr>
          <w:p>
            <w:pPr>
              <w:jc w:val="right"/>
            </w:pPr>
            <w:r>
              <w:rPr>
                <w:rFonts w:ascii="宋体" w:hAnsi="宋体" w:eastAsia="宋体" w:cs="宋体"/>
                <w:b w:val="0"/>
                <w:i w:val="0"/>
                <w:color w:val="000000"/>
                <w:sz w:val="17"/>
              </w:rPr>
              <w:t>117.17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96.29</w:t>
            </w:r>
          </w:p>
        </w:tc>
        <w:tc>
          <w:tcPr>
            <w:tcW w:w="1440" w:type="dxa"/>
            <w:vAlign w:val="center"/>
          </w:tcPr>
          <w:p>
            <w:pPr>
              <w:jc w:val="right"/>
            </w:pPr>
            <w:r>
              <w:rPr>
                <w:rFonts w:ascii="宋体" w:hAnsi="宋体" w:eastAsia="宋体" w:cs="宋体"/>
                <w:b w:val="0"/>
                <w:i w:val="0"/>
                <w:color w:val="000000"/>
                <w:sz w:val="17"/>
              </w:rPr>
              <w:t>96.29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20.88</w:t>
            </w:r>
          </w:p>
        </w:tc>
        <w:tc>
          <w:tcPr>
            <w:tcW w:w="1440" w:type="dxa"/>
            <w:vAlign w:val="center"/>
          </w:tcPr>
          <w:p>
            <w:pPr>
              <w:jc w:val="right"/>
            </w:pPr>
            <w:r>
              <w:rPr>
                <w:rFonts w:ascii="宋体" w:hAnsi="宋体" w:eastAsia="宋体" w:cs="宋体"/>
                <w:b w:val="0"/>
                <w:i w:val="0"/>
                <w:color w:val="000000"/>
                <w:sz w:val="17"/>
              </w:rPr>
              <w:t>20.88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21.46</w:t>
            </w:r>
          </w:p>
        </w:tc>
        <w:tc>
          <w:tcPr>
            <w:tcW w:w="1440" w:type="dxa"/>
            <w:vAlign w:val="center"/>
          </w:tcPr>
          <w:p>
            <w:pPr>
              <w:jc w:val="right"/>
            </w:pPr>
            <w:r>
              <w:rPr>
                <w:rFonts w:ascii="宋体" w:hAnsi="宋体" w:eastAsia="宋体" w:cs="宋体"/>
                <w:b w:val="0"/>
                <w:i w:val="0"/>
                <w:color w:val="000000"/>
                <w:sz w:val="17"/>
              </w:rPr>
              <w:t>21.46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21.46</w:t>
            </w:r>
          </w:p>
        </w:tc>
        <w:tc>
          <w:tcPr>
            <w:tcW w:w="1440" w:type="dxa"/>
            <w:vAlign w:val="center"/>
          </w:tcPr>
          <w:p>
            <w:pPr>
              <w:jc w:val="right"/>
            </w:pPr>
            <w:r>
              <w:rPr>
                <w:rFonts w:ascii="宋体" w:hAnsi="宋体" w:eastAsia="宋体" w:cs="宋体"/>
                <w:b w:val="0"/>
                <w:i w:val="0"/>
                <w:color w:val="000000"/>
                <w:sz w:val="17"/>
              </w:rPr>
              <w:t>21.46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10.69</w:t>
            </w:r>
          </w:p>
        </w:tc>
        <w:tc>
          <w:tcPr>
            <w:tcW w:w="1440" w:type="dxa"/>
            <w:vAlign w:val="center"/>
          </w:tcPr>
          <w:p>
            <w:pPr>
              <w:jc w:val="right"/>
            </w:pPr>
            <w:r>
              <w:rPr>
                <w:rFonts w:ascii="宋体" w:hAnsi="宋体" w:eastAsia="宋体" w:cs="宋体"/>
                <w:b w:val="0"/>
                <w:i w:val="0"/>
                <w:color w:val="000000"/>
                <w:sz w:val="17"/>
              </w:rPr>
              <w:t>10.69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10.78</w:t>
            </w:r>
          </w:p>
        </w:tc>
        <w:tc>
          <w:tcPr>
            <w:tcW w:w="1440" w:type="dxa"/>
            <w:vAlign w:val="center"/>
          </w:tcPr>
          <w:p>
            <w:pPr>
              <w:jc w:val="right"/>
            </w:pPr>
            <w:r>
              <w:rPr>
                <w:rFonts w:ascii="宋体" w:hAnsi="宋体" w:eastAsia="宋体" w:cs="宋体"/>
                <w:b w:val="0"/>
                <w:i w:val="0"/>
                <w:color w:val="000000"/>
                <w:sz w:val="17"/>
              </w:rPr>
              <w:t>10.78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316.81</w:t>
            </w:r>
          </w:p>
        </w:tc>
        <w:tc>
          <w:tcPr>
            <w:tcW w:w="1440" w:type="dxa"/>
            <w:vAlign w:val="center"/>
          </w:tcPr>
          <w:p>
            <w:pPr>
              <w:jc w:val="right"/>
            </w:pPr>
            <w:r>
              <w:rPr>
                <w:rFonts w:ascii="宋体" w:hAnsi="宋体" w:eastAsia="宋体" w:cs="宋体"/>
                <w:b w:val="0"/>
                <w:i w:val="0"/>
                <w:color w:val="000000"/>
                <w:sz w:val="17"/>
              </w:rPr>
              <w:t>316.71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314.31</w:t>
            </w:r>
          </w:p>
        </w:tc>
        <w:tc>
          <w:tcPr>
            <w:tcW w:w="1440" w:type="dxa"/>
            <w:vAlign w:val="center"/>
          </w:tcPr>
          <w:p>
            <w:pPr>
              <w:jc w:val="right"/>
            </w:pPr>
            <w:r>
              <w:rPr>
                <w:rFonts w:ascii="宋体" w:hAnsi="宋体" w:eastAsia="宋体" w:cs="宋体"/>
                <w:b w:val="0"/>
                <w:i w:val="0"/>
                <w:color w:val="000000"/>
                <w:sz w:val="17"/>
              </w:rPr>
              <w:t>314.21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314.31</w:t>
            </w:r>
          </w:p>
        </w:tc>
        <w:tc>
          <w:tcPr>
            <w:tcW w:w="1440" w:type="dxa"/>
            <w:vAlign w:val="center"/>
          </w:tcPr>
          <w:p>
            <w:pPr>
              <w:jc w:val="right"/>
            </w:pPr>
            <w:r>
              <w:rPr>
                <w:rFonts w:ascii="宋体" w:hAnsi="宋体" w:eastAsia="宋体" w:cs="宋体"/>
                <w:b w:val="0"/>
                <w:i w:val="0"/>
                <w:color w:val="000000"/>
                <w:sz w:val="17"/>
              </w:rPr>
              <w:t>314.21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19.00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569.21</w:t>
            </w:r>
          </w:p>
        </w:tc>
        <w:tc>
          <w:tcPr>
            <w:tcW w:w="1600" w:type="dxa"/>
            <w:vAlign w:val="center"/>
          </w:tcPr>
          <w:p>
            <w:pPr>
              <w:jc w:val="right"/>
            </w:pPr>
            <w:r>
              <w:rPr>
                <w:rFonts w:ascii="宋体" w:hAnsi="宋体" w:eastAsia="宋体" w:cs="宋体"/>
                <w:b/>
                <w:i w:val="0"/>
                <w:color w:val="000000"/>
                <w:sz w:val="19"/>
              </w:rPr>
              <w:t>566.71</w:t>
            </w:r>
          </w:p>
        </w:tc>
        <w:tc>
          <w:tcPr>
            <w:tcW w:w="1600" w:type="dxa"/>
            <w:vAlign w:val="center"/>
          </w:tcPr>
          <w:p>
            <w:pPr>
              <w:jc w:val="right"/>
            </w:pPr>
            <w:r>
              <w:rPr>
                <w:rFonts w:ascii="宋体" w:hAnsi="宋体" w:eastAsia="宋体" w:cs="宋体"/>
                <w:b/>
                <w:i w:val="0"/>
                <w:color w:val="000000"/>
                <w:sz w:val="19"/>
              </w:rPr>
              <w:t>2.50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22.32</w:t>
            </w:r>
          </w:p>
        </w:tc>
        <w:tc>
          <w:tcPr>
            <w:tcW w:w="1600" w:type="dxa"/>
            <w:vAlign w:val="center"/>
          </w:tcPr>
          <w:p>
            <w:pPr>
              <w:jc w:val="right"/>
            </w:pPr>
            <w:r>
              <w:rPr>
                <w:rFonts w:ascii="宋体" w:hAnsi="宋体" w:eastAsia="宋体" w:cs="宋体"/>
                <w:b w:val="0"/>
                <w:i w:val="0"/>
                <w:color w:val="000000"/>
                <w:sz w:val="19"/>
              </w:rPr>
              <w:t>22.32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1.98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20.34</w:t>
            </w:r>
          </w:p>
        </w:tc>
        <w:tc>
          <w:tcPr>
            <w:tcW w:w="1600" w:type="dxa"/>
            <w:vAlign w:val="center"/>
          </w:tcPr>
          <w:p>
            <w:pPr>
              <w:jc w:val="right"/>
            </w:pPr>
            <w:r>
              <w:rPr>
                <w:rFonts w:ascii="宋体" w:hAnsi="宋体" w:eastAsia="宋体" w:cs="宋体"/>
                <w:b w:val="0"/>
                <w:i w:val="0"/>
                <w:color w:val="000000"/>
                <w:sz w:val="19"/>
              </w:rPr>
              <w:t>20.34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20.34</w:t>
            </w:r>
          </w:p>
        </w:tc>
        <w:tc>
          <w:tcPr>
            <w:tcW w:w="1600" w:type="dxa"/>
            <w:vAlign w:val="center"/>
          </w:tcPr>
          <w:p>
            <w:pPr>
              <w:jc w:val="right"/>
            </w:pPr>
            <w:r>
              <w:rPr>
                <w:rFonts w:ascii="宋体" w:hAnsi="宋体" w:eastAsia="宋体" w:cs="宋体"/>
                <w:b w:val="0"/>
                <w:i w:val="0"/>
                <w:color w:val="000000"/>
                <w:sz w:val="19"/>
              </w:rPr>
              <w:t>20.34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189.71</w:t>
            </w:r>
          </w:p>
        </w:tc>
        <w:tc>
          <w:tcPr>
            <w:tcW w:w="1600" w:type="dxa"/>
            <w:vAlign w:val="center"/>
          </w:tcPr>
          <w:p>
            <w:pPr>
              <w:jc w:val="right"/>
            </w:pPr>
            <w:r>
              <w:rPr>
                <w:rFonts w:ascii="宋体" w:hAnsi="宋体" w:eastAsia="宋体" w:cs="宋体"/>
                <w:b w:val="0"/>
                <w:i w:val="0"/>
                <w:color w:val="000000"/>
                <w:sz w:val="19"/>
              </w:rPr>
              <w:t>189.71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117.17</w:t>
            </w:r>
          </w:p>
        </w:tc>
        <w:tc>
          <w:tcPr>
            <w:tcW w:w="1600" w:type="dxa"/>
            <w:vAlign w:val="center"/>
          </w:tcPr>
          <w:p>
            <w:pPr>
              <w:jc w:val="right"/>
            </w:pPr>
            <w:r>
              <w:rPr>
                <w:rFonts w:ascii="宋体" w:hAnsi="宋体" w:eastAsia="宋体" w:cs="宋体"/>
                <w:b w:val="0"/>
                <w:i w:val="0"/>
                <w:color w:val="000000"/>
                <w:sz w:val="19"/>
              </w:rPr>
              <w:t>117.17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96.29</w:t>
            </w:r>
          </w:p>
        </w:tc>
        <w:tc>
          <w:tcPr>
            <w:tcW w:w="1600" w:type="dxa"/>
            <w:vAlign w:val="center"/>
          </w:tcPr>
          <w:p>
            <w:pPr>
              <w:jc w:val="right"/>
            </w:pPr>
            <w:r>
              <w:rPr>
                <w:rFonts w:ascii="宋体" w:hAnsi="宋体" w:eastAsia="宋体" w:cs="宋体"/>
                <w:b w:val="0"/>
                <w:i w:val="0"/>
                <w:color w:val="000000"/>
                <w:sz w:val="19"/>
              </w:rPr>
              <w:t>96.29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20.88</w:t>
            </w:r>
          </w:p>
        </w:tc>
        <w:tc>
          <w:tcPr>
            <w:tcW w:w="1600" w:type="dxa"/>
            <w:vAlign w:val="center"/>
          </w:tcPr>
          <w:p>
            <w:pPr>
              <w:jc w:val="right"/>
            </w:pPr>
            <w:r>
              <w:rPr>
                <w:rFonts w:ascii="宋体" w:hAnsi="宋体" w:eastAsia="宋体" w:cs="宋体"/>
                <w:b w:val="0"/>
                <w:i w:val="0"/>
                <w:color w:val="000000"/>
                <w:sz w:val="19"/>
              </w:rPr>
              <w:t>20.88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21.46</w:t>
            </w:r>
          </w:p>
        </w:tc>
        <w:tc>
          <w:tcPr>
            <w:tcW w:w="1600" w:type="dxa"/>
            <w:vAlign w:val="center"/>
          </w:tcPr>
          <w:p>
            <w:pPr>
              <w:jc w:val="right"/>
            </w:pPr>
            <w:r>
              <w:rPr>
                <w:rFonts w:ascii="宋体" w:hAnsi="宋体" w:eastAsia="宋体" w:cs="宋体"/>
                <w:b w:val="0"/>
                <w:i w:val="0"/>
                <w:color w:val="000000"/>
                <w:sz w:val="19"/>
              </w:rPr>
              <w:t>21.46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21.46</w:t>
            </w:r>
          </w:p>
        </w:tc>
        <w:tc>
          <w:tcPr>
            <w:tcW w:w="1600" w:type="dxa"/>
            <w:vAlign w:val="center"/>
          </w:tcPr>
          <w:p>
            <w:pPr>
              <w:jc w:val="right"/>
            </w:pPr>
            <w:r>
              <w:rPr>
                <w:rFonts w:ascii="宋体" w:hAnsi="宋体" w:eastAsia="宋体" w:cs="宋体"/>
                <w:b w:val="0"/>
                <w:i w:val="0"/>
                <w:color w:val="000000"/>
                <w:sz w:val="19"/>
              </w:rPr>
              <w:t>21.46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10.69</w:t>
            </w:r>
          </w:p>
        </w:tc>
        <w:tc>
          <w:tcPr>
            <w:tcW w:w="1600" w:type="dxa"/>
            <w:vAlign w:val="center"/>
          </w:tcPr>
          <w:p>
            <w:pPr>
              <w:jc w:val="right"/>
            </w:pPr>
            <w:r>
              <w:rPr>
                <w:rFonts w:ascii="宋体" w:hAnsi="宋体" w:eastAsia="宋体" w:cs="宋体"/>
                <w:b w:val="0"/>
                <w:i w:val="0"/>
                <w:color w:val="000000"/>
                <w:sz w:val="19"/>
              </w:rPr>
              <w:t>10.69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10.78</w:t>
            </w:r>
          </w:p>
        </w:tc>
        <w:tc>
          <w:tcPr>
            <w:tcW w:w="1600" w:type="dxa"/>
            <w:vAlign w:val="center"/>
          </w:tcPr>
          <w:p>
            <w:pPr>
              <w:jc w:val="right"/>
            </w:pPr>
            <w:r>
              <w:rPr>
                <w:rFonts w:ascii="宋体" w:hAnsi="宋体" w:eastAsia="宋体" w:cs="宋体"/>
                <w:b w:val="0"/>
                <w:i w:val="0"/>
                <w:color w:val="000000"/>
                <w:sz w:val="19"/>
              </w:rPr>
              <w:t>10.78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316.71</w:t>
            </w:r>
          </w:p>
        </w:tc>
        <w:tc>
          <w:tcPr>
            <w:tcW w:w="1600" w:type="dxa"/>
            <w:vAlign w:val="center"/>
          </w:tcPr>
          <w:p>
            <w:pPr>
              <w:jc w:val="right"/>
            </w:pPr>
            <w:r>
              <w:rPr>
                <w:rFonts w:ascii="宋体" w:hAnsi="宋体" w:eastAsia="宋体" w:cs="宋体"/>
                <w:b w:val="0"/>
                <w:i w:val="0"/>
                <w:color w:val="000000"/>
                <w:sz w:val="19"/>
              </w:rPr>
              <w:t>314.21</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314.21</w:t>
            </w:r>
          </w:p>
        </w:tc>
        <w:tc>
          <w:tcPr>
            <w:tcW w:w="1600" w:type="dxa"/>
            <w:vAlign w:val="center"/>
          </w:tcPr>
          <w:p>
            <w:pPr>
              <w:jc w:val="right"/>
            </w:pPr>
            <w:r>
              <w:rPr>
                <w:rFonts w:ascii="宋体" w:hAnsi="宋体" w:eastAsia="宋体" w:cs="宋体"/>
                <w:b w:val="0"/>
                <w:i w:val="0"/>
                <w:color w:val="000000"/>
                <w:sz w:val="19"/>
              </w:rPr>
              <w:t>314.21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314.21</w:t>
            </w:r>
          </w:p>
        </w:tc>
        <w:tc>
          <w:tcPr>
            <w:tcW w:w="1600" w:type="dxa"/>
            <w:vAlign w:val="center"/>
          </w:tcPr>
          <w:p>
            <w:pPr>
              <w:jc w:val="right"/>
            </w:pPr>
            <w:r>
              <w:rPr>
                <w:rFonts w:ascii="宋体" w:hAnsi="宋体" w:eastAsia="宋体" w:cs="宋体"/>
                <w:b w:val="0"/>
                <w:i w:val="0"/>
                <w:color w:val="000000"/>
                <w:sz w:val="19"/>
              </w:rPr>
              <w:t>314.21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19.00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569.21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22.32</w:t>
            </w:r>
          </w:p>
        </w:tc>
        <w:tc>
          <w:tcPr>
            <w:tcW w:w="1420" w:type="dxa"/>
            <w:vAlign w:val="center"/>
          </w:tcPr>
          <w:p>
            <w:pPr>
              <w:jc w:val="right"/>
            </w:pPr>
            <w:r>
              <w:rPr>
                <w:rFonts w:ascii="宋体" w:hAnsi="宋体" w:eastAsia="宋体" w:cs="宋体"/>
                <w:b w:val="0"/>
                <w:i w:val="0"/>
                <w:color w:val="000000"/>
                <w:sz w:val="18"/>
              </w:rPr>
              <w:t>22.32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189.71</w:t>
            </w:r>
          </w:p>
        </w:tc>
        <w:tc>
          <w:tcPr>
            <w:tcW w:w="1420" w:type="dxa"/>
            <w:vAlign w:val="center"/>
          </w:tcPr>
          <w:p>
            <w:pPr>
              <w:jc w:val="right"/>
            </w:pPr>
            <w:r>
              <w:rPr>
                <w:rFonts w:ascii="宋体" w:hAnsi="宋体" w:eastAsia="宋体" w:cs="宋体"/>
                <w:b w:val="0"/>
                <w:i w:val="0"/>
                <w:color w:val="000000"/>
                <w:sz w:val="18"/>
              </w:rPr>
              <w:t>189.71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21.46</w:t>
            </w:r>
          </w:p>
        </w:tc>
        <w:tc>
          <w:tcPr>
            <w:tcW w:w="1420" w:type="dxa"/>
            <w:vAlign w:val="center"/>
          </w:tcPr>
          <w:p>
            <w:pPr>
              <w:jc w:val="right"/>
            </w:pPr>
            <w:r>
              <w:rPr>
                <w:rFonts w:ascii="宋体" w:hAnsi="宋体" w:eastAsia="宋体" w:cs="宋体"/>
                <w:b w:val="0"/>
                <w:i w:val="0"/>
                <w:color w:val="000000"/>
                <w:sz w:val="18"/>
              </w:rPr>
              <w:t>21.46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316.71</w:t>
            </w:r>
          </w:p>
        </w:tc>
        <w:tc>
          <w:tcPr>
            <w:tcW w:w="1420" w:type="dxa"/>
            <w:vAlign w:val="center"/>
          </w:tcPr>
          <w:p>
            <w:pPr>
              <w:jc w:val="right"/>
            </w:pPr>
            <w:r>
              <w:rPr>
                <w:rFonts w:ascii="宋体" w:hAnsi="宋体" w:eastAsia="宋体" w:cs="宋体"/>
                <w:b w:val="0"/>
                <w:i w:val="0"/>
                <w:color w:val="000000"/>
                <w:sz w:val="18"/>
              </w:rPr>
              <w:t>316.71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19.00</w:t>
            </w:r>
          </w:p>
        </w:tc>
        <w:tc>
          <w:tcPr>
            <w:tcW w:w="1420" w:type="dxa"/>
            <w:vAlign w:val="center"/>
          </w:tcPr>
          <w:p>
            <w:pPr>
              <w:jc w:val="right"/>
            </w:pPr>
            <w:r>
              <w:rPr>
                <w:rFonts w:ascii="宋体" w:hAnsi="宋体" w:eastAsia="宋体" w:cs="宋体"/>
                <w:b w:val="0"/>
                <w:i w:val="0"/>
                <w:color w:val="000000"/>
                <w:sz w:val="18"/>
              </w:rPr>
              <w:t>19.00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569.21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569.21</w:t>
            </w:r>
          </w:p>
        </w:tc>
        <w:tc>
          <w:tcPr>
            <w:tcW w:w="1420" w:type="dxa"/>
            <w:vAlign w:val="center"/>
          </w:tcPr>
          <w:p>
            <w:pPr>
              <w:jc w:val="right"/>
            </w:pPr>
            <w:r>
              <w:rPr>
                <w:rFonts w:ascii="宋体" w:hAnsi="宋体" w:eastAsia="宋体" w:cs="宋体"/>
                <w:b w:val="0"/>
                <w:i w:val="0"/>
                <w:color w:val="000000"/>
                <w:sz w:val="18"/>
              </w:rPr>
              <w:t>569.21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569.21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569.21</w:t>
            </w:r>
          </w:p>
        </w:tc>
        <w:tc>
          <w:tcPr>
            <w:tcW w:w="1420" w:type="dxa"/>
            <w:vAlign w:val="center"/>
          </w:tcPr>
          <w:p>
            <w:pPr>
              <w:jc w:val="right"/>
            </w:pPr>
            <w:r>
              <w:rPr>
                <w:rFonts w:ascii="宋体" w:hAnsi="宋体" w:eastAsia="宋体" w:cs="宋体"/>
                <w:b w:val="0"/>
                <w:i w:val="0"/>
                <w:color w:val="000000"/>
                <w:sz w:val="18"/>
              </w:rPr>
              <w:t>569.21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569.21</w:t>
            </w:r>
          </w:p>
        </w:tc>
        <w:tc>
          <w:tcPr>
            <w:tcW w:w="2700" w:type="dxa"/>
            <w:vAlign w:val="center"/>
          </w:tcPr>
          <w:p>
            <w:pPr>
              <w:jc w:val="right"/>
            </w:pPr>
            <w:r>
              <w:rPr>
                <w:rFonts w:ascii="宋体" w:hAnsi="宋体" w:eastAsia="宋体" w:cs="宋体"/>
                <w:b/>
                <w:i w:val="0"/>
                <w:color w:val="000000"/>
                <w:sz w:val="25"/>
              </w:rPr>
              <w:t>566.71</w:t>
            </w:r>
          </w:p>
        </w:tc>
        <w:tc>
          <w:tcPr>
            <w:tcW w:w="2658" w:type="dxa"/>
            <w:vAlign w:val="center"/>
          </w:tcPr>
          <w:p>
            <w:pPr>
              <w:jc w:val="right"/>
            </w:pPr>
            <w:r>
              <w:rPr>
                <w:rFonts w:ascii="宋体" w:hAnsi="宋体" w:eastAsia="宋体" w:cs="宋体"/>
                <w:b/>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22.32</w:t>
            </w:r>
          </w:p>
        </w:tc>
        <w:tc>
          <w:tcPr>
            <w:tcW w:w="2700" w:type="dxa"/>
            <w:vAlign w:val="center"/>
          </w:tcPr>
          <w:p>
            <w:pPr>
              <w:jc w:val="right"/>
            </w:pPr>
            <w:r>
              <w:rPr>
                <w:rFonts w:ascii="宋体" w:hAnsi="宋体" w:eastAsia="宋体" w:cs="宋体"/>
                <w:b w:val="0"/>
                <w:i w:val="0"/>
                <w:color w:val="000000"/>
                <w:sz w:val="25"/>
              </w:rPr>
              <w:t>22.32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1.98</w:t>
            </w:r>
          </w:p>
        </w:tc>
        <w:tc>
          <w:tcPr>
            <w:tcW w:w="2700" w:type="dxa"/>
            <w:vAlign w:val="center"/>
          </w:tcPr>
          <w:p>
            <w:pPr>
              <w:jc w:val="right"/>
            </w:pPr>
            <w:r>
              <w:rPr>
                <w:rFonts w:ascii="宋体" w:hAnsi="宋体" w:eastAsia="宋体" w:cs="宋体"/>
                <w:b w:val="0"/>
                <w:i w:val="0"/>
                <w:color w:val="000000"/>
                <w:sz w:val="25"/>
              </w:rPr>
              <w:t>1.98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1.98</w:t>
            </w:r>
          </w:p>
        </w:tc>
        <w:tc>
          <w:tcPr>
            <w:tcW w:w="2700" w:type="dxa"/>
            <w:vAlign w:val="center"/>
          </w:tcPr>
          <w:p>
            <w:pPr>
              <w:jc w:val="right"/>
            </w:pPr>
            <w:r>
              <w:rPr>
                <w:rFonts w:ascii="宋体" w:hAnsi="宋体" w:eastAsia="宋体" w:cs="宋体"/>
                <w:b w:val="0"/>
                <w:i w:val="0"/>
                <w:color w:val="000000"/>
                <w:sz w:val="25"/>
              </w:rPr>
              <w:t>1.98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20.34</w:t>
            </w:r>
          </w:p>
        </w:tc>
        <w:tc>
          <w:tcPr>
            <w:tcW w:w="2700" w:type="dxa"/>
            <w:vAlign w:val="center"/>
          </w:tcPr>
          <w:p>
            <w:pPr>
              <w:jc w:val="right"/>
            </w:pPr>
            <w:r>
              <w:rPr>
                <w:rFonts w:ascii="宋体" w:hAnsi="宋体" w:eastAsia="宋体" w:cs="宋体"/>
                <w:b w:val="0"/>
                <w:i w:val="0"/>
                <w:color w:val="000000"/>
                <w:sz w:val="25"/>
              </w:rPr>
              <w:t>20.34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20.34</w:t>
            </w:r>
          </w:p>
        </w:tc>
        <w:tc>
          <w:tcPr>
            <w:tcW w:w="2700" w:type="dxa"/>
            <w:vAlign w:val="center"/>
          </w:tcPr>
          <w:p>
            <w:pPr>
              <w:jc w:val="right"/>
            </w:pPr>
            <w:r>
              <w:rPr>
                <w:rFonts w:ascii="宋体" w:hAnsi="宋体" w:eastAsia="宋体" w:cs="宋体"/>
                <w:b w:val="0"/>
                <w:i w:val="0"/>
                <w:color w:val="000000"/>
                <w:sz w:val="25"/>
              </w:rPr>
              <w:t>20.34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189.71</w:t>
            </w:r>
          </w:p>
        </w:tc>
        <w:tc>
          <w:tcPr>
            <w:tcW w:w="2700" w:type="dxa"/>
            <w:vAlign w:val="center"/>
          </w:tcPr>
          <w:p>
            <w:pPr>
              <w:jc w:val="right"/>
            </w:pPr>
            <w:r>
              <w:rPr>
                <w:rFonts w:ascii="宋体" w:hAnsi="宋体" w:eastAsia="宋体" w:cs="宋体"/>
                <w:b w:val="0"/>
                <w:i w:val="0"/>
                <w:color w:val="000000"/>
                <w:sz w:val="25"/>
              </w:rPr>
              <w:t>189.71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117.17</w:t>
            </w:r>
          </w:p>
        </w:tc>
        <w:tc>
          <w:tcPr>
            <w:tcW w:w="2700" w:type="dxa"/>
            <w:vAlign w:val="center"/>
          </w:tcPr>
          <w:p>
            <w:pPr>
              <w:jc w:val="right"/>
            </w:pPr>
            <w:r>
              <w:rPr>
                <w:rFonts w:ascii="宋体" w:hAnsi="宋体" w:eastAsia="宋体" w:cs="宋体"/>
                <w:b w:val="0"/>
                <w:i w:val="0"/>
                <w:color w:val="000000"/>
                <w:sz w:val="25"/>
              </w:rPr>
              <w:t>117.17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96.29</w:t>
            </w:r>
          </w:p>
        </w:tc>
        <w:tc>
          <w:tcPr>
            <w:tcW w:w="2700" w:type="dxa"/>
            <w:vAlign w:val="center"/>
          </w:tcPr>
          <w:p>
            <w:pPr>
              <w:jc w:val="right"/>
            </w:pPr>
            <w:r>
              <w:rPr>
                <w:rFonts w:ascii="宋体" w:hAnsi="宋体" w:eastAsia="宋体" w:cs="宋体"/>
                <w:b w:val="0"/>
                <w:i w:val="0"/>
                <w:color w:val="000000"/>
                <w:sz w:val="25"/>
              </w:rPr>
              <w:t>96.29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20.88</w:t>
            </w:r>
          </w:p>
        </w:tc>
        <w:tc>
          <w:tcPr>
            <w:tcW w:w="2700" w:type="dxa"/>
            <w:vAlign w:val="center"/>
          </w:tcPr>
          <w:p>
            <w:pPr>
              <w:jc w:val="right"/>
            </w:pPr>
            <w:r>
              <w:rPr>
                <w:rFonts w:ascii="宋体" w:hAnsi="宋体" w:eastAsia="宋体" w:cs="宋体"/>
                <w:b w:val="0"/>
                <w:i w:val="0"/>
                <w:color w:val="000000"/>
                <w:sz w:val="25"/>
              </w:rPr>
              <w:t>20.88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72.55</w:t>
            </w:r>
          </w:p>
        </w:tc>
        <w:tc>
          <w:tcPr>
            <w:tcW w:w="2700" w:type="dxa"/>
            <w:vAlign w:val="center"/>
          </w:tcPr>
          <w:p>
            <w:pPr>
              <w:jc w:val="right"/>
            </w:pPr>
            <w:r>
              <w:rPr>
                <w:rFonts w:ascii="宋体" w:hAnsi="宋体" w:eastAsia="宋体" w:cs="宋体"/>
                <w:b w:val="0"/>
                <w:i w:val="0"/>
                <w:color w:val="000000"/>
                <w:sz w:val="25"/>
              </w:rPr>
              <w:t>72.55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72.55</w:t>
            </w:r>
          </w:p>
        </w:tc>
        <w:tc>
          <w:tcPr>
            <w:tcW w:w="2700" w:type="dxa"/>
            <w:vAlign w:val="center"/>
          </w:tcPr>
          <w:p>
            <w:pPr>
              <w:jc w:val="right"/>
            </w:pPr>
            <w:r>
              <w:rPr>
                <w:rFonts w:ascii="宋体" w:hAnsi="宋体" w:eastAsia="宋体" w:cs="宋体"/>
                <w:b w:val="0"/>
                <w:i w:val="0"/>
                <w:color w:val="000000"/>
                <w:sz w:val="25"/>
              </w:rPr>
              <w:t>72.55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21.46</w:t>
            </w:r>
          </w:p>
        </w:tc>
        <w:tc>
          <w:tcPr>
            <w:tcW w:w="2700" w:type="dxa"/>
            <w:vAlign w:val="center"/>
          </w:tcPr>
          <w:p>
            <w:pPr>
              <w:jc w:val="right"/>
            </w:pPr>
            <w:r>
              <w:rPr>
                <w:rFonts w:ascii="宋体" w:hAnsi="宋体" w:eastAsia="宋体" w:cs="宋体"/>
                <w:b w:val="0"/>
                <w:i w:val="0"/>
                <w:color w:val="000000"/>
                <w:sz w:val="25"/>
              </w:rPr>
              <w:t>21.46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21.46</w:t>
            </w:r>
          </w:p>
        </w:tc>
        <w:tc>
          <w:tcPr>
            <w:tcW w:w="2700" w:type="dxa"/>
            <w:vAlign w:val="center"/>
          </w:tcPr>
          <w:p>
            <w:pPr>
              <w:jc w:val="right"/>
            </w:pPr>
            <w:r>
              <w:rPr>
                <w:rFonts w:ascii="宋体" w:hAnsi="宋体" w:eastAsia="宋体" w:cs="宋体"/>
                <w:b w:val="0"/>
                <w:i w:val="0"/>
                <w:color w:val="000000"/>
                <w:sz w:val="25"/>
              </w:rPr>
              <w:t>21.46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10.69</w:t>
            </w:r>
          </w:p>
        </w:tc>
        <w:tc>
          <w:tcPr>
            <w:tcW w:w="2700" w:type="dxa"/>
            <w:vAlign w:val="center"/>
          </w:tcPr>
          <w:p>
            <w:pPr>
              <w:jc w:val="right"/>
            </w:pPr>
            <w:r>
              <w:rPr>
                <w:rFonts w:ascii="宋体" w:hAnsi="宋体" w:eastAsia="宋体" w:cs="宋体"/>
                <w:b w:val="0"/>
                <w:i w:val="0"/>
                <w:color w:val="000000"/>
                <w:sz w:val="25"/>
              </w:rPr>
              <w:t>10.69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10.78</w:t>
            </w:r>
          </w:p>
        </w:tc>
        <w:tc>
          <w:tcPr>
            <w:tcW w:w="2700" w:type="dxa"/>
            <w:vAlign w:val="center"/>
          </w:tcPr>
          <w:p>
            <w:pPr>
              <w:jc w:val="right"/>
            </w:pPr>
            <w:r>
              <w:rPr>
                <w:rFonts w:ascii="宋体" w:hAnsi="宋体" w:eastAsia="宋体" w:cs="宋体"/>
                <w:b w:val="0"/>
                <w:i w:val="0"/>
                <w:color w:val="000000"/>
                <w:sz w:val="25"/>
              </w:rPr>
              <w:t>10.78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316.71</w:t>
            </w:r>
          </w:p>
        </w:tc>
        <w:tc>
          <w:tcPr>
            <w:tcW w:w="2700" w:type="dxa"/>
            <w:vAlign w:val="center"/>
          </w:tcPr>
          <w:p>
            <w:pPr>
              <w:jc w:val="right"/>
            </w:pPr>
            <w:r>
              <w:rPr>
                <w:rFonts w:ascii="宋体" w:hAnsi="宋体" w:eastAsia="宋体" w:cs="宋体"/>
                <w:b w:val="0"/>
                <w:i w:val="0"/>
                <w:color w:val="000000"/>
                <w:sz w:val="25"/>
              </w:rPr>
              <w:t>314.21</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314.21</w:t>
            </w:r>
          </w:p>
        </w:tc>
        <w:tc>
          <w:tcPr>
            <w:tcW w:w="2700" w:type="dxa"/>
            <w:vAlign w:val="center"/>
          </w:tcPr>
          <w:p>
            <w:pPr>
              <w:jc w:val="right"/>
            </w:pPr>
            <w:r>
              <w:rPr>
                <w:rFonts w:ascii="宋体" w:hAnsi="宋体" w:eastAsia="宋体" w:cs="宋体"/>
                <w:b w:val="0"/>
                <w:i w:val="0"/>
                <w:color w:val="000000"/>
                <w:sz w:val="25"/>
              </w:rPr>
              <w:t>314.21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314.21</w:t>
            </w:r>
          </w:p>
        </w:tc>
        <w:tc>
          <w:tcPr>
            <w:tcW w:w="2700" w:type="dxa"/>
            <w:vAlign w:val="center"/>
          </w:tcPr>
          <w:p>
            <w:pPr>
              <w:jc w:val="right"/>
            </w:pPr>
            <w:r>
              <w:rPr>
                <w:rFonts w:ascii="宋体" w:hAnsi="宋体" w:eastAsia="宋体" w:cs="宋体"/>
                <w:b w:val="0"/>
                <w:i w:val="0"/>
                <w:color w:val="000000"/>
                <w:sz w:val="25"/>
              </w:rPr>
              <w:t>314.21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19.00</w:t>
            </w:r>
          </w:p>
        </w:tc>
        <w:tc>
          <w:tcPr>
            <w:tcW w:w="2700" w:type="dxa"/>
            <w:vAlign w:val="center"/>
          </w:tcPr>
          <w:p>
            <w:pPr>
              <w:jc w:val="right"/>
            </w:pPr>
            <w:r>
              <w:rPr>
                <w:rFonts w:ascii="宋体" w:hAnsi="宋体" w:eastAsia="宋体" w:cs="宋体"/>
                <w:b w:val="0"/>
                <w:i w:val="0"/>
                <w:color w:val="000000"/>
                <w:sz w:val="25"/>
              </w:rPr>
              <w:t>19.00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19.00</w:t>
            </w:r>
          </w:p>
        </w:tc>
        <w:tc>
          <w:tcPr>
            <w:tcW w:w="2700" w:type="dxa"/>
            <w:vAlign w:val="center"/>
          </w:tcPr>
          <w:p>
            <w:pPr>
              <w:jc w:val="right"/>
            </w:pPr>
            <w:r>
              <w:rPr>
                <w:rFonts w:ascii="宋体" w:hAnsi="宋体" w:eastAsia="宋体" w:cs="宋体"/>
                <w:b w:val="0"/>
                <w:i w:val="0"/>
                <w:color w:val="000000"/>
                <w:sz w:val="25"/>
              </w:rPr>
              <w:t>19.00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19.00</w:t>
            </w:r>
          </w:p>
        </w:tc>
        <w:tc>
          <w:tcPr>
            <w:tcW w:w="2700" w:type="dxa"/>
            <w:vAlign w:val="center"/>
          </w:tcPr>
          <w:p>
            <w:pPr>
              <w:jc w:val="right"/>
            </w:pPr>
            <w:r>
              <w:rPr>
                <w:rFonts w:ascii="宋体" w:hAnsi="宋体" w:eastAsia="宋体" w:cs="宋体"/>
                <w:b w:val="0"/>
                <w:i w:val="0"/>
                <w:color w:val="000000"/>
                <w:sz w:val="25"/>
              </w:rPr>
              <w:t>19.00</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353.14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41.26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70.50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3.01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117.49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97.63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20.88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1.11</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9.70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10.78</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3.14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19.00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7.02</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6.00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172.32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3.22</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1.21</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93.88</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72.55</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1.89</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3.69</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0.78</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1.98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2.44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2.25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15.14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1.14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525.46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41.26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单位：许昌市农机发展中心（本级）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4.30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0.30</w:t>
            </w:r>
          </w:p>
        </w:tc>
        <w:tc>
          <w:tcPr>
            <w:tcW w:w="1160" w:type="dxa"/>
            <w:vAlign w:val="center"/>
          </w:tcPr>
          <w:p>
            <w:pPr>
              <w:jc w:val="right"/>
            </w:pPr>
            <w:r>
              <w:rPr>
                <w:rFonts w:ascii="宋体" w:hAnsi="宋体" w:eastAsia="宋体" w:cs="宋体"/>
                <w:b w:val="0"/>
                <w:i w:val="0"/>
                <w:color w:val="000000"/>
                <w:sz w:val="17"/>
              </w:rPr>
              <w:t>2.32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98" w:type="dxa"/>
            <w:vAlign w:val="center"/>
          </w:tcPr>
          <w:p>
            <w:pPr>
              <w:jc w:val="right"/>
            </w:pPr>
            <w:r>
              <w:rPr>
                <w:rFonts w:ascii="宋体" w:hAnsi="宋体" w:eastAsia="宋体" w:cs="宋体"/>
                <w:b w:val="0"/>
                <w:i w:val="0"/>
                <w:color w:val="000000"/>
                <w:sz w:val="17"/>
              </w:rPr>
              <w:t>0.07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2023年度收、支总计均为569.31万元。与上年度相比，收、支总计各增加111.58万元，增长24.38%。主要原因是单位本年度离退休人员死亡3人和人员经费增加等。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569.31万元，其中：财政拨款收入569.21万元，占99.98%；上级补助收入0.00万元，占0.00%；事业收入0.00万元，占0.00%；经营收入0.00万元，占0.00%；附属单位上缴收入0.00万元，占0.00%；其他收入0.10万元，占0.02%。</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2023年度支出合计569.21万元，其中：基本支出566.71万元，占99.56%；项目支出2.50万元，占0.44%；上缴上级支出0.00万元，占0.00%；经营支出0.00万元，占0.00%；对附属单位补助支出0.00万元，占0.00%。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2023年度财政拨款收、支总计均为569.21万元。与上年度相比，财政拨款收、支总计各增加111.48万元，增长24.35%。主要原因是单位本年度离退休人员死亡3人和人员经费增加等。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2023年度一般公共预算财政拨款支出569.21万元，占支出合计的100.00%。与上年度相比，一般公共预算财政拨款支出增加111.48万元，增长24.35%。主要原因是单位本年度离退休人员死亡3人和人员经费增加等。</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569.21万元，主要用于以下方面：一般公共服务支出（类）22.32万元，占3.92%；社会保障和就业支出（类）189.71万元，占33.33%；卫生健康支出（类）21.46万元，占3.77%；农林水支出（类）316.71万元，占55.64%；住房保障支出（类）19.00万元，占3.34%。</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2023年度一般公共预算财政拨款支出年初预算为469.71万元，支出决算为569.21万元，完成年初预算的121.18%。其中：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年初预算数为1.98万元，决算数1.98万元,完成年初预算的100.00%，决算数与年初预算数不存在差异。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年初预算数为0.00万元，决算数20.34万元,决算数与年初预算数存在差异的主要原因是职工部分补贴列入“其他一般公共服务支出”。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2"/>
          <w:sz w:val="32"/>
          <w:szCs w:val="32"/>
          <w:lang w:val="en-US" w:eastAsia="zh-CN"/>
        </w:rPr>
        <w:t>年初预算数为88.50万元，决算数96.29万元,完成年初预算的108.80%，决算数与年初预算数存在差异的主要原因是单位本年度退休人员增加2人。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年初预算数为22.74万元，决算数20.88万元,完成年初预算的91.82%，决算数与年初预算数存在差异的主要原因是单位本年度在职转退休2人。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年初预算数为0.00万元，决算数72.55万元,决算数与年初预算数存在差异的主要原因是单位本年度离退休人员死亡3人。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2"/>
          <w:sz w:val="32"/>
          <w:szCs w:val="32"/>
          <w:lang w:val="en-US" w:eastAsia="zh-CN"/>
        </w:rPr>
        <w:t>年初预算数为11.20万元，决算数10.69万元,完成年初预算的95.45%，决算数与年初预算数存在差异的主要原因是单位本年度在职转退休2人。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2"/>
          <w:sz w:val="32"/>
          <w:szCs w:val="32"/>
          <w:lang w:val="en-US" w:eastAsia="zh-CN"/>
        </w:rPr>
        <w:t>年初预算数为12.45万元，决算数10.78万元,完成年初预算的86.59%，决算数与年初预算数存在差异的主要原因是单位本年度在职转退休2人。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8.农林水支出（类）农业农村（款）行政运行（项）</w:t>
      </w:r>
      <w:r>
        <w:rPr>
          <w:rFonts w:hint="default" w:ascii="仿宋" w:hAnsi="仿宋" w:eastAsia="仿宋" w:cs="仿宋"/>
          <w:kern w:val="2"/>
          <w:sz w:val="32"/>
          <w:szCs w:val="32"/>
          <w:lang w:val="en-US" w:eastAsia="zh-CN"/>
        </w:rPr>
        <w:t>年初预算数为311.50万元，决算数314.21万元,完成年初预算的100.87%，决算数与年初预算数存在差异的主要原因是年中追加人员经费等。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年初预算数为0.00万元，决算数2.50万元,决算数与年初预算数存在差异的主要原因是驻村第一书记补助列为</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一般行政管理事务</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10.住房保障支出（类）住房改革支出（款）住房公积金（项）</w:t>
      </w:r>
      <w:r>
        <w:rPr>
          <w:rFonts w:hint="default" w:ascii="仿宋" w:hAnsi="仿宋" w:eastAsia="仿宋" w:cs="仿宋"/>
          <w:kern w:val="2"/>
          <w:sz w:val="32"/>
          <w:szCs w:val="32"/>
          <w:lang w:val="en-US" w:eastAsia="zh-CN"/>
        </w:rPr>
        <w:t>年初预算数为21.34万元，决算数19.00万元,完成年初预算的89.03%，决算数与年初预算数存在差异的主要原因是单位本年度在职转退休2人。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566.71万元。其中：人员经费525.46万元，主要包括：基本工资、津贴补贴、奖金、机关事业单位基本养老保险缴费、职工基本医疗保险缴费、公务员医疗补助缴费、其他社会保障缴费、住房公积金、其他工资福利支出、离休费、退休费、抚恤金、生活补助、医疗费补助。公用经费41.26万元，主要包括：办公费、邮电费、差旅费、租赁费、会议费、培训费、公务接待费、劳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2023年度“三公”经费财政拨款支出预算为4.30万元，支出决算为2.32万元，完成预算的53.95%。2023年度“三公”经费支出决算数与预算数存在差异的主要原因是公车运行经费和公务接待经费支出减少。</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2.25万元,完成预算的56.25%，占96.98%；公务接待费支出决算0.07万元，完成预算的23.33%，占3.02%。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预算为4.00万元，支出决算为2.25万元，完成预算的56.25%。决算数与预算数存在差异的主要原因是公车运行经费支出减少。其中：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2.25万元。主要用于燃油费、保险费和路桥费等。2023年期末，单位开支财政拨款的公务用车保有量为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预算为0.30万元，支出决算为0.07万元</w:t>
      </w:r>
      <w:r>
        <w:rPr>
          <w:rFonts w:hint="eastAsia" w:ascii="仿宋" w:hAnsi="仿宋" w:eastAsia="仿宋" w:cs="仿宋"/>
          <w:kern w:val="0"/>
          <w:sz w:val="32"/>
          <w:szCs w:val="32"/>
          <w:lang w:val="en-US" w:eastAsia="zh-CN"/>
        </w:rPr>
        <w:t>，完成预算的23.33%</w:t>
      </w:r>
      <w:r>
        <w:rPr>
          <w:rFonts w:hint="eastAsia" w:ascii="仿宋" w:hAnsi="仿宋" w:eastAsia="仿宋" w:cs="仿宋"/>
          <w:b w:val="0"/>
          <w:bCs w:val="0"/>
          <w:kern w:val="0"/>
          <w:sz w:val="32"/>
          <w:szCs w:val="32"/>
          <w:lang w:val="en-US" w:eastAsia="zh-CN"/>
        </w:rPr>
        <w:t>。决算数与预算数存在差异的主要原因是公务接待经费支出减少。其中：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主要用于接待上级部门检查调研工作人员。</w:t>
      </w:r>
      <w:r>
        <w:rPr>
          <w:rFonts w:hint="eastAsia" w:ascii="仿宋" w:hAnsi="仿宋" w:eastAsia="仿宋" w:cs="仿宋"/>
          <w:kern w:val="0"/>
          <w:sz w:val="32"/>
          <w:szCs w:val="32"/>
          <w:lang w:val="en-US" w:eastAsia="zh-CN"/>
        </w:rPr>
        <w:t>2023年共接待国内来访团组1个、来宾4人次（不包括陪同人员）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2023年度机关运行经费支出41.26万元，较2022年度增长3.90万元，增长10.44%，主要原因是疫情结束后公务活动增多。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633.39万元。自评得分为91分，等级为“优”。从单位整体自评情况来看，单位绩效管理工作全面开展，整体支出绩效监控没有发现问题，严格按照支出绩效进度，资金到位准确、资金执行严格按照财政、审计和单位强化资金预算管理和财务监督管理。在单位内部建立相应的财务监督审查制度和绩效管理制度，确保资金合理使用，较好完成了年度总体目标和年度主要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基于项目预期目标的实现程度，我单位对2023年度单位预算项目支出（含单位参与分配的转移支付项目）开展绩效自评，涉及项目1个，项目金额2.50万元。其中：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巩固脱贫攻坚成果衔接乡村振兴项目，自评得分为100分，等级为“优”。巩固脱贫攻坚成果衔接乡村振兴项目自评得分100分，该项目全年预算2.50万元、全年执行2.50万元、执行率100%，较好完成保障驻村第一书记补助经费，足额发放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单位绩效管理工作全面开展，项目支出绩效监控没有发现问题，严格按照支出绩效进度，资金到位准确、资金执行严格按照财政、审计和单位强化资金预算管理和财务监督管理。在单位内部建立相应的财务监督审查制度和绩效管理制度，确保资金合理使用，较好完成了年度总体目标和年度主要任务。</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606"/>
        <w:gridCol w:w="685"/>
        <w:gridCol w:w="388"/>
        <w:gridCol w:w="797"/>
        <w:gridCol w:w="1354"/>
        <w:gridCol w:w="1065"/>
        <w:gridCol w:w="32"/>
        <w:gridCol w:w="1204"/>
        <w:gridCol w:w="2"/>
        <w:gridCol w:w="625"/>
        <w:gridCol w:w="624"/>
        <w:gridCol w:w="750"/>
        <w:gridCol w:w="604"/>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96" w:hRule="atLeast"/>
        </w:trPr>
        <w:tc>
          <w:tcPr>
            <w:tcW w:w="9960" w:type="dxa"/>
            <w:gridSpan w:val="14"/>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eastAsia" w:eastAsia="宋体"/>
                <w:b/>
                <w:i w:val="0"/>
                <w:snapToGrid/>
                <w:color w:val="000000"/>
                <w:sz w:val="38"/>
                <w:u w:val="none"/>
                <w:lang w:eastAsia="zh-CN"/>
              </w:rPr>
              <w:t>单位</w:t>
            </w:r>
            <w:r>
              <w:rPr>
                <w:rFonts w:hint="default" w:ascii="宋体" w:hAnsi="宋体" w:eastAsia="宋体"/>
                <w:b/>
                <w:i w:val="0"/>
                <w:snapToGrid/>
                <w:color w:val="000000"/>
                <w:sz w:val="38"/>
                <w:u w:val="none"/>
                <w:lang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247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eastAsia" w:eastAsia="宋体"/>
                <w:b w:val="0"/>
                <w:i w:val="0"/>
                <w:snapToGrid/>
                <w:color w:val="000000"/>
                <w:sz w:val="18"/>
                <w:u w:val="none"/>
                <w:lang w:eastAsia="zh-CN"/>
              </w:rPr>
              <w:t>单位</w:t>
            </w:r>
            <w:r>
              <w:rPr>
                <w:rFonts w:hint="default" w:ascii="宋体" w:hAnsi="宋体" w:eastAsia="宋体"/>
                <w:b w:val="0"/>
                <w:i w:val="0"/>
                <w:snapToGrid/>
                <w:color w:val="000000"/>
                <w:sz w:val="18"/>
                <w:u w:val="none"/>
                <w:lang w:eastAsia="zh-CN"/>
              </w:rPr>
              <w:t>名称</w:t>
            </w:r>
          </w:p>
        </w:tc>
        <w:tc>
          <w:tcPr>
            <w:tcW w:w="7484"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许昌市农机发展中心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eastAsia" w:eastAsia="宋体"/>
                <w:b w:val="0"/>
                <w:i w:val="0"/>
                <w:snapToGrid/>
                <w:color w:val="000000"/>
                <w:sz w:val="18"/>
                <w:u w:val="none"/>
                <w:lang w:eastAsia="zh-CN"/>
              </w:rPr>
              <w:t>单位</w:t>
            </w:r>
            <w:r>
              <w:rPr>
                <w:rFonts w:hint="default" w:ascii="宋体" w:hAnsi="宋体" w:eastAsia="宋体"/>
                <w:b w:val="0"/>
                <w:i w:val="0"/>
                <w:snapToGrid/>
                <w:color w:val="000000"/>
                <w:sz w:val="18"/>
                <w:u w:val="none"/>
                <w:lang w:eastAsia="zh-CN"/>
              </w:rPr>
              <w:t>整体支出情况</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eastAsia" w:eastAsia="宋体"/>
                <w:b w:val="0"/>
                <w:i w:val="0"/>
                <w:snapToGrid/>
                <w:color w:val="000000"/>
                <w:sz w:val="18"/>
                <w:u w:val="none"/>
                <w:lang w:eastAsia="zh-CN"/>
              </w:rPr>
              <w:t>单位</w:t>
            </w:r>
            <w:r>
              <w:rPr>
                <w:rFonts w:hint="default" w:ascii="宋体" w:hAnsi="宋体" w:eastAsia="宋体"/>
                <w:b w:val="0"/>
                <w:i w:val="0"/>
                <w:snapToGrid/>
                <w:color w:val="000000"/>
                <w:sz w:val="18"/>
                <w:u w:val="none"/>
                <w:lang w:eastAsia="zh-CN"/>
              </w:rPr>
              <w:t>预算总额（万元）</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333333"/>
                <w:sz w:val="18"/>
                <w:u w:val="none"/>
                <w:lang w:eastAsia="zh-CN"/>
              </w:rPr>
            </w:pPr>
            <w:r>
              <w:rPr>
                <w:rFonts w:hint="eastAsia" w:eastAsia="宋体"/>
                <w:b w:val="0"/>
                <w:i w:val="0"/>
                <w:snapToGrid/>
                <w:color w:val="333333"/>
                <w:sz w:val="18"/>
                <w:u w:val="none"/>
                <w:lang w:val="en-US" w:eastAsia="zh-CN"/>
              </w:rPr>
              <w:t>469.71</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333333"/>
                <w:sz w:val="18"/>
                <w:u w:val="none"/>
                <w:lang w:eastAsia="zh-CN"/>
              </w:rPr>
            </w:pPr>
            <w:r>
              <w:rPr>
                <w:rFonts w:hint="eastAsia" w:eastAsia="宋体"/>
                <w:b w:val="0"/>
                <w:i w:val="0"/>
                <w:snapToGrid/>
                <w:color w:val="333333"/>
                <w:sz w:val="18"/>
                <w:u w:val="none"/>
                <w:lang w:val="en-US" w:eastAsia="zh-CN"/>
              </w:rPr>
              <w:t>633</w:t>
            </w:r>
            <w:r>
              <w:rPr>
                <w:rFonts w:hint="default" w:ascii="宋体" w:hAnsi="宋体" w:eastAsia="宋体"/>
                <w:b w:val="0"/>
                <w:i w:val="0"/>
                <w:snapToGrid/>
                <w:color w:val="333333"/>
                <w:sz w:val="18"/>
                <w:u w:val="none"/>
                <w:lang w:eastAsia="zh-CN"/>
              </w:rPr>
              <w:t>.</w:t>
            </w:r>
            <w:r>
              <w:rPr>
                <w:rFonts w:hint="eastAsia" w:eastAsia="宋体"/>
                <w:b w:val="0"/>
                <w:i w:val="0"/>
                <w:snapToGrid/>
                <w:color w:val="333333"/>
                <w:sz w:val="18"/>
                <w:u w:val="none"/>
                <w:lang w:val="en-US" w:eastAsia="zh-CN"/>
              </w:rPr>
              <w:t>39</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333333"/>
                <w:sz w:val="18"/>
                <w:u w:val="none"/>
                <w:lang w:eastAsia="zh-CN"/>
              </w:rPr>
            </w:pPr>
            <w:r>
              <w:rPr>
                <w:rFonts w:hint="eastAsia" w:eastAsia="宋体"/>
                <w:b w:val="0"/>
                <w:i w:val="0"/>
                <w:snapToGrid/>
                <w:color w:val="333333"/>
                <w:sz w:val="18"/>
                <w:u w:val="none"/>
                <w:lang w:val="en-US" w:eastAsia="zh-CN"/>
              </w:rPr>
              <w:t>580</w:t>
            </w:r>
            <w:r>
              <w:rPr>
                <w:rFonts w:hint="default" w:ascii="宋体" w:hAnsi="宋体" w:eastAsia="宋体"/>
                <w:b w:val="0"/>
                <w:i w:val="0"/>
                <w:snapToGrid/>
                <w:color w:val="333333"/>
                <w:sz w:val="18"/>
                <w:u w:val="none"/>
                <w:lang w:eastAsia="zh-CN"/>
              </w:rPr>
              <w:t>.</w:t>
            </w:r>
            <w:r>
              <w:rPr>
                <w:rFonts w:hint="eastAsia" w:eastAsia="宋体"/>
                <w:b w:val="0"/>
                <w:i w:val="0"/>
                <w:snapToGrid/>
                <w:color w:val="333333"/>
                <w:sz w:val="18"/>
                <w:u w:val="none"/>
                <w:lang w:val="en-US" w:eastAsia="zh-CN"/>
              </w:rPr>
              <w:t>05</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w:t>
            </w:r>
            <w:r>
              <w:rPr>
                <w:rFonts w:hint="eastAsia" w:eastAsia="宋体"/>
                <w:b w:val="0"/>
                <w:i w:val="0"/>
                <w:snapToGrid/>
                <w:color w:val="000000"/>
                <w:sz w:val="18"/>
                <w:u w:val="none"/>
                <w:lang w:val="en-US" w:eastAsia="zh-CN"/>
              </w:rPr>
              <w:t>1</w:t>
            </w:r>
            <w:r>
              <w:rPr>
                <w:rFonts w:hint="default" w:ascii="宋体" w:hAnsi="宋体" w:eastAsia="宋体"/>
                <w:b w:val="0"/>
                <w:i w:val="0"/>
                <w:snapToGrid/>
                <w:color w:val="000000"/>
                <w:sz w:val="18"/>
                <w:u w:val="none"/>
                <w:lang w:eastAsia="zh-CN"/>
              </w:rPr>
              <w:t>.</w:t>
            </w:r>
            <w:r>
              <w:rPr>
                <w:rFonts w:hint="eastAsia" w:eastAsia="宋体"/>
                <w:b w:val="0"/>
                <w:i w:val="0"/>
                <w:snapToGrid/>
                <w:color w:val="000000"/>
                <w:sz w:val="18"/>
                <w:u w:val="none"/>
                <w:lang w:val="en-US" w:eastAsia="zh-CN"/>
              </w:rPr>
              <w:t>58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资金来源：（1）政府预算资金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333333"/>
                <w:sz w:val="18"/>
                <w:u w:val="none"/>
                <w:lang w:eastAsia="zh-CN"/>
              </w:rPr>
            </w:pPr>
            <w:r>
              <w:rPr>
                <w:rFonts w:hint="eastAsia" w:eastAsia="宋体"/>
                <w:b w:val="0"/>
                <w:i w:val="0"/>
                <w:snapToGrid/>
                <w:color w:val="333333"/>
                <w:sz w:val="18"/>
                <w:u w:val="none"/>
                <w:lang w:val="en-US" w:eastAsia="zh-CN"/>
              </w:rPr>
              <w:t>469.71</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333333"/>
                <w:sz w:val="18"/>
                <w:u w:val="none"/>
                <w:lang w:eastAsia="zh-CN"/>
              </w:rPr>
            </w:pPr>
            <w:r>
              <w:rPr>
                <w:rFonts w:hint="eastAsia" w:eastAsia="宋体"/>
                <w:b w:val="0"/>
                <w:i w:val="0"/>
                <w:snapToGrid/>
                <w:color w:val="333333"/>
                <w:sz w:val="18"/>
                <w:u w:val="none"/>
                <w:lang w:val="en-US" w:eastAsia="zh-CN"/>
              </w:rPr>
              <w:t>614</w:t>
            </w:r>
            <w:r>
              <w:rPr>
                <w:rFonts w:hint="default" w:ascii="宋体" w:hAnsi="宋体" w:eastAsia="宋体"/>
                <w:b w:val="0"/>
                <w:i w:val="0"/>
                <w:snapToGrid/>
                <w:color w:val="333333"/>
                <w:sz w:val="18"/>
                <w:u w:val="none"/>
                <w:lang w:eastAsia="zh-CN"/>
              </w:rPr>
              <w:t>.</w:t>
            </w:r>
            <w:r>
              <w:rPr>
                <w:rFonts w:hint="eastAsia" w:eastAsia="宋体"/>
                <w:b w:val="0"/>
                <w:i w:val="0"/>
                <w:snapToGrid/>
                <w:color w:val="333333"/>
                <w:sz w:val="18"/>
                <w:u w:val="none"/>
                <w:lang w:val="en-US" w:eastAsia="zh-CN"/>
              </w:rPr>
              <w:t>47</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333333"/>
                <w:sz w:val="18"/>
                <w:u w:val="none"/>
                <w:lang w:eastAsia="zh-CN"/>
              </w:rPr>
            </w:pPr>
            <w:r>
              <w:rPr>
                <w:rFonts w:hint="eastAsia" w:eastAsia="宋体"/>
                <w:b w:val="0"/>
                <w:i w:val="0"/>
                <w:snapToGrid/>
                <w:color w:val="333333"/>
                <w:sz w:val="18"/>
                <w:u w:val="none"/>
                <w:lang w:val="en-US" w:eastAsia="zh-CN"/>
              </w:rPr>
              <w:t>569.21</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w:t>
            </w:r>
            <w:r>
              <w:rPr>
                <w:rFonts w:hint="eastAsia" w:eastAsia="宋体"/>
                <w:b w:val="0"/>
                <w:i w:val="0"/>
                <w:snapToGrid/>
                <w:color w:val="000000"/>
                <w:sz w:val="18"/>
                <w:u w:val="none"/>
                <w:lang w:val="en-US" w:eastAsia="zh-CN"/>
              </w:rPr>
              <w:t>2</w:t>
            </w:r>
            <w:r>
              <w:rPr>
                <w:rFonts w:hint="default" w:ascii="宋体" w:hAnsi="宋体" w:eastAsia="宋体"/>
                <w:b w:val="0"/>
                <w:i w:val="0"/>
                <w:snapToGrid/>
                <w:color w:val="000000"/>
                <w:sz w:val="18"/>
                <w:u w:val="none"/>
                <w:lang w:eastAsia="zh-CN"/>
              </w:rPr>
              <w:t>.</w:t>
            </w:r>
            <w:r>
              <w:rPr>
                <w:rFonts w:hint="eastAsia" w:eastAsia="宋体"/>
                <w:b w:val="0"/>
                <w:i w:val="0"/>
                <w:snapToGrid/>
                <w:color w:val="000000"/>
                <w:sz w:val="18"/>
                <w:u w:val="none"/>
                <w:lang w:val="en-US" w:eastAsia="zh-CN"/>
              </w:rPr>
              <w:t>63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（2）财政专户管理资金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（3）单位资金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18.92</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10.84</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57.29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年度履职目标</w:t>
            </w:r>
          </w:p>
        </w:tc>
        <w:tc>
          <w:tcPr>
            <w:tcW w:w="432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7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32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1：推进农业机械化全程全面和高质量发展，做好重要农时农机化作业调度。</w:t>
            </w:r>
            <w:r>
              <w:rPr>
                <w:rFonts w:hint="default" w:ascii="宋体" w:hAnsi="宋体" w:eastAsia="宋体"/>
                <w:b w:val="0"/>
                <w:i w:val="0"/>
                <w:snapToGrid/>
                <w:color w:val="000000"/>
                <w:sz w:val="18"/>
                <w:u w:val="none"/>
                <w:lang w:eastAsia="zh-CN"/>
              </w:rPr>
              <w:br w:type="textWrapping"/>
            </w:r>
            <w:r>
              <w:rPr>
                <w:rFonts w:hint="default" w:ascii="宋体" w:hAnsi="宋体" w:eastAsia="宋体"/>
                <w:b w:val="0"/>
                <w:i w:val="0"/>
                <w:snapToGrid/>
                <w:color w:val="000000"/>
                <w:sz w:val="18"/>
                <w:u w:val="none"/>
                <w:lang w:eastAsia="zh-CN"/>
              </w:rPr>
              <w:t>2：落实惠农补贴政策，确保资金安全和使用效益。</w:t>
            </w:r>
            <w:r>
              <w:rPr>
                <w:rFonts w:hint="default" w:ascii="宋体" w:hAnsi="宋体" w:eastAsia="宋体"/>
                <w:b w:val="0"/>
                <w:i w:val="0"/>
                <w:snapToGrid/>
                <w:color w:val="000000"/>
                <w:sz w:val="18"/>
                <w:u w:val="none"/>
                <w:lang w:eastAsia="zh-CN"/>
              </w:rPr>
              <w:br w:type="textWrapping"/>
            </w:r>
            <w:r>
              <w:rPr>
                <w:rFonts w:hint="default" w:ascii="宋体" w:hAnsi="宋体" w:eastAsia="宋体"/>
                <w:b w:val="0"/>
                <w:i w:val="0"/>
                <w:snapToGrid/>
                <w:color w:val="000000"/>
                <w:sz w:val="18"/>
                <w:u w:val="none"/>
                <w:lang w:eastAsia="zh-CN"/>
              </w:rPr>
              <w:t>3：提高农机社会化服务水平，抓实农机安全生产。</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1"/>
              <w:widowControl w:val="0"/>
              <w:wordWrap/>
              <w:spacing w:before="0" w:beforeLines="0" w:after="0" w:afterLines="0" w:line="295" w:lineRule="exact"/>
              <w:ind w:left="0" w:leftChars="0" w:right="0" w:firstLine="0" w:firstLineChars="0"/>
              <w:jc w:val="left"/>
              <w:textAlignment w:val="auto"/>
              <w:outlineLvl w:val="9"/>
              <w:rPr>
                <w:rFonts w:hint="eastAsia" w:eastAsia="宋体"/>
                <w:b w:val="0"/>
                <w:i w:val="0"/>
                <w:color w:val="000000"/>
                <w:kern w:val="2"/>
                <w:sz w:val="18"/>
                <w:u w:val="none"/>
                <w:lang w:val="en-US" w:eastAsia="zh-CN"/>
              </w:rPr>
            </w:pPr>
            <w:r>
              <w:rPr>
                <w:rFonts w:hint="eastAsia" w:eastAsia="宋体"/>
                <w:b w:val="0"/>
                <w:i w:val="0"/>
                <w:color w:val="000000"/>
                <w:kern w:val="2"/>
                <w:sz w:val="18"/>
                <w:u w:val="none"/>
                <w:lang w:val="en-US" w:eastAsia="zh-CN"/>
              </w:rPr>
              <w:t xml:space="preserve">   1.“</w:t>
            </w:r>
            <w:bookmarkStart w:id="0" w:name="_GoBack"/>
            <w:bookmarkEnd w:id="0"/>
            <w:r>
              <w:rPr>
                <w:rFonts w:hint="eastAsia" w:eastAsia="宋体"/>
                <w:b w:val="0"/>
                <w:i w:val="0"/>
                <w:color w:val="000000"/>
                <w:kern w:val="2"/>
                <w:sz w:val="18"/>
                <w:u w:val="none"/>
                <w:lang w:val="en-US" w:eastAsia="zh-CN"/>
              </w:rPr>
              <w:t>三夏”期间设15个跨区机收接待服务站，服务1840台跨区来许农机，积极开展重要农时农机化调度工作。</w:t>
            </w:r>
          </w:p>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eastAsia" w:eastAsia="宋体"/>
                <w:b w:val="0"/>
                <w:i w:val="0"/>
                <w:color w:val="000000"/>
                <w:kern w:val="2"/>
                <w:sz w:val="18"/>
                <w:u w:val="none"/>
                <w:lang w:val="en-US" w:eastAsia="zh-CN"/>
              </w:rPr>
              <w:t xml:space="preserve">   2.落实农机购置补贴资金6714万元，补贴各类农机具7240台。</w:t>
            </w:r>
            <w:r>
              <w:rPr>
                <w:rFonts w:hint="eastAsia" w:eastAsia="宋体"/>
                <w:b w:val="0"/>
                <w:i w:val="0"/>
                <w:color w:val="000000"/>
                <w:kern w:val="2"/>
                <w:sz w:val="18"/>
                <w:u w:val="none"/>
                <w:lang w:val="en-US" w:eastAsia="zh-CN"/>
              </w:rPr>
              <w:br w:type="textWrapping"/>
            </w:r>
            <w:r>
              <w:rPr>
                <w:rFonts w:hint="eastAsia" w:eastAsia="宋体"/>
                <w:b w:val="0"/>
                <w:i w:val="0"/>
                <w:color w:val="000000"/>
                <w:kern w:val="2"/>
                <w:sz w:val="18"/>
                <w:u w:val="none"/>
                <w:lang w:val="en-US" w:eastAsia="zh-CN"/>
              </w:rPr>
              <w:t xml:space="preserve">   3.持续</w:t>
            </w:r>
            <w:r>
              <w:rPr>
                <w:rFonts w:hint="default" w:eastAsia="宋体"/>
                <w:b w:val="0"/>
                <w:i w:val="0"/>
                <w:color w:val="000000"/>
                <w:kern w:val="2"/>
                <w:sz w:val="18"/>
                <w:u w:val="none"/>
                <w:lang w:val="en-US" w:eastAsia="zh-CN"/>
              </w:rPr>
              <w:t>提高农机社会化服务能力，</w:t>
            </w:r>
            <w:r>
              <w:rPr>
                <w:rFonts w:hint="eastAsia" w:eastAsia="宋体"/>
                <w:b w:val="0"/>
                <w:i w:val="0"/>
                <w:color w:val="000000"/>
                <w:kern w:val="2"/>
                <w:sz w:val="18"/>
                <w:u w:val="none"/>
                <w:lang w:val="en-US" w:eastAsia="zh-CN"/>
              </w:rPr>
              <w:t>2家农机合作社（禹州田园、建安区兴旺）入选河南省区域农机服务中心认定名单；</w:t>
            </w:r>
            <w:r>
              <w:rPr>
                <w:rFonts w:hint="eastAsia" w:eastAsia="宋体"/>
                <w:b w:val="0"/>
                <w:i w:val="0"/>
                <w:snapToGrid/>
                <w:color w:val="000000"/>
                <w:sz w:val="18"/>
                <w:u w:val="none"/>
                <w:lang w:eastAsia="zh-CN"/>
              </w:rPr>
              <w:t>常态开展</w:t>
            </w:r>
            <w:r>
              <w:rPr>
                <w:rFonts w:hint="default" w:ascii="宋体" w:hAnsi="宋体" w:eastAsia="宋体"/>
                <w:b w:val="0"/>
                <w:i w:val="0"/>
                <w:snapToGrid/>
                <w:color w:val="000000"/>
                <w:sz w:val="18"/>
                <w:u w:val="none"/>
                <w:lang w:eastAsia="zh-CN"/>
              </w:rPr>
              <w:t>农机安全生产宣传</w:t>
            </w:r>
            <w:r>
              <w:rPr>
                <w:rFonts w:hint="eastAsia" w:eastAsia="宋体"/>
                <w:b w:val="0"/>
                <w:i w:val="0"/>
                <w:snapToGrid/>
                <w:color w:val="000000"/>
                <w:sz w:val="18"/>
                <w:u w:val="none"/>
                <w:lang w:eastAsia="zh-CN"/>
              </w:rPr>
              <w:t>活动</w:t>
            </w:r>
            <w:r>
              <w:rPr>
                <w:rFonts w:hint="default" w:eastAsia="宋体"/>
                <w:b w:val="0"/>
                <w:i w:val="0"/>
                <w:color w:val="000000"/>
                <w:kern w:val="2"/>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年度主要任务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任务名称</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主要内容</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任务1：落实相关惠农政策。</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争取补贴资金，督促指导政策落实，加强项目监管。</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eastAsia" w:eastAsia="宋体"/>
                <w:b w:val="0"/>
                <w:i w:val="0"/>
                <w:color w:val="000000"/>
                <w:kern w:val="2"/>
                <w:sz w:val="18"/>
                <w:u w:val="none"/>
                <w:lang w:val="en-US" w:eastAsia="zh-CN"/>
              </w:rPr>
              <w:t>落实农机购置补贴资金6714万元，补贴各类农机具7240台。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任务2：做好农机安全生产工作。</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加强农机安全生产宣传教育，适时开展农机安全生产隐患排查。</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eastAsia" w:eastAsia="宋体"/>
                <w:b w:val="0"/>
                <w:i w:val="0"/>
                <w:snapToGrid/>
                <w:color w:val="000000"/>
                <w:sz w:val="18"/>
                <w:u w:val="none"/>
                <w:lang w:val="en-US" w:eastAsia="zh-CN"/>
              </w:rPr>
              <w:t xml:space="preserve">  </w:t>
            </w:r>
            <w:r>
              <w:rPr>
                <w:rFonts w:hint="eastAsia" w:eastAsia="宋体"/>
                <w:b w:val="0"/>
                <w:i w:val="0"/>
                <w:snapToGrid/>
                <w:color w:val="000000"/>
                <w:sz w:val="18"/>
                <w:u w:val="none"/>
                <w:lang w:eastAsia="zh-CN"/>
              </w:rPr>
              <w:t>常态开展</w:t>
            </w:r>
            <w:r>
              <w:rPr>
                <w:rFonts w:hint="default" w:ascii="宋体" w:hAnsi="宋体" w:eastAsia="宋体"/>
                <w:b w:val="0"/>
                <w:i w:val="0"/>
                <w:snapToGrid/>
                <w:color w:val="000000"/>
                <w:sz w:val="18"/>
                <w:u w:val="none"/>
                <w:lang w:eastAsia="zh-CN"/>
              </w:rPr>
              <w:t>农机安全生产宣传</w:t>
            </w:r>
            <w:r>
              <w:rPr>
                <w:rFonts w:hint="eastAsia" w:eastAsia="宋体"/>
                <w:b w:val="0"/>
                <w:i w:val="0"/>
                <w:snapToGrid/>
                <w:color w:val="000000"/>
                <w:sz w:val="18"/>
                <w:u w:val="none"/>
                <w:lang w:eastAsia="zh-CN"/>
              </w:rPr>
              <w:t>和</w:t>
            </w:r>
            <w:r>
              <w:rPr>
                <w:rFonts w:hint="default" w:ascii="宋体" w:hAnsi="宋体" w:eastAsia="宋体"/>
                <w:b w:val="0"/>
                <w:i w:val="0"/>
                <w:snapToGrid/>
                <w:color w:val="000000"/>
                <w:sz w:val="18"/>
                <w:u w:val="none"/>
                <w:lang w:eastAsia="zh-CN"/>
              </w:rPr>
              <w:t>农机安全生产隐患排查</w:t>
            </w:r>
            <w:r>
              <w:rPr>
                <w:rFonts w:hint="eastAsia" w:eastAsia="宋体"/>
                <w:b w:val="0"/>
                <w:i w:val="0"/>
                <w:snapToGrid/>
                <w:color w:val="000000"/>
                <w:sz w:val="18"/>
                <w:u w:val="none"/>
                <w:lang w:eastAsia="zh-CN"/>
              </w:rPr>
              <w:t>活动</w:t>
            </w: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任务3：抓好重要农时农机化生产工作。</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及时掌握农机作业进度等情况，保障作业机械供需平衡。</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eastAsia" w:eastAsia="宋体"/>
                <w:b w:val="0"/>
                <w:i w:val="0"/>
                <w:color w:val="000000"/>
                <w:kern w:val="2"/>
                <w:sz w:val="18"/>
                <w:u w:val="none"/>
                <w:lang w:val="en-US" w:eastAsia="zh-CN"/>
              </w:rPr>
              <w:t xml:space="preserve">   “三夏”期间设15个跨区机收接待服务站，服务1840台跨区来许农机。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投入管理指标</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工作目标管理</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年度履职目标相关性</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相关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工作任务科学性</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工作任务科学性有待进一步细化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绩效指标合理性</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绩效指标合理性有待进一步细化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预算和财务管理</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资金使用合规性</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资金使用合规性有待进一步规范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管理制度健全性</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健全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财务管理制度健全性有待进一步健全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预决算信息公开性</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公开</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资产管理规范性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资产管理规范性有待进一步规范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预算编制完整性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完整</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专项资金细化率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预算调整率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结转结余率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“三公经费”控制率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政府采购执行率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决算真实性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真实</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绩效管理</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绩效目标编制完成率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绩效监控完成率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绩效自评完成率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eastAsia" w:eastAsia="宋体"/>
                <w:b w:val="0"/>
                <w:i w:val="0"/>
                <w:snapToGrid/>
                <w:color w:val="000000"/>
                <w:sz w:val="18"/>
                <w:u w:val="none"/>
                <w:lang w:eastAsia="zh-CN"/>
              </w:rPr>
              <w:t>单位</w:t>
            </w:r>
            <w:r>
              <w:rPr>
                <w:rFonts w:hint="default" w:ascii="宋体" w:hAnsi="宋体" w:eastAsia="宋体"/>
                <w:b w:val="0"/>
                <w:i w:val="0"/>
                <w:snapToGrid/>
                <w:color w:val="000000"/>
                <w:sz w:val="18"/>
                <w:u w:val="none"/>
                <w:lang w:eastAsia="zh-CN"/>
              </w:rPr>
              <w:t>绩效评价完成率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评价结果应用率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评价结果应用率有待提高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重点工作任务完成</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落实农机购置补贴资金</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99%</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组织重要农时农机化生产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≥500台</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1000台</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重要农时农机化生产机具有不可控性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履职目标实现</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提升农机化技术薄弱环节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≥2个</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2个</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农机购置补贴资金惠及农户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≥1000户</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4600户</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330.00%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农户购买农机具品型有不可控性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扶持农机合作社建设</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≥1个</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1个</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履职效益</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耕种收综合机械化率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≥91%</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91.22%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农机手农机合作社满意度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52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r>
    </w:tbl>
    <w:p>
      <w:pPr>
        <w:pStyle w:val="10"/>
        <w:rPr>
          <w:lang w:val="en-US"/>
        </w:rPr>
        <w:sectPr>
          <w:pgSz w:w="11906" w:h="16838"/>
          <w:pgMar w:top="1440" w:right="1134" w:bottom="1440" w:left="1134" w:header="851" w:footer="992" w:gutter="0"/>
          <w:paperSrc/>
          <w:cols w:space="720" w:num="1"/>
          <w:docGrid w:type="lines" w:linePitch="312" w:charSpace="0"/>
        </w:sect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547"/>
        <w:gridCol w:w="635"/>
        <w:gridCol w:w="1205"/>
        <w:gridCol w:w="518"/>
        <w:gridCol w:w="579"/>
        <w:gridCol w:w="856"/>
        <w:gridCol w:w="374"/>
        <w:gridCol w:w="1160"/>
        <w:gridCol w:w="688"/>
        <w:gridCol w:w="689"/>
        <w:gridCol w:w="218"/>
        <w:gridCol w:w="382"/>
        <w:gridCol w:w="634"/>
        <w:gridCol w:w="2"/>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498" w:hRule="atLeast"/>
        </w:trPr>
        <w:tc>
          <w:tcPr>
            <w:tcW w:w="9960" w:type="dxa"/>
            <w:gridSpan w:val="15"/>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8778"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巩固脱贫攻坚成果衔接乡村振兴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315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eastAsia" w:ascii="宋体" w:hAnsi="宋体" w:eastAsia="宋体"/>
                <w:b w:val="0"/>
                <w:i w:val="0"/>
                <w:snapToGrid/>
                <w:color w:val="000000"/>
                <w:sz w:val="18"/>
                <w:u w:val="none"/>
                <w:lang w:val="en-US" w:eastAsia="zh-CN"/>
              </w:rPr>
            </w:pPr>
            <w:r>
              <w:rPr>
                <w:rFonts w:hint="eastAsia" w:ascii="宋体" w:hAnsi="宋体"/>
                <w:b w:val="0"/>
                <w:i w:val="0"/>
                <w:snapToGrid/>
                <w:color w:val="000000"/>
                <w:sz w:val="18"/>
                <w:u w:val="none"/>
                <w:lang w:val="en-US" w:eastAsia="zh-CN"/>
              </w:rPr>
              <w:t>许昌市农机发展中心</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许昌市农机发展中心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600" w:type="dxa"/>
            <w:gridSpan w:val="2"/>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有效</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524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保障驻村第一书记补助经费足额发放</w:t>
            </w:r>
          </w:p>
        </w:tc>
        <w:tc>
          <w:tcPr>
            <w:tcW w:w="524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驻村第一书记补助经费已足额发放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保障驻村工作</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2.5万元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保障驻村第一书记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1人</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及时发放补助</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保障全年驻村工作</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250天</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保障驻村干部生活质量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稳步提升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提升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驻村干部满意度</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2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rPr>
          <w:lang w:val="en-US"/>
        </w:rPr>
        <w:sectPr>
          <w:pgSz w:w="11906" w:h="16838"/>
          <w:pgMar w:top="1440" w:right="1134" w:bottom="1440" w:left="1134" w:header="851" w:footer="992" w:gutter="0"/>
          <w:paperSrc/>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zV14MCAgAACwQAAA4AAABkcnMvZTJvRG9jLnhtbK1TwY7TMBC9I/EP&#10;lu80bU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auXnDlhqeXnb1/P33+e&#10;f3xhs2RQ50NJefd+i+MuEExq+wZt+pIO1mdTT1dTVR+ZpOBsMV8spuS3pLPLhniKh989hvhOgWUJ&#10;VBypa9lMcbwNcUi9pKTbHGy0MRQXpXF/BIgzRYpU8VBjQrHf9WPhO6hPpBdhGITg5UbTnbcixK1A&#10;6jzVSW8j3tHSGOgqDiPirAX8/K94yqeG0ClnHU1SxR09HM7Me0eNSkN3AXgBuwtwB/sWaDRnnGE0&#10;GdIPwkmiq3jk7OBR79tcbVIa/JtDJPnZlaRtEDRKphnJvo7znIbw933O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fNXXgwICAAALBAAADgAAAAAAAAABACAAAAAf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NDRiZGQ4MTcwNWYzOTQ4Njc4MDQxZGM5YTI3M2MifQ=="/>
  </w:docVars>
  <w:rsids>
    <w:rsidRoot w:val="00000000"/>
    <w:rsid w:val="598B7DD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88c991a0-2342-4088-9929-0b252112d9f1"/>
    <w:qFormat/>
    <w:uiPriority w:val="0"/>
    <w:pPr>
      <w:widowControl w:val="0"/>
      <w:jc w:val="both"/>
    </w:pPr>
    <w:rPr>
      <w:rFonts w:ascii="宋体" w:hAnsi="宋体" w:eastAsia="仿宋_GB2312" w:cs="黑体"/>
      <w:kern w:val="2"/>
      <w:sz w:val="32"/>
      <w:szCs w:val="24"/>
      <w:lang w:val="en-US" w:eastAsia="zh-CN" w:bidi="ar-SA"/>
    </w:rPr>
  </w:style>
  <w:style w:type="paragraph" w:customStyle="1" w:styleId="11">
    <w:name w:val="正文缩进1"/>
    <w:basedOn w:val="10"/>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fcbb2-54fb-404e-8d99-546e21328e13}">
  <ds:schemaRefs/>
</ds:datastoreItem>
</file>

<file path=customXml/itemProps3.xml><?xml version="1.0" encoding="utf-8"?>
<ds:datastoreItem xmlns:ds="http://schemas.openxmlformats.org/officeDocument/2006/customXml" ds:itemID="{0df49fe5-4f6d-4ab6-8508-18fdf8a0390f}">
  <ds:schemaRefs/>
</ds:datastoreItem>
</file>

<file path=customXml/itemProps4.xml><?xml version="1.0" encoding="utf-8"?>
<ds:datastoreItem xmlns:ds="http://schemas.openxmlformats.org/officeDocument/2006/customXml" ds:itemID="{1a0d474d-ad07-4dbf-96ca-ea07573c9f8c}">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26</TotalTime>
  <ScaleCrop>false</ScaleCrop>
  <LinksUpToDate>false</LinksUpToDate>
  <CharactersWithSpaces>19414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003</cp:lastModifiedBy>
  <dcterms:modified xsi:type="dcterms:W3CDTF">2024-10-10T00:08:49Z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DF94CE1DC53D4C5F990C8EECCB3F5EB2_13</vt:lpwstr>
  </property>
</Properties>
</file>