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许昌市农产品质量安全检测检验中心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许昌市农产品质量安全检测检验中心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许昌市农产品质量安全检测检验中心概况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按照《许昌市机构编制委员会关于单独设立许昌市农产品质量安全检测检验中心的批复》（许编〔2012〕16号）的要求，许昌市农产品质量安全检测检验中心的职责任务是：负责全市农产品质量安全抽检、监测、复检；承担上级行政主管单位委托的监测工作；对县级以下检测机构的技术指导；全市农产品质量安全突发事件应急检测等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许昌市农产品质量安全检测检验中心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办公室、检测室、业务室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许昌市农产品质量安全检测检验中心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许昌市农产品质量安全检测检验中心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189.30</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1.10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25.35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3.90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151.23</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7.72</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0.68</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189.30</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189.98</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0.68</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189.98</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189.98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189.30</w:t>
            </w:r>
          </w:p>
        </w:tc>
        <w:tc>
          <w:tcPr>
            <w:tcW w:w="1440" w:type="dxa"/>
            <w:tcBorders/>
            <w:vAlign w:val="center"/>
          </w:tcPr>
          <w:p>
            <w:pPr>
              <w:jc w:val="right"/>
            </w:pPr>
            <w:r>
              <w:rPr>
                <w:rFonts w:ascii="宋体" w:eastAsia="宋体" w:hAnsi="宋体" w:cs="宋体"/>
                <w:b/>
                <w:i w:val="0"/>
                <w:color w:val="000000"/>
                <w:sz w:val="17"/>
              </w:rPr>
              <w:t xml:space="preserve">189.30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1.10</w:t>
            </w:r>
          </w:p>
        </w:tc>
        <w:tc>
          <w:tcPr>
            <w:tcW w:w="1440" w:type="dxa"/>
            <w:tcBorders/>
            <w:vAlign w:val="center"/>
          </w:tcPr>
          <w:p>
            <w:pPr>
              <w:jc w:val="right"/>
            </w:pPr>
            <w:r>
              <w:rPr>
                <w:rFonts w:ascii="宋体" w:eastAsia="宋体" w:hAnsi="宋体" w:cs="宋体"/>
                <w:b w:val="0"/>
                <w:i w:val="0"/>
                <w:color w:val="000000"/>
                <w:sz w:val="17"/>
              </w:rPr>
              <w:t xml:space="preserve">1.10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1.10</w:t>
            </w:r>
          </w:p>
        </w:tc>
        <w:tc>
          <w:tcPr>
            <w:tcW w:w="1440" w:type="dxa"/>
            <w:tcBorders/>
            <w:vAlign w:val="center"/>
          </w:tcPr>
          <w:p>
            <w:pPr>
              <w:jc w:val="right"/>
            </w:pPr>
            <w:r>
              <w:rPr>
                <w:rFonts w:ascii="宋体" w:eastAsia="宋体" w:hAnsi="宋体" w:cs="宋体"/>
                <w:b w:val="0"/>
                <w:i w:val="0"/>
                <w:color w:val="000000"/>
                <w:sz w:val="17"/>
              </w:rPr>
              <w:t xml:space="preserve">1.10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1.10</w:t>
            </w:r>
          </w:p>
        </w:tc>
        <w:tc>
          <w:tcPr>
            <w:tcW w:w="1440" w:type="dxa"/>
            <w:tcBorders/>
            <w:vAlign w:val="center"/>
          </w:tcPr>
          <w:p>
            <w:pPr>
              <w:jc w:val="right"/>
            </w:pPr>
            <w:r>
              <w:rPr>
                <w:rFonts w:ascii="宋体" w:eastAsia="宋体" w:hAnsi="宋体" w:cs="宋体"/>
                <w:b w:val="0"/>
                <w:i w:val="0"/>
                <w:color w:val="000000"/>
                <w:sz w:val="17"/>
              </w:rPr>
              <w:t xml:space="preserve">1.10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25.34</w:t>
            </w:r>
          </w:p>
        </w:tc>
        <w:tc>
          <w:tcPr>
            <w:tcW w:w="1440" w:type="dxa"/>
            <w:tcBorders/>
            <w:vAlign w:val="center"/>
          </w:tcPr>
          <w:p>
            <w:pPr>
              <w:jc w:val="right"/>
            </w:pPr>
            <w:r>
              <w:rPr>
                <w:rFonts w:ascii="宋体" w:eastAsia="宋体" w:hAnsi="宋体" w:cs="宋体"/>
                <w:b w:val="0"/>
                <w:i w:val="0"/>
                <w:color w:val="000000"/>
                <w:sz w:val="17"/>
              </w:rPr>
              <w:t xml:space="preserve">25.34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25.34</w:t>
            </w:r>
          </w:p>
        </w:tc>
        <w:tc>
          <w:tcPr>
            <w:tcW w:w="1440" w:type="dxa"/>
            <w:tcBorders/>
            <w:vAlign w:val="center"/>
          </w:tcPr>
          <w:p>
            <w:pPr>
              <w:jc w:val="right"/>
            </w:pPr>
            <w:r>
              <w:rPr>
                <w:rFonts w:ascii="宋体" w:eastAsia="宋体" w:hAnsi="宋体" w:cs="宋体"/>
                <w:b w:val="0"/>
                <w:i w:val="0"/>
                <w:color w:val="000000"/>
                <w:sz w:val="17"/>
              </w:rPr>
              <w:t xml:space="preserve">25.34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16.86</w:t>
            </w:r>
          </w:p>
        </w:tc>
        <w:tc>
          <w:tcPr>
            <w:tcW w:w="1440" w:type="dxa"/>
            <w:tcBorders/>
            <w:vAlign w:val="center"/>
          </w:tcPr>
          <w:p>
            <w:pPr>
              <w:jc w:val="right"/>
            </w:pPr>
            <w:r>
              <w:rPr>
                <w:rFonts w:ascii="宋体" w:eastAsia="宋体" w:hAnsi="宋体" w:cs="宋体"/>
                <w:b w:val="0"/>
                <w:i w:val="0"/>
                <w:color w:val="000000"/>
                <w:sz w:val="17"/>
              </w:rPr>
              <w:t xml:space="preserve">16.86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8.48</w:t>
            </w:r>
          </w:p>
        </w:tc>
        <w:tc>
          <w:tcPr>
            <w:tcW w:w="1440" w:type="dxa"/>
            <w:tcBorders/>
            <w:vAlign w:val="center"/>
          </w:tcPr>
          <w:p>
            <w:pPr>
              <w:jc w:val="right"/>
            </w:pPr>
            <w:r>
              <w:rPr>
                <w:rFonts w:ascii="宋体" w:eastAsia="宋体" w:hAnsi="宋体" w:cs="宋体"/>
                <w:b w:val="0"/>
                <w:i w:val="0"/>
                <w:color w:val="000000"/>
                <w:sz w:val="17"/>
              </w:rPr>
              <w:t xml:space="preserve">8.48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3.90</w:t>
            </w:r>
          </w:p>
        </w:tc>
        <w:tc>
          <w:tcPr>
            <w:tcW w:w="1440" w:type="dxa"/>
            <w:tcBorders/>
            <w:vAlign w:val="center"/>
          </w:tcPr>
          <w:p>
            <w:pPr>
              <w:jc w:val="right"/>
            </w:pPr>
            <w:r>
              <w:rPr>
                <w:rFonts w:ascii="宋体" w:eastAsia="宋体" w:hAnsi="宋体" w:cs="宋体"/>
                <w:b w:val="0"/>
                <w:i w:val="0"/>
                <w:color w:val="000000"/>
                <w:sz w:val="17"/>
              </w:rPr>
              <w:t xml:space="preserve">3.90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3.90</w:t>
            </w:r>
          </w:p>
        </w:tc>
        <w:tc>
          <w:tcPr>
            <w:tcW w:w="1440" w:type="dxa"/>
            <w:tcBorders/>
            <w:vAlign w:val="center"/>
          </w:tcPr>
          <w:p>
            <w:pPr>
              <w:jc w:val="right"/>
            </w:pPr>
            <w:r>
              <w:rPr>
                <w:rFonts w:ascii="宋体" w:eastAsia="宋体" w:hAnsi="宋体" w:cs="宋体"/>
                <w:b w:val="0"/>
                <w:i w:val="0"/>
                <w:color w:val="000000"/>
                <w:sz w:val="17"/>
              </w:rPr>
              <w:t xml:space="preserve">3.90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3.90</w:t>
            </w:r>
          </w:p>
        </w:tc>
        <w:tc>
          <w:tcPr>
            <w:tcW w:w="1440" w:type="dxa"/>
            <w:tcBorders/>
            <w:vAlign w:val="center"/>
          </w:tcPr>
          <w:p>
            <w:pPr>
              <w:jc w:val="right"/>
            </w:pPr>
            <w:r>
              <w:rPr>
                <w:rFonts w:ascii="宋体" w:eastAsia="宋体" w:hAnsi="宋体" w:cs="宋体"/>
                <w:b w:val="0"/>
                <w:i w:val="0"/>
                <w:color w:val="000000"/>
                <w:sz w:val="17"/>
              </w:rPr>
              <w:t xml:space="preserve">3.90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151.23</w:t>
            </w:r>
          </w:p>
        </w:tc>
        <w:tc>
          <w:tcPr>
            <w:tcW w:w="1440" w:type="dxa"/>
            <w:tcBorders/>
            <w:vAlign w:val="center"/>
          </w:tcPr>
          <w:p>
            <w:pPr>
              <w:jc w:val="right"/>
            </w:pPr>
            <w:r>
              <w:rPr>
                <w:rFonts w:ascii="宋体" w:eastAsia="宋体" w:hAnsi="宋体" w:cs="宋体"/>
                <w:b w:val="0"/>
                <w:i w:val="0"/>
                <w:color w:val="000000"/>
                <w:sz w:val="17"/>
              </w:rPr>
              <w:t xml:space="preserve">151.23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农业农村</w:t>
            </w:r>
          </w:p>
        </w:tc>
        <w:tc>
          <w:tcPr>
            <w:tcW w:w="1440" w:type="dxa"/>
            <w:tcBorders/>
            <w:vAlign w:val="center"/>
          </w:tcPr>
          <w:p>
            <w:pPr>
              <w:jc w:val="right"/>
            </w:pPr>
            <w:r>
              <w:rPr>
                <w:rFonts w:ascii="宋体" w:eastAsia="宋体" w:hAnsi="宋体" w:cs="宋体"/>
                <w:b w:val="0"/>
                <w:i w:val="0"/>
                <w:color w:val="000000"/>
                <w:sz w:val="17"/>
              </w:rPr>
              <w:t xml:space="preserve">151.23</w:t>
            </w:r>
          </w:p>
        </w:tc>
        <w:tc>
          <w:tcPr>
            <w:tcW w:w="1440" w:type="dxa"/>
            <w:tcBorders/>
            <w:vAlign w:val="center"/>
          </w:tcPr>
          <w:p>
            <w:pPr>
              <w:jc w:val="right"/>
            </w:pPr>
            <w:r>
              <w:rPr>
                <w:rFonts w:ascii="宋体" w:eastAsia="宋体" w:hAnsi="宋体" w:cs="宋体"/>
                <w:b w:val="0"/>
                <w:i w:val="0"/>
                <w:color w:val="000000"/>
                <w:sz w:val="17"/>
              </w:rPr>
              <w:t xml:space="preserve">151.23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141.31</w:t>
            </w:r>
          </w:p>
        </w:tc>
        <w:tc>
          <w:tcPr>
            <w:tcW w:w="1440" w:type="dxa"/>
            <w:tcBorders/>
            <w:vAlign w:val="center"/>
          </w:tcPr>
          <w:p>
            <w:pPr>
              <w:jc w:val="right"/>
            </w:pPr>
            <w:r>
              <w:rPr>
                <w:rFonts w:ascii="宋体" w:eastAsia="宋体" w:hAnsi="宋体" w:cs="宋体"/>
                <w:b w:val="0"/>
                <w:i w:val="0"/>
                <w:color w:val="000000"/>
                <w:sz w:val="17"/>
              </w:rPr>
              <w:t xml:space="preserve">141.31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2130122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农业生产发展</w:t>
            </w:r>
          </w:p>
        </w:tc>
        <w:tc>
          <w:tcPr>
            <w:tcW w:w="1440" w:type="dxa"/>
            <w:tcBorders/>
            <w:vAlign w:val="center"/>
          </w:tcPr>
          <w:p>
            <w:pPr>
              <w:jc w:val="right"/>
            </w:pPr>
            <w:r>
              <w:rPr>
                <w:rFonts w:ascii="宋体" w:eastAsia="宋体" w:hAnsi="宋体" w:cs="宋体"/>
                <w:b w:val="0"/>
                <w:i w:val="0"/>
                <w:color w:val="000000"/>
                <w:sz w:val="17"/>
              </w:rPr>
              <w:t xml:space="preserve">9.92</w:t>
            </w:r>
          </w:p>
        </w:tc>
        <w:tc>
          <w:tcPr>
            <w:tcW w:w="1440" w:type="dxa"/>
            <w:tcBorders/>
            <w:vAlign w:val="center"/>
          </w:tcPr>
          <w:p>
            <w:pPr>
              <w:jc w:val="right"/>
            </w:pPr>
            <w:r>
              <w:rPr>
                <w:rFonts w:ascii="宋体" w:eastAsia="宋体" w:hAnsi="宋体" w:cs="宋体"/>
                <w:b w:val="0"/>
                <w:i w:val="0"/>
                <w:color w:val="000000"/>
                <w:sz w:val="17"/>
              </w:rPr>
              <w:t xml:space="preserve">9.92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7.72</w:t>
            </w:r>
          </w:p>
        </w:tc>
        <w:tc>
          <w:tcPr>
            <w:tcW w:w="1440" w:type="dxa"/>
            <w:tcBorders/>
            <w:vAlign w:val="center"/>
          </w:tcPr>
          <w:p>
            <w:pPr>
              <w:jc w:val="right"/>
            </w:pPr>
            <w:r>
              <w:rPr>
                <w:rFonts w:ascii="宋体" w:eastAsia="宋体" w:hAnsi="宋体" w:cs="宋体"/>
                <w:b w:val="0"/>
                <w:i w:val="0"/>
                <w:color w:val="000000"/>
                <w:sz w:val="17"/>
              </w:rPr>
              <w:t xml:space="preserve">7.72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7.72</w:t>
            </w:r>
          </w:p>
        </w:tc>
        <w:tc>
          <w:tcPr>
            <w:tcW w:w="1440" w:type="dxa"/>
            <w:tcBorders/>
            <w:vAlign w:val="center"/>
          </w:tcPr>
          <w:p>
            <w:pPr>
              <w:jc w:val="right"/>
            </w:pPr>
            <w:r>
              <w:rPr>
                <w:rFonts w:ascii="宋体" w:eastAsia="宋体" w:hAnsi="宋体" w:cs="宋体"/>
                <w:b w:val="0"/>
                <w:i w:val="0"/>
                <w:color w:val="000000"/>
                <w:sz w:val="17"/>
              </w:rPr>
              <w:t xml:space="preserve">7.72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7.72</w:t>
            </w:r>
          </w:p>
        </w:tc>
        <w:tc>
          <w:tcPr>
            <w:tcW w:w="1440" w:type="dxa"/>
            <w:tcBorders/>
            <w:vAlign w:val="center"/>
          </w:tcPr>
          <w:p>
            <w:pPr>
              <w:jc w:val="right"/>
            </w:pPr>
            <w:r>
              <w:rPr>
                <w:rFonts w:ascii="宋体" w:eastAsia="宋体" w:hAnsi="宋体" w:cs="宋体"/>
                <w:b w:val="0"/>
                <w:i w:val="0"/>
                <w:color w:val="000000"/>
                <w:sz w:val="17"/>
              </w:rPr>
              <w:t xml:space="preserve">7.72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189.98</w:t>
            </w:r>
          </w:p>
        </w:tc>
        <w:tc>
          <w:tcPr>
            <w:tcW w:w="1600" w:type="dxa"/>
            <w:tcBorders/>
            <w:vAlign w:val="center"/>
          </w:tcPr>
          <w:p>
            <w:pPr>
              <w:jc w:val="right"/>
            </w:pPr>
            <w:r>
              <w:rPr>
                <w:rFonts w:ascii="宋体" w:eastAsia="宋体" w:hAnsi="宋体" w:cs="宋体"/>
                <w:b/>
                <w:i w:val="0"/>
                <w:color w:val="000000"/>
                <w:sz w:val="19"/>
              </w:rPr>
              <w:t xml:space="preserve">179.37</w:t>
            </w:r>
          </w:p>
        </w:tc>
        <w:tc>
          <w:tcPr>
            <w:tcW w:w="1600" w:type="dxa"/>
            <w:tcBorders/>
            <w:vAlign w:val="center"/>
          </w:tcPr>
          <w:p>
            <w:pPr>
              <w:jc w:val="right"/>
            </w:pPr>
            <w:r>
              <w:rPr>
                <w:rFonts w:ascii="宋体" w:eastAsia="宋体" w:hAnsi="宋体" w:cs="宋体"/>
                <w:b/>
                <w:i w:val="0"/>
                <w:color w:val="000000"/>
                <w:sz w:val="19"/>
              </w:rPr>
              <w:t xml:space="preserve">10.60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1.10</w:t>
            </w:r>
          </w:p>
        </w:tc>
        <w:tc>
          <w:tcPr>
            <w:tcW w:w="1600" w:type="dxa"/>
            <w:tcBorders/>
            <w:vAlign w:val="center"/>
          </w:tcPr>
          <w:p>
            <w:pPr>
              <w:jc w:val="right"/>
            </w:pPr>
            <w:r>
              <w:rPr>
                <w:rFonts w:ascii="宋体" w:eastAsia="宋体" w:hAnsi="宋体" w:cs="宋体"/>
                <w:b w:val="0"/>
                <w:i w:val="0"/>
                <w:color w:val="000000"/>
                <w:sz w:val="19"/>
              </w:rPr>
              <w:t xml:space="preserve">1.10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1.10</w:t>
            </w:r>
          </w:p>
        </w:tc>
        <w:tc>
          <w:tcPr>
            <w:tcW w:w="1600" w:type="dxa"/>
            <w:tcBorders/>
            <w:vAlign w:val="center"/>
          </w:tcPr>
          <w:p>
            <w:pPr>
              <w:jc w:val="right"/>
            </w:pPr>
            <w:r>
              <w:rPr>
                <w:rFonts w:ascii="宋体" w:eastAsia="宋体" w:hAnsi="宋体" w:cs="宋体"/>
                <w:b w:val="0"/>
                <w:i w:val="0"/>
                <w:color w:val="000000"/>
                <w:sz w:val="19"/>
              </w:rPr>
              <w:t xml:space="preserve">1.10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1.10</w:t>
            </w:r>
          </w:p>
        </w:tc>
        <w:tc>
          <w:tcPr>
            <w:tcW w:w="1600" w:type="dxa"/>
            <w:tcBorders/>
            <w:vAlign w:val="center"/>
          </w:tcPr>
          <w:p>
            <w:pPr>
              <w:jc w:val="right"/>
            </w:pPr>
            <w:r>
              <w:rPr>
                <w:rFonts w:ascii="宋体" w:eastAsia="宋体" w:hAnsi="宋体" w:cs="宋体"/>
                <w:b w:val="0"/>
                <w:i w:val="0"/>
                <w:color w:val="000000"/>
                <w:sz w:val="19"/>
              </w:rPr>
              <w:t xml:space="preserve">1.10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25.34</w:t>
            </w:r>
          </w:p>
        </w:tc>
        <w:tc>
          <w:tcPr>
            <w:tcW w:w="1600" w:type="dxa"/>
            <w:tcBorders/>
            <w:vAlign w:val="center"/>
          </w:tcPr>
          <w:p>
            <w:pPr>
              <w:jc w:val="right"/>
            </w:pPr>
            <w:r>
              <w:rPr>
                <w:rFonts w:ascii="宋体" w:eastAsia="宋体" w:hAnsi="宋体" w:cs="宋体"/>
                <w:b w:val="0"/>
                <w:i w:val="0"/>
                <w:color w:val="000000"/>
                <w:sz w:val="19"/>
              </w:rPr>
              <w:t xml:space="preserve">25.34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25.34</w:t>
            </w:r>
          </w:p>
        </w:tc>
        <w:tc>
          <w:tcPr>
            <w:tcW w:w="1600" w:type="dxa"/>
            <w:tcBorders/>
            <w:vAlign w:val="center"/>
          </w:tcPr>
          <w:p>
            <w:pPr>
              <w:jc w:val="right"/>
            </w:pPr>
            <w:r>
              <w:rPr>
                <w:rFonts w:ascii="宋体" w:eastAsia="宋体" w:hAnsi="宋体" w:cs="宋体"/>
                <w:b w:val="0"/>
                <w:i w:val="0"/>
                <w:color w:val="000000"/>
                <w:sz w:val="19"/>
              </w:rPr>
              <w:t xml:space="preserve">25.34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16.86</w:t>
            </w:r>
          </w:p>
        </w:tc>
        <w:tc>
          <w:tcPr>
            <w:tcW w:w="1600" w:type="dxa"/>
            <w:tcBorders/>
            <w:vAlign w:val="center"/>
          </w:tcPr>
          <w:p>
            <w:pPr>
              <w:jc w:val="right"/>
            </w:pPr>
            <w:r>
              <w:rPr>
                <w:rFonts w:ascii="宋体" w:eastAsia="宋体" w:hAnsi="宋体" w:cs="宋体"/>
                <w:b w:val="0"/>
                <w:i w:val="0"/>
                <w:color w:val="000000"/>
                <w:sz w:val="19"/>
              </w:rPr>
              <w:t xml:space="preserve">16.86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8.48</w:t>
            </w:r>
          </w:p>
        </w:tc>
        <w:tc>
          <w:tcPr>
            <w:tcW w:w="1600" w:type="dxa"/>
            <w:tcBorders/>
            <w:vAlign w:val="center"/>
          </w:tcPr>
          <w:p>
            <w:pPr>
              <w:jc w:val="right"/>
            </w:pPr>
            <w:r>
              <w:rPr>
                <w:rFonts w:ascii="宋体" w:eastAsia="宋体" w:hAnsi="宋体" w:cs="宋体"/>
                <w:b w:val="0"/>
                <w:i w:val="0"/>
                <w:color w:val="000000"/>
                <w:sz w:val="19"/>
              </w:rPr>
              <w:t xml:space="preserve">8.48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3.90</w:t>
            </w:r>
          </w:p>
        </w:tc>
        <w:tc>
          <w:tcPr>
            <w:tcW w:w="1600" w:type="dxa"/>
            <w:tcBorders/>
            <w:vAlign w:val="center"/>
          </w:tcPr>
          <w:p>
            <w:pPr>
              <w:jc w:val="right"/>
            </w:pPr>
            <w:r>
              <w:rPr>
                <w:rFonts w:ascii="宋体" w:eastAsia="宋体" w:hAnsi="宋体" w:cs="宋体"/>
                <w:b w:val="0"/>
                <w:i w:val="0"/>
                <w:color w:val="000000"/>
                <w:sz w:val="19"/>
              </w:rPr>
              <w:t xml:space="preserve">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3.90</w:t>
            </w:r>
          </w:p>
        </w:tc>
        <w:tc>
          <w:tcPr>
            <w:tcW w:w="1600" w:type="dxa"/>
            <w:tcBorders/>
            <w:vAlign w:val="center"/>
          </w:tcPr>
          <w:p>
            <w:pPr>
              <w:jc w:val="right"/>
            </w:pPr>
            <w:r>
              <w:rPr>
                <w:rFonts w:ascii="宋体" w:eastAsia="宋体" w:hAnsi="宋体" w:cs="宋体"/>
                <w:b w:val="0"/>
                <w:i w:val="0"/>
                <w:color w:val="000000"/>
                <w:sz w:val="19"/>
              </w:rPr>
              <w:t xml:space="preserve">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3.90</w:t>
            </w:r>
          </w:p>
        </w:tc>
        <w:tc>
          <w:tcPr>
            <w:tcW w:w="1600" w:type="dxa"/>
            <w:tcBorders/>
            <w:vAlign w:val="center"/>
          </w:tcPr>
          <w:p>
            <w:pPr>
              <w:jc w:val="right"/>
            </w:pPr>
            <w:r>
              <w:rPr>
                <w:rFonts w:ascii="宋体" w:eastAsia="宋体" w:hAnsi="宋体" w:cs="宋体"/>
                <w:b w:val="0"/>
                <w:i w:val="0"/>
                <w:color w:val="000000"/>
                <w:sz w:val="19"/>
              </w:rPr>
              <w:t xml:space="preserve">3.90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151.23</w:t>
            </w:r>
          </w:p>
        </w:tc>
        <w:tc>
          <w:tcPr>
            <w:tcW w:w="1600" w:type="dxa"/>
            <w:tcBorders/>
            <w:vAlign w:val="center"/>
          </w:tcPr>
          <w:p>
            <w:pPr>
              <w:jc w:val="right"/>
            </w:pPr>
            <w:r>
              <w:rPr>
                <w:rFonts w:ascii="宋体" w:eastAsia="宋体" w:hAnsi="宋体" w:cs="宋体"/>
                <w:b w:val="0"/>
                <w:i w:val="0"/>
                <w:color w:val="000000"/>
                <w:sz w:val="19"/>
              </w:rPr>
              <w:t xml:space="preserve">141.31</w:t>
            </w:r>
          </w:p>
        </w:tc>
        <w:tc>
          <w:tcPr>
            <w:tcW w:w="1600" w:type="dxa"/>
            <w:tcBorders/>
            <w:vAlign w:val="center"/>
          </w:tcPr>
          <w:p>
            <w:pPr>
              <w:jc w:val="right"/>
            </w:pPr>
            <w:r>
              <w:rPr>
                <w:rFonts w:ascii="宋体" w:eastAsia="宋体" w:hAnsi="宋体" w:cs="宋体"/>
                <w:b w:val="0"/>
                <w:i w:val="0"/>
                <w:color w:val="000000"/>
                <w:sz w:val="19"/>
              </w:rPr>
              <w:t xml:space="preserve">9.92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农业农村</w:t>
            </w:r>
          </w:p>
        </w:tc>
        <w:tc>
          <w:tcPr>
            <w:tcW w:w="1600" w:type="dxa"/>
            <w:tcBorders/>
            <w:vAlign w:val="center"/>
          </w:tcPr>
          <w:p>
            <w:pPr>
              <w:jc w:val="right"/>
            </w:pPr>
            <w:r>
              <w:rPr>
                <w:rFonts w:ascii="宋体" w:eastAsia="宋体" w:hAnsi="宋体" w:cs="宋体"/>
                <w:b w:val="0"/>
                <w:i w:val="0"/>
                <w:color w:val="000000"/>
                <w:sz w:val="19"/>
              </w:rPr>
              <w:t xml:space="preserve">151.23</w:t>
            </w:r>
          </w:p>
        </w:tc>
        <w:tc>
          <w:tcPr>
            <w:tcW w:w="1600" w:type="dxa"/>
            <w:tcBorders/>
            <w:vAlign w:val="center"/>
          </w:tcPr>
          <w:p>
            <w:pPr>
              <w:jc w:val="right"/>
            </w:pPr>
            <w:r>
              <w:rPr>
                <w:rFonts w:ascii="宋体" w:eastAsia="宋体" w:hAnsi="宋体" w:cs="宋体"/>
                <w:b w:val="0"/>
                <w:i w:val="0"/>
                <w:color w:val="000000"/>
                <w:sz w:val="19"/>
              </w:rPr>
              <w:t xml:space="preserve">141.31</w:t>
            </w:r>
          </w:p>
        </w:tc>
        <w:tc>
          <w:tcPr>
            <w:tcW w:w="1600" w:type="dxa"/>
            <w:tcBorders/>
            <w:vAlign w:val="center"/>
          </w:tcPr>
          <w:p>
            <w:pPr>
              <w:jc w:val="right"/>
            </w:pPr>
            <w:r>
              <w:rPr>
                <w:rFonts w:ascii="宋体" w:eastAsia="宋体" w:hAnsi="宋体" w:cs="宋体"/>
                <w:b w:val="0"/>
                <w:i w:val="0"/>
                <w:color w:val="000000"/>
                <w:sz w:val="19"/>
              </w:rPr>
              <w:t xml:space="preserve">9.92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141.31</w:t>
            </w:r>
          </w:p>
        </w:tc>
        <w:tc>
          <w:tcPr>
            <w:tcW w:w="1600" w:type="dxa"/>
            <w:tcBorders/>
            <w:vAlign w:val="center"/>
          </w:tcPr>
          <w:p>
            <w:pPr>
              <w:jc w:val="right"/>
            </w:pPr>
            <w:r>
              <w:rPr>
                <w:rFonts w:ascii="宋体" w:eastAsia="宋体" w:hAnsi="宋体" w:cs="宋体"/>
                <w:b w:val="0"/>
                <w:i w:val="0"/>
                <w:color w:val="000000"/>
                <w:sz w:val="19"/>
              </w:rPr>
              <w:t xml:space="preserve">141.31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2130122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农业生产发展</w:t>
            </w:r>
          </w:p>
        </w:tc>
        <w:tc>
          <w:tcPr>
            <w:tcW w:w="1600" w:type="dxa"/>
            <w:tcBorders/>
            <w:vAlign w:val="center"/>
          </w:tcPr>
          <w:p>
            <w:pPr>
              <w:jc w:val="right"/>
            </w:pPr>
            <w:r>
              <w:rPr>
                <w:rFonts w:ascii="宋体" w:eastAsia="宋体" w:hAnsi="宋体" w:cs="宋体"/>
                <w:b w:val="0"/>
                <w:i w:val="0"/>
                <w:color w:val="000000"/>
                <w:sz w:val="19"/>
              </w:rPr>
              <w:t xml:space="preserve">9.92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9.92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7.72</w:t>
            </w:r>
          </w:p>
        </w:tc>
        <w:tc>
          <w:tcPr>
            <w:tcW w:w="1600" w:type="dxa"/>
            <w:tcBorders/>
            <w:vAlign w:val="center"/>
          </w:tcPr>
          <w:p>
            <w:pPr>
              <w:jc w:val="right"/>
            </w:pPr>
            <w:r>
              <w:rPr>
                <w:rFonts w:ascii="宋体" w:eastAsia="宋体" w:hAnsi="宋体" w:cs="宋体"/>
                <w:b w:val="0"/>
                <w:i w:val="0"/>
                <w:color w:val="000000"/>
                <w:sz w:val="19"/>
              </w:rPr>
              <w:t xml:space="preserve">7.72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7.72</w:t>
            </w:r>
          </w:p>
        </w:tc>
        <w:tc>
          <w:tcPr>
            <w:tcW w:w="1600" w:type="dxa"/>
            <w:tcBorders/>
            <w:vAlign w:val="center"/>
          </w:tcPr>
          <w:p>
            <w:pPr>
              <w:jc w:val="right"/>
            </w:pPr>
            <w:r>
              <w:rPr>
                <w:rFonts w:ascii="宋体" w:eastAsia="宋体" w:hAnsi="宋体" w:cs="宋体"/>
                <w:b w:val="0"/>
                <w:i w:val="0"/>
                <w:color w:val="000000"/>
                <w:sz w:val="19"/>
              </w:rPr>
              <w:t xml:space="preserve">7.72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7.72</w:t>
            </w:r>
          </w:p>
        </w:tc>
        <w:tc>
          <w:tcPr>
            <w:tcW w:w="1600" w:type="dxa"/>
            <w:tcBorders/>
            <w:vAlign w:val="center"/>
          </w:tcPr>
          <w:p>
            <w:pPr>
              <w:jc w:val="right"/>
            </w:pPr>
            <w:r>
              <w:rPr>
                <w:rFonts w:ascii="宋体" w:eastAsia="宋体" w:hAnsi="宋体" w:cs="宋体"/>
                <w:b w:val="0"/>
                <w:i w:val="0"/>
                <w:color w:val="000000"/>
                <w:sz w:val="19"/>
              </w:rPr>
              <w:t xml:space="preserve">7.72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189.30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1.10</w:t>
            </w:r>
          </w:p>
        </w:tc>
        <w:tc>
          <w:tcPr>
            <w:tcW w:w="1420" w:type="dxa"/>
            <w:tcBorders/>
            <w:vAlign w:val="center"/>
          </w:tcPr>
          <w:p>
            <w:pPr>
              <w:jc w:val="right"/>
            </w:pPr>
            <w:r>
              <w:rPr>
                <w:rFonts w:ascii="宋体" w:eastAsia="宋体" w:hAnsi="宋体" w:cs="宋体"/>
                <w:b w:val="0"/>
                <w:i w:val="0"/>
                <w:color w:val="000000"/>
                <w:sz w:val="18"/>
              </w:rPr>
              <w:t xml:space="preserve">1.10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25.35</w:t>
            </w:r>
          </w:p>
        </w:tc>
        <w:tc>
          <w:tcPr>
            <w:tcW w:w="1420" w:type="dxa"/>
            <w:tcBorders/>
            <w:vAlign w:val="center"/>
          </w:tcPr>
          <w:p>
            <w:pPr>
              <w:jc w:val="right"/>
            </w:pPr>
            <w:r>
              <w:rPr>
                <w:rFonts w:ascii="宋体" w:eastAsia="宋体" w:hAnsi="宋体" w:cs="宋体"/>
                <w:b w:val="0"/>
                <w:i w:val="0"/>
                <w:color w:val="000000"/>
                <w:sz w:val="18"/>
              </w:rPr>
              <w:t xml:space="preserve">25.35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3.90</w:t>
            </w:r>
          </w:p>
        </w:tc>
        <w:tc>
          <w:tcPr>
            <w:tcW w:w="1420" w:type="dxa"/>
            <w:tcBorders/>
            <w:vAlign w:val="center"/>
          </w:tcPr>
          <w:p>
            <w:pPr>
              <w:jc w:val="right"/>
            </w:pPr>
            <w:r>
              <w:rPr>
                <w:rFonts w:ascii="宋体" w:eastAsia="宋体" w:hAnsi="宋体" w:cs="宋体"/>
                <w:b w:val="0"/>
                <w:i w:val="0"/>
                <w:color w:val="000000"/>
                <w:sz w:val="18"/>
              </w:rPr>
              <w:t xml:space="preserve">3.90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151.23</w:t>
            </w:r>
          </w:p>
        </w:tc>
        <w:tc>
          <w:tcPr>
            <w:tcW w:w="1420" w:type="dxa"/>
            <w:tcBorders/>
            <w:vAlign w:val="center"/>
          </w:tcPr>
          <w:p>
            <w:pPr>
              <w:jc w:val="right"/>
            </w:pPr>
            <w:r>
              <w:rPr>
                <w:rFonts w:ascii="宋体" w:eastAsia="宋体" w:hAnsi="宋体" w:cs="宋体"/>
                <w:b w:val="0"/>
                <w:i w:val="0"/>
                <w:color w:val="000000"/>
                <w:sz w:val="18"/>
              </w:rPr>
              <w:t xml:space="preserve">151.23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7.72</w:t>
            </w:r>
          </w:p>
        </w:tc>
        <w:tc>
          <w:tcPr>
            <w:tcW w:w="1420" w:type="dxa"/>
            <w:tcBorders/>
            <w:vAlign w:val="center"/>
          </w:tcPr>
          <w:p>
            <w:pPr>
              <w:jc w:val="right"/>
            </w:pPr>
            <w:r>
              <w:rPr>
                <w:rFonts w:ascii="宋体" w:eastAsia="宋体" w:hAnsi="宋体" w:cs="宋体"/>
                <w:b w:val="0"/>
                <w:i w:val="0"/>
                <w:color w:val="000000"/>
                <w:sz w:val="18"/>
              </w:rPr>
              <w:t xml:space="preserve">7.72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189.30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189.30</w:t>
            </w:r>
          </w:p>
        </w:tc>
        <w:tc>
          <w:tcPr>
            <w:tcW w:w="1420" w:type="dxa"/>
            <w:tcBorders/>
            <w:vAlign w:val="center"/>
          </w:tcPr>
          <w:p>
            <w:pPr>
              <w:jc w:val="right"/>
            </w:pPr>
            <w:r>
              <w:rPr>
                <w:rFonts w:ascii="宋体" w:eastAsia="宋体" w:hAnsi="宋体" w:cs="宋体"/>
                <w:b w:val="0"/>
                <w:i w:val="0"/>
                <w:color w:val="000000"/>
                <w:sz w:val="18"/>
              </w:rPr>
              <w:t xml:space="preserve">189.30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189.30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189.30</w:t>
            </w:r>
          </w:p>
        </w:tc>
        <w:tc>
          <w:tcPr>
            <w:tcW w:w="1420" w:type="dxa"/>
            <w:tcBorders/>
            <w:vAlign w:val="center"/>
          </w:tcPr>
          <w:p>
            <w:pPr>
              <w:jc w:val="right"/>
            </w:pPr>
            <w:r>
              <w:rPr>
                <w:rFonts w:ascii="宋体" w:eastAsia="宋体" w:hAnsi="宋体" w:cs="宋体"/>
                <w:b w:val="0"/>
                <w:i w:val="0"/>
                <w:color w:val="000000"/>
                <w:sz w:val="18"/>
              </w:rPr>
              <w:t xml:space="preserve">189.30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189.30</w:t>
            </w:r>
          </w:p>
        </w:tc>
        <w:tc>
          <w:tcPr>
            <w:tcW w:w="2700" w:type="dxa"/>
            <w:tcBorders/>
            <w:vAlign w:val="center"/>
          </w:tcPr>
          <w:p>
            <w:pPr>
              <w:jc w:val="right"/>
            </w:pPr>
            <w:r>
              <w:rPr>
                <w:rFonts w:ascii="宋体" w:eastAsia="宋体" w:hAnsi="宋体" w:cs="宋体"/>
                <w:b/>
                <w:i w:val="0"/>
                <w:color w:val="000000"/>
                <w:sz w:val="25"/>
              </w:rPr>
              <w:t xml:space="preserve">179.37</w:t>
            </w:r>
          </w:p>
        </w:tc>
        <w:tc>
          <w:tcPr>
            <w:tcW w:w="2658" w:type="dxa"/>
            <w:tcBorders/>
            <w:vAlign w:val="center"/>
          </w:tcPr>
          <w:p>
            <w:pPr>
              <w:jc w:val="right"/>
            </w:pPr>
            <w:r>
              <w:rPr>
                <w:rFonts w:ascii="宋体" w:eastAsia="宋体" w:hAnsi="宋体" w:cs="宋体"/>
                <w:b/>
                <w:i w:val="0"/>
                <w:color w:val="000000"/>
                <w:sz w:val="25"/>
              </w:rPr>
              <w:t xml:space="preserve">9.92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1.10</w:t>
            </w:r>
          </w:p>
        </w:tc>
        <w:tc>
          <w:tcPr>
            <w:tcW w:w="2700" w:type="dxa"/>
            <w:tcBorders/>
            <w:vAlign w:val="center"/>
          </w:tcPr>
          <w:p>
            <w:pPr>
              <w:jc w:val="right"/>
            </w:pPr>
            <w:r>
              <w:rPr>
                <w:rFonts w:ascii="宋体" w:eastAsia="宋体" w:hAnsi="宋体" w:cs="宋体"/>
                <w:b w:val="0"/>
                <w:i w:val="0"/>
                <w:color w:val="000000"/>
                <w:sz w:val="25"/>
              </w:rPr>
              <w:t xml:space="preserve">1.10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1.10</w:t>
            </w:r>
          </w:p>
        </w:tc>
        <w:tc>
          <w:tcPr>
            <w:tcW w:w="2700" w:type="dxa"/>
            <w:tcBorders/>
            <w:vAlign w:val="center"/>
          </w:tcPr>
          <w:p>
            <w:pPr>
              <w:jc w:val="right"/>
            </w:pPr>
            <w:r>
              <w:rPr>
                <w:rFonts w:ascii="宋体" w:eastAsia="宋体" w:hAnsi="宋体" w:cs="宋体"/>
                <w:b w:val="0"/>
                <w:i w:val="0"/>
                <w:color w:val="000000"/>
                <w:sz w:val="25"/>
              </w:rPr>
              <w:t xml:space="preserve">1.10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1.10</w:t>
            </w:r>
          </w:p>
        </w:tc>
        <w:tc>
          <w:tcPr>
            <w:tcW w:w="2700" w:type="dxa"/>
            <w:tcBorders/>
            <w:vAlign w:val="center"/>
          </w:tcPr>
          <w:p>
            <w:pPr>
              <w:jc w:val="right"/>
            </w:pPr>
            <w:r>
              <w:rPr>
                <w:rFonts w:ascii="宋体" w:eastAsia="宋体" w:hAnsi="宋体" w:cs="宋体"/>
                <w:b w:val="0"/>
                <w:i w:val="0"/>
                <w:color w:val="000000"/>
                <w:sz w:val="25"/>
              </w:rPr>
              <w:t xml:space="preserve">1.10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25.34</w:t>
            </w:r>
          </w:p>
        </w:tc>
        <w:tc>
          <w:tcPr>
            <w:tcW w:w="2700" w:type="dxa"/>
            <w:tcBorders/>
            <w:vAlign w:val="center"/>
          </w:tcPr>
          <w:p>
            <w:pPr>
              <w:jc w:val="right"/>
            </w:pPr>
            <w:r>
              <w:rPr>
                <w:rFonts w:ascii="宋体" w:eastAsia="宋体" w:hAnsi="宋体" w:cs="宋体"/>
                <w:b w:val="0"/>
                <w:i w:val="0"/>
                <w:color w:val="000000"/>
                <w:sz w:val="25"/>
              </w:rPr>
              <w:t xml:space="preserve">25.34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25.34</w:t>
            </w:r>
          </w:p>
        </w:tc>
        <w:tc>
          <w:tcPr>
            <w:tcW w:w="2700" w:type="dxa"/>
            <w:tcBorders/>
            <w:vAlign w:val="center"/>
          </w:tcPr>
          <w:p>
            <w:pPr>
              <w:jc w:val="right"/>
            </w:pPr>
            <w:r>
              <w:rPr>
                <w:rFonts w:ascii="宋体" w:eastAsia="宋体" w:hAnsi="宋体" w:cs="宋体"/>
                <w:b w:val="0"/>
                <w:i w:val="0"/>
                <w:color w:val="000000"/>
                <w:sz w:val="25"/>
              </w:rPr>
              <w:t xml:space="preserve">25.34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16.86</w:t>
            </w:r>
          </w:p>
        </w:tc>
        <w:tc>
          <w:tcPr>
            <w:tcW w:w="2700" w:type="dxa"/>
            <w:tcBorders/>
            <w:vAlign w:val="center"/>
          </w:tcPr>
          <w:p>
            <w:pPr>
              <w:jc w:val="right"/>
            </w:pPr>
            <w:r>
              <w:rPr>
                <w:rFonts w:ascii="宋体" w:eastAsia="宋体" w:hAnsi="宋体" w:cs="宋体"/>
                <w:b w:val="0"/>
                <w:i w:val="0"/>
                <w:color w:val="000000"/>
                <w:sz w:val="25"/>
              </w:rPr>
              <w:t xml:space="preserve">16.86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8.48</w:t>
            </w:r>
          </w:p>
        </w:tc>
        <w:tc>
          <w:tcPr>
            <w:tcW w:w="2700" w:type="dxa"/>
            <w:tcBorders/>
            <w:vAlign w:val="center"/>
          </w:tcPr>
          <w:p>
            <w:pPr>
              <w:jc w:val="right"/>
            </w:pPr>
            <w:r>
              <w:rPr>
                <w:rFonts w:ascii="宋体" w:eastAsia="宋体" w:hAnsi="宋体" w:cs="宋体"/>
                <w:b w:val="0"/>
                <w:i w:val="0"/>
                <w:color w:val="000000"/>
                <w:sz w:val="25"/>
              </w:rPr>
              <w:t xml:space="preserve">8.48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3.90</w:t>
            </w:r>
          </w:p>
        </w:tc>
        <w:tc>
          <w:tcPr>
            <w:tcW w:w="2700" w:type="dxa"/>
            <w:tcBorders/>
            <w:vAlign w:val="center"/>
          </w:tcPr>
          <w:p>
            <w:pPr>
              <w:jc w:val="right"/>
            </w:pPr>
            <w:r>
              <w:rPr>
                <w:rFonts w:ascii="宋体" w:eastAsia="宋体" w:hAnsi="宋体" w:cs="宋体"/>
                <w:b w:val="0"/>
                <w:i w:val="0"/>
                <w:color w:val="000000"/>
                <w:sz w:val="25"/>
              </w:rPr>
              <w:t xml:space="preserve">3.90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3.90</w:t>
            </w:r>
          </w:p>
        </w:tc>
        <w:tc>
          <w:tcPr>
            <w:tcW w:w="2700" w:type="dxa"/>
            <w:tcBorders/>
            <w:vAlign w:val="center"/>
          </w:tcPr>
          <w:p>
            <w:pPr>
              <w:jc w:val="right"/>
            </w:pPr>
            <w:r>
              <w:rPr>
                <w:rFonts w:ascii="宋体" w:eastAsia="宋体" w:hAnsi="宋体" w:cs="宋体"/>
                <w:b w:val="0"/>
                <w:i w:val="0"/>
                <w:color w:val="000000"/>
                <w:sz w:val="25"/>
              </w:rPr>
              <w:t xml:space="preserve">3.90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3.90</w:t>
            </w:r>
          </w:p>
        </w:tc>
        <w:tc>
          <w:tcPr>
            <w:tcW w:w="2700" w:type="dxa"/>
            <w:tcBorders/>
            <w:vAlign w:val="center"/>
          </w:tcPr>
          <w:p>
            <w:pPr>
              <w:jc w:val="right"/>
            </w:pPr>
            <w:r>
              <w:rPr>
                <w:rFonts w:ascii="宋体" w:eastAsia="宋体" w:hAnsi="宋体" w:cs="宋体"/>
                <w:b w:val="0"/>
                <w:i w:val="0"/>
                <w:color w:val="000000"/>
                <w:sz w:val="25"/>
              </w:rPr>
              <w:t xml:space="preserve">3.90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151.23</w:t>
            </w:r>
          </w:p>
        </w:tc>
        <w:tc>
          <w:tcPr>
            <w:tcW w:w="2700" w:type="dxa"/>
            <w:tcBorders/>
            <w:vAlign w:val="center"/>
          </w:tcPr>
          <w:p>
            <w:pPr>
              <w:jc w:val="right"/>
            </w:pPr>
            <w:r>
              <w:rPr>
                <w:rFonts w:ascii="宋体" w:eastAsia="宋体" w:hAnsi="宋体" w:cs="宋体"/>
                <w:b w:val="0"/>
                <w:i w:val="0"/>
                <w:color w:val="000000"/>
                <w:sz w:val="25"/>
              </w:rPr>
              <w:t xml:space="preserve">141.31</w:t>
            </w:r>
          </w:p>
        </w:tc>
        <w:tc>
          <w:tcPr>
            <w:tcW w:w="2658" w:type="dxa"/>
            <w:tcBorders/>
            <w:vAlign w:val="center"/>
          </w:tcPr>
          <w:p>
            <w:pPr>
              <w:jc w:val="right"/>
            </w:pPr>
            <w:r>
              <w:rPr>
                <w:rFonts w:ascii="宋体" w:eastAsia="宋体" w:hAnsi="宋体" w:cs="宋体"/>
                <w:b w:val="0"/>
                <w:i w:val="0"/>
                <w:color w:val="000000"/>
                <w:sz w:val="25"/>
              </w:rPr>
              <w:t xml:space="preserve">9.92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农业农村</w:t>
            </w:r>
          </w:p>
        </w:tc>
        <w:tc>
          <w:tcPr>
            <w:tcW w:w="2700" w:type="dxa"/>
            <w:tcBorders/>
            <w:vAlign w:val="center"/>
          </w:tcPr>
          <w:p>
            <w:pPr>
              <w:jc w:val="right"/>
            </w:pPr>
            <w:r>
              <w:rPr>
                <w:rFonts w:ascii="宋体" w:eastAsia="宋体" w:hAnsi="宋体" w:cs="宋体"/>
                <w:b w:val="0"/>
                <w:i w:val="0"/>
                <w:color w:val="000000"/>
                <w:sz w:val="25"/>
              </w:rPr>
              <w:t xml:space="preserve">151.23</w:t>
            </w:r>
          </w:p>
        </w:tc>
        <w:tc>
          <w:tcPr>
            <w:tcW w:w="2700" w:type="dxa"/>
            <w:tcBorders/>
            <w:vAlign w:val="center"/>
          </w:tcPr>
          <w:p>
            <w:pPr>
              <w:jc w:val="right"/>
            </w:pPr>
            <w:r>
              <w:rPr>
                <w:rFonts w:ascii="宋体" w:eastAsia="宋体" w:hAnsi="宋体" w:cs="宋体"/>
                <w:b w:val="0"/>
                <w:i w:val="0"/>
                <w:color w:val="000000"/>
                <w:sz w:val="25"/>
              </w:rPr>
              <w:t xml:space="preserve">141.31</w:t>
            </w:r>
          </w:p>
        </w:tc>
        <w:tc>
          <w:tcPr>
            <w:tcW w:w="2658" w:type="dxa"/>
            <w:tcBorders/>
            <w:vAlign w:val="center"/>
          </w:tcPr>
          <w:p>
            <w:pPr>
              <w:jc w:val="right"/>
            </w:pPr>
            <w:r>
              <w:rPr>
                <w:rFonts w:ascii="宋体" w:eastAsia="宋体" w:hAnsi="宋体" w:cs="宋体"/>
                <w:b w:val="0"/>
                <w:i w:val="0"/>
                <w:color w:val="000000"/>
                <w:sz w:val="25"/>
              </w:rPr>
              <w:t xml:space="preserve">9.92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141.31</w:t>
            </w:r>
          </w:p>
        </w:tc>
        <w:tc>
          <w:tcPr>
            <w:tcW w:w="2700" w:type="dxa"/>
            <w:tcBorders/>
            <w:vAlign w:val="center"/>
          </w:tcPr>
          <w:p>
            <w:pPr>
              <w:jc w:val="right"/>
            </w:pPr>
            <w:r>
              <w:rPr>
                <w:rFonts w:ascii="宋体" w:eastAsia="宋体" w:hAnsi="宋体" w:cs="宋体"/>
                <w:b w:val="0"/>
                <w:i w:val="0"/>
                <w:color w:val="000000"/>
                <w:sz w:val="25"/>
              </w:rPr>
              <w:t xml:space="preserve">141.31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2130122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农业生产发展</w:t>
            </w:r>
          </w:p>
        </w:tc>
        <w:tc>
          <w:tcPr>
            <w:tcW w:w="2700" w:type="dxa"/>
            <w:tcBorders/>
            <w:vAlign w:val="center"/>
          </w:tcPr>
          <w:p>
            <w:pPr>
              <w:jc w:val="right"/>
            </w:pPr>
            <w:r>
              <w:rPr>
                <w:rFonts w:ascii="宋体" w:eastAsia="宋体" w:hAnsi="宋体" w:cs="宋体"/>
                <w:b w:val="0"/>
                <w:i w:val="0"/>
                <w:color w:val="000000"/>
                <w:sz w:val="25"/>
              </w:rPr>
              <w:t xml:space="preserve">9.92</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9.92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7.72</w:t>
            </w:r>
          </w:p>
        </w:tc>
        <w:tc>
          <w:tcPr>
            <w:tcW w:w="2700" w:type="dxa"/>
            <w:tcBorders/>
            <w:vAlign w:val="center"/>
          </w:tcPr>
          <w:p>
            <w:pPr>
              <w:jc w:val="right"/>
            </w:pPr>
            <w:r>
              <w:rPr>
                <w:rFonts w:ascii="宋体" w:eastAsia="宋体" w:hAnsi="宋体" w:cs="宋体"/>
                <w:b w:val="0"/>
                <w:i w:val="0"/>
                <w:color w:val="000000"/>
                <w:sz w:val="25"/>
              </w:rPr>
              <w:t xml:space="preserve">7.72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7.72</w:t>
            </w:r>
          </w:p>
        </w:tc>
        <w:tc>
          <w:tcPr>
            <w:tcW w:w="2700" w:type="dxa"/>
            <w:tcBorders/>
            <w:vAlign w:val="center"/>
          </w:tcPr>
          <w:p>
            <w:pPr>
              <w:jc w:val="right"/>
            </w:pPr>
            <w:r>
              <w:rPr>
                <w:rFonts w:ascii="宋体" w:eastAsia="宋体" w:hAnsi="宋体" w:cs="宋体"/>
                <w:b w:val="0"/>
                <w:i w:val="0"/>
                <w:color w:val="000000"/>
                <w:sz w:val="25"/>
              </w:rPr>
              <w:t xml:space="preserve">7.72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7.72</w:t>
            </w:r>
          </w:p>
        </w:tc>
        <w:tc>
          <w:tcPr>
            <w:tcW w:w="2700" w:type="dxa"/>
            <w:tcBorders/>
            <w:vAlign w:val="center"/>
          </w:tcPr>
          <w:p>
            <w:pPr>
              <w:jc w:val="right"/>
            </w:pPr>
            <w:r>
              <w:rPr>
                <w:rFonts w:ascii="宋体" w:eastAsia="宋体" w:hAnsi="宋体" w:cs="宋体"/>
                <w:b w:val="0"/>
                <w:i w:val="0"/>
                <w:color w:val="000000"/>
                <w:sz w:val="25"/>
              </w:rPr>
              <w:t xml:space="preserve">7.72</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140.49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21.12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50.43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1.30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16.19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43.59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4.92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8.48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5.79</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0.90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3.90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4.50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0.99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7.72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4.66</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17.77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0.77</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16.86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0.73</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1.10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1.27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1.76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158.26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21.12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单位：许昌市农产品质量安全检测检验中心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189.98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减少142.35万元，下降42.83%</w:t>
      </w:r>
      <w:r>
        <w:rPr>
          <w:rFonts w:ascii="仿宋" w:eastAsia="仿宋" w:hAnsi="仿宋" w:cs="仿宋" w:hint="eastAsia"/>
          <w:kern w:val="0"/>
          <w:sz w:val="32"/>
          <w:szCs w:val="32"/>
          <w:lang w:val="en-US" w:eastAsia="zh-CN"/>
        </w:rPr>
        <w:t xml:space="preserve">。主要原因是由于事业单位机构改革，省、市财政安排项目经费减少。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189.30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财政拨款收入189.30万元，占100.00%；上级补助收入0.00万元，占0.00%；事业收入0.00万元，占0.00%；经营收入0.00万元，占0.00%；附属单位上缴收入0.00万元，占0.00%；其他收入0.00万元，占0.00%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189.98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基本支出179.37万元，占94.42%；项目支出10.60万元，占5.58%；上缴上级支出0.00万元，占0.00%；经营支出0.00万元，占0.00%；对附属单位补助支出0.00万元，占0.00%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189.30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减少141.25万元，下降42.73%</w:t>
      </w:r>
      <w:r>
        <w:rPr>
          <w:rFonts w:ascii="仿宋" w:eastAsia="仿宋" w:hAnsi="仿宋" w:cs="仿宋" w:hint="eastAsia"/>
          <w:kern w:val="0"/>
          <w:sz w:val="32"/>
          <w:szCs w:val="32"/>
          <w:lang w:val="en-US" w:eastAsia="zh-CN"/>
        </w:rPr>
        <w:t xml:space="preserve">。主要原因是由于事业单位机构改革，省、市财政安排项目经费减少。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189.30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99.64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减少141.25万元，下降42.73%</w:t>
      </w:r>
      <w:r>
        <w:rPr>
          <w:rFonts w:ascii="仿宋" w:eastAsia="仿宋" w:hAnsi="仿宋" w:cs="仿宋" w:hint="eastAsia"/>
          <w:kern w:val="0"/>
          <w:sz w:val="32"/>
          <w:szCs w:val="32"/>
          <w:lang w:val="en-US" w:eastAsia="zh-CN"/>
        </w:rPr>
        <w:t xml:space="preserve">。主要原因是由于事业单位机构改革，省、市财政安排项目经费减少。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189.30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一般公共服务支出（类）1.10万元，占0.58%；社会保障和就业支出（类）25.35万元，占13.39%；卫生健康支出（类）3.90万元，占2.06%；农林水支出（类）151.23万元，占79.89%；住房保障支出（类）7.72万元，占4.08%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216.68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189.30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87.36</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年初预算数为1.10万元，决算数1.10万元,完成年初预算的100.00%，决算数与年初预算数不存在差异。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年初预算数为5.91万元，决算数16.86万元,完成年初预算的285.28%，决算数与年初预算数存在差异的主要原因是2023年单位新增退休人员，退休费用增加。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年初预算数为12.92万元，决算数8.48万元,完成年初预算的65.63%，决算数与年初预算数存在差异的主要原因是2023年单位在职人员转退休，养老保险支出减少。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年初预算数为6.29万元，决算数3.90万元,完成年初预算的62.00%，决算数与年初预算数存在差异的主要原因是2023年单位在职人员转退休，医疗保险支出减少。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5.农林水支出（类）农业农村（款）事业运行（项）</w:t>
      </w:r>
      <w:r>
        <w:rPr>
          <w:rFonts w:ascii="仿宋" w:eastAsia="仿宋" w:hAnsi="仿宋" w:cs="仿宋" w:hint="default"/>
          <w:kern w:val="2"/>
          <w:sz w:val="32"/>
          <w:szCs w:val="32"/>
          <w:lang w:val="en-US" w:eastAsia="zh-CN"/>
        </w:rPr>
        <w:t xml:space="preserve">年初预算数为178.47万元，决算数141.31万元,完成年初预算的79.18%，决算数与年初预算数存在差异的主要原因是厉行节约，经费开支减少。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6.农林水支出（类）农业农村（款）农业生产发展（项）</w:t>
      </w:r>
      <w:r>
        <w:rPr>
          <w:rFonts w:ascii="仿宋" w:eastAsia="仿宋" w:hAnsi="仿宋" w:cs="仿宋" w:hint="default"/>
          <w:kern w:val="2"/>
          <w:sz w:val="32"/>
          <w:szCs w:val="32"/>
          <w:lang w:val="en-US" w:eastAsia="zh-CN"/>
        </w:rPr>
        <w:t xml:space="preserve">年初预算数为0.00万元，决算数9.92万元,决算数与年初预算数存在差异的主要原因是该款项为省级财政安排的农业生产发展资金，未纳入年初预算。。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年初预算数为11.99万元，决算数7.72万元,完成年初预算的64.39%，决算数与年初预算数存在差异的主要原因是2023年单位在职人员转退休，住房公积金支出减少。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179.37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其中：人员经费158.26万元，主要包括：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公用经费21.12万元，主要包括：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主要用于全市及所辖各县（市）农产品质量安全抽检、监测、复检；全市农产品质量安全突发事件应急检测等工作。</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财政拨款的公务用车保有量与国有资产车辆差异原因:根据事业单位改革精神，我单位资产已于2023年整体划转至新单位。</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189.98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2023年单位整体工作均达到设置的绩效目标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基于项目预期目标的实现程度，我单位对2023年度单位预算项目支出（含单位参与分配的转移支付项目）开展绩效自评，涉及项目1个，项目金额8.29万元。其中：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农产品质量安全检测专项经费项目，自评得分为98.5分，等级为“优”。农产品质量安全检测专项经费项目资金安排科学、拨付合规、使用规范、预算绩效管理合规、预算执行率为100%，在12月前共完成抽检样品90个，服务对象生态意识逐步提升，服务对象（受检单位）满意度为85%，为依法监管提供了及时、有效的检测数据，保障了市民的消费安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虽然自评等级为“优”，但在今后，我们将严格按照专项资金绩效管理的相关要求，细化绩效评价项目的各项指标，在实施过程中遵循“实事求是、尊重客观规律、力求精准”的原则，严把项目资金使用关，确保专项资金的使用合规。</w:t>
      </w:r>
      <w:bookmarkStart w:id="0" w:name="_GoBack"/>
      <w:bookmarkEnd w:id="0"/>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3022"/>
        <w:gridCol w:w="1617"/>
        <w:gridCol w:w="2674"/>
        <w:gridCol w:w="10469"/>
        <w:gridCol w:w="4316"/>
        <w:gridCol w:w="1136"/>
        <w:gridCol w:w="596"/>
        <w:gridCol w:w="596"/>
        <w:gridCol w:w="782"/>
        <w:gridCol w:w="55"/>
        <w:gridCol w:w="2182"/>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单位整体绩效自评表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许昌市农产品质量安全检测检验中心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单位</w:t>
            </w:r>
            <w:r>
              <w:rPr>
                <w:rFonts w:ascii="宋体" w:eastAsia="宋体" w:hAnsi="宋体" w:cs="宋体"/>
                <w:i w:val="0"/>
                <w:iCs w:val="0"/>
                <w:color w:val="000000"/>
                <w:kern w:val="0"/>
                <w:sz w:val="18"/>
                <w:szCs w:val="18"/>
                <w:u w:val="none"/>
                <w:bdr w:val="none" w:sz="0" w:space="0" w:color="auto"/>
                <w:lang w:val="en-US" w:eastAsia="zh-CN" w:bidi="en-AU"/>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单位</w:t>
            </w:r>
            <w:r>
              <w:rPr>
                <w:rFonts w:ascii="宋体" w:eastAsia="宋体" w:hAnsi="宋体" w:cs="宋体"/>
                <w:i w:val="0"/>
                <w:iCs w:val="0"/>
                <w:color w:val="000000"/>
                <w:kern w:val="0"/>
                <w:sz w:val="18"/>
                <w:szCs w:val="18"/>
                <w:u w:val="none"/>
                <w:bdr w:val="none" w:sz="0" w:space="0" w:color="auto"/>
                <w:lang w:val="en-US" w:eastAsia="zh-CN" w:bidi="en-AU"/>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216.68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189.98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189.98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资金来源：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216.68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189.98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189.98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产品质量安全抽检、监测、复检，上级行政主管部门委托监测，县级以下检测机构技术指导，农产品质量安全突发事件应急检测。保障人员经费和公用经费按照预算项目合理支出，确保单位办公正常运转。加强党建工作，带动干部职工素质整体提升，内部管理进一步规范。</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共定性定量监</w:t>
            </w:r>
            <w:r>
              <w:rPr>
                <w:rFonts w:ascii="宋体" w:eastAsia="宋体" w:hAnsi="宋体" w:cs="宋体"/>
                <w:i w:val="0"/>
                <w:iCs w:val="0"/>
                <w:color w:val="000000"/>
                <w:kern w:val="0"/>
                <w:sz w:val="18"/>
                <w:szCs w:val="18"/>
                <w:u w:val="none"/>
                <w:bdr w:val="none" w:sz="0" w:space="0" w:color="auto"/>
                <w:lang w:val="en-US" w:eastAsia="zh-CN" w:bidi="en-AU"/>
              </w:rPr>
              <w:t xml:space="preserve">测</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批次农产品样品。</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农产品质量安全检测</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农产品质量安全抽检、检测、复检；上级行政主管部门委托监测；县级以下检测机构技术指导，农产品质量安全突发事件应急检测。</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共定性定量监</w:t>
            </w:r>
            <w:r>
              <w:rPr>
                <w:rFonts w:ascii="宋体" w:eastAsia="宋体" w:hAnsi="宋体" w:cs="宋体"/>
                <w:i w:val="0"/>
                <w:iCs w:val="0"/>
                <w:color w:val="000000"/>
                <w:kern w:val="0"/>
                <w:sz w:val="18"/>
                <w:szCs w:val="18"/>
                <w:u w:val="none"/>
                <w:bdr w:val="none" w:sz="0" w:space="0" w:color="auto"/>
                <w:lang w:val="en-US" w:eastAsia="zh-CN" w:bidi="en-AU"/>
              </w:rPr>
              <w:t xml:space="preserve">测</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批次农产品样品。</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hAnsi="宋体" w:cs="宋体" w:hint="eastAsia"/>
                <w:i w:val="0"/>
                <w:iCs w:val="0"/>
                <w:color w:val="000000"/>
                <w:kern w:val="0"/>
                <w:sz w:val="18"/>
                <w:szCs w:val="18"/>
                <w:u w:val="none"/>
                <w:bdr w:val="none" w:sz="0" w:space="0" w:color="auto"/>
                <w:lang w:val="en-US" w:eastAsia="zh-CN" w:bidi="en-AU"/>
              </w:rPr>
              <w:t xml:space="preserve">.00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93.46%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6.54%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三公经</w:t>
            </w:r>
            <w:r>
              <w:rPr>
                <w:rFonts w:ascii="宋体" w:eastAsia="宋体" w:hAnsi="宋体" w:cs="宋体"/>
                <w:i w:val="0"/>
                <w:iCs w:val="0"/>
                <w:color w:val="000000"/>
                <w:kern w:val="0"/>
                <w:sz w:val="18"/>
                <w:szCs w:val="18"/>
                <w:u w:val="none"/>
                <w:bdr w:val="none" w:sz="0" w:space="0" w:color="auto"/>
                <w:lang w:val="en-US" w:eastAsia="zh-CN" w:bidi="en-AU"/>
              </w:rPr>
              <w:t xml:space="preserve">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重点工作任务完成</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定性定量监</w:t>
            </w:r>
            <w:r>
              <w:rPr>
                <w:rFonts w:ascii="宋体" w:eastAsia="宋体" w:hAnsi="宋体" w:cs="宋体"/>
                <w:i w:val="0"/>
                <w:iCs w:val="0"/>
                <w:color w:val="000000"/>
                <w:kern w:val="0"/>
                <w:sz w:val="18"/>
                <w:szCs w:val="18"/>
                <w:u w:val="none"/>
                <w:bdr w:val="none" w:sz="0" w:space="0" w:color="auto"/>
                <w:lang w:val="en-US" w:eastAsia="zh-CN" w:bidi="en-AU"/>
              </w:rPr>
              <w:t xml:space="preserve">测</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批次农产品样品</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履职目标实现</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定性定量监</w:t>
            </w:r>
            <w:r>
              <w:rPr>
                <w:rFonts w:ascii="宋体" w:eastAsia="宋体" w:hAnsi="宋体" w:cs="宋体"/>
                <w:i w:val="0"/>
                <w:iCs w:val="0"/>
                <w:color w:val="000000"/>
                <w:kern w:val="0"/>
                <w:sz w:val="18"/>
                <w:szCs w:val="18"/>
                <w:u w:val="none"/>
                <w:bdr w:val="none" w:sz="0" w:space="0" w:color="auto"/>
                <w:lang w:val="en-US" w:eastAsia="zh-CN" w:bidi="en-AU"/>
              </w:rPr>
              <w:t xml:space="preserve">测</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批次农产品样品</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年度目标工作实现率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rPr>
                <w:rFonts w:ascii="宋体" w:eastAsia="宋体" w:hAnsi="宋体" w:cs="宋体" w:hint="eastAsia"/>
                <w:i w:val="0"/>
                <w:iCs w:val="0"/>
                <w:color w:val="000000"/>
                <w:sz w:val="18"/>
                <w:szCs w:val="18"/>
                <w:u w:val="none"/>
              </w:rPr>
            </w:pPr>
          </w:p>
        </w:tc>
      </w:tr>
    </w:tbl>
    <w:p>
      <w:pPr>
        <w:pStyle w:val="Normal_0048c9ee-8908-4720-80a7-cbcb003e5c05"/>
        <w:sectPr>
          <w:pgSz w:w="16838" w:h="11906" w:orient="landscape"/>
          <w:pgMar w:top="720" w:right="720" w:bottom="720" w:left="720" w:header="851" w:footer="992" w:gutter="0"/>
          <w:docGrid w:type="lines" w:linePitch="312"/>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255"/>
        <w:gridCol w:w="2450"/>
        <w:gridCol w:w="2211"/>
        <w:gridCol w:w="1850"/>
        <w:gridCol w:w="1553"/>
        <w:gridCol w:w="44"/>
        <w:gridCol w:w="1725"/>
        <w:gridCol w:w="912"/>
        <w:gridCol w:w="912"/>
        <w:gridCol w:w="912"/>
        <w:gridCol w:w="1463"/>
        <w:gridCol w:w="339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农产品质量安全检测专项经费（结转本级资金）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许昌市农业农村局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许昌市农产品质量安全检测检验中心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8.29</w:t>
            </w:r>
          </w:p>
        </w:tc>
        <w:tc>
          <w:tcPr>
            <w:tcW w:type="auto" w:w="0"/>
            <w:tcBorders>
              <w:top w:val="nil"/>
              <w:left w:val="nil"/>
              <w:bottom w:val="nil"/>
              <w:right w:val="nil"/>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预算绩效管理科学规范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w:t>
            </w:r>
            <w:r>
              <w:rPr>
                <w:rFonts w:ascii="宋体" w:eastAsia="宋体" w:hAnsi="宋体" w:cs="宋体"/>
                <w:i w:val="0"/>
                <w:iCs w:val="0"/>
                <w:color w:val="000000"/>
                <w:kern w:val="0"/>
                <w:sz w:val="18"/>
                <w:szCs w:val="18"/>
                <w:u w:val="none"/>
                <w:bdr w:val="none" w:sz="0" w:space="0" w:color="auto"/>
                <w:lang w:val="en-US" w:eastAsia="zh-CN" w:bidi="en-AU"/>
              </w:rPr>
              <w:t xml:space="preserve">市</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双安双</w:t>
            </w:r>
            <w:r>
              <w:rPr>
                <w:rFonts w:ascii="宋体" w:eastAsia="宋体" w:hAnsi="宋体" w:cs="宋体"/>
                <w:i w:val="0"/>
                <w:iCs w:val="0"/>
                <w:color w:val="000000"/>
                <w:kern w:val="0"/>
                <w:sz w:val="18"/>
                <w:szCs w:val="18"/>
                <w:u w:val="none"/>
                <w:bdr w:val="none" w:sz="0" w:space="0" w:color="auto"/>
                <w:lang w:val="en-US" w:eastAsia="zh-CN" w:bidi="en-AU"/>
              </w:rPr>
              <w:t xml:space="preserve">创</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和国家对食用农产品监测的相关要求</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年开展全市农产品质量安全例行监测和专项监测，监测农产品（蔬菜、水果、食用菌、小麦、玉米、花生等）样品</w:t>
            </w:r>
            <w:r>
              <w:rPr>
                <w:rFonts w:ascii="宋体" w:eastAsia="宋体" w:hAnsi="宋体" w:cs="宋体"/>
                <w:i w:val="0"/>
                <w:iCs w:val="0"/>
                <w:color w:val="000000"/>
                <w:kern w:val="0"/>
                <w:sz w:val="18"/>
                <w:szCs w:val="18"/>
                <w:u w:val="none"/>
                <w:bdr w:val="none" w:sz="0" w:space="0" w:color="auto"/>
                <w:lang w:val="en-US" w:eastAsia="zh-CN" w:bidi="en-AU"/>
              </w:rPr>
              <w:t xml:space="preserve">数</w:t>
            </w:r>
            <w:r>
              <w:rPr>
                <w:rFonts w:ascii="宋体" w:eastAsia="宋体" w:hAnsi="宋体" w:cs="宋体"/>
                <w:i w:val="0"/>
                <w:iCs w:val="0"/>
                <w:color w:val="000000"/>
                <w:kern w:val="0"/>
                <w:sz w:val="18"/>
                <w:szCs w:val="18"/>
                <w:u w:val="none"/>
                <w:bdr w:val="none" w:sz="0" w:space="0" w:color="auto"/>
                <w:lang w:val="en-US" w:eastAsia="zh-CN" w:bidi="en-AU"/>
              </w:rPr>
              <w:t xml:space="preserve">94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份，每份样品检测</w:t>
            </w:r>
            <w:r>
              <w:rPr>
                <w:rFonts w:ascii="宋体" w:eastAsia="宋体" w:hAnsi="宋体" w:cs="宋体"/>
                <w:i w:val="0"/>
                <w:iCs w:val="0"/>
                <w:color w:val="000000"/>
                <w:kern w:val="0"/>
                <w:sz w:val="18"/>
                <w:szCs w:val="18"/>
                <w:u w:val="none"/>
                <w:bdr w:val="none" w:sz="0" w:space="0" w:color="auto"/>
                <w:lang w:val="en-US" w:eastAsia="zh-CN" w:bidi="en-AU"/>
              </w:rPr>
              <w:t xml:space="preserve">约</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余项污染物参数（包括：农药残留、生物毒素含量等）。</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w:t>
            </w:r>
            <w:r>
              <w:rPr>
                <w:rFonts w:ascii="宋体" w:eastAsia="宋体" w:hAnsi="宋体" w:cs="宋体"/>
                <w:i w:val="0"/>
                <w:iCs w:val="0"/>
                <w:color w:val="000000"/>
                <w:kern w:val="0"/>
                <w:sz w:val="18"/>
                <w:szCs w:val="18"/>
                <w:u w:val="none"/>
                <w:bdr w:val="none" w:sz="0" w:space="0" w:color="auto"/>
                <w:lang w:val="en-US" w:eastAsia="zh-CN" w:bidi="en-AU"/>
              </w:rPr>
              <w:t xml:space="preserve">市</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双安双</w:t>
            </w:r>
            <w:r>
              <w:rPr>
                <w:rFonts w:ascii="宋体" w:eastAsia="宋体" w:hAnsi="宋体" w:cs="宋体"/>
                <w:i w:val="0"/>
                <w:iCs w:val="0"/>
                <w:color w:val="000000"/>
                <w:kern w:val="0"/>
                <w:sz w:val="18"/>
                <w:szCs w:val="18"/>
                <w:u w:val="none"/>
                <w:bdr w:val="none" w:sz="0" w:space="0" w:color="auto"/>
                <w:lang w:val="en-US" w:eastAsia="zh-CN" w:bidi="en-AU"/>
              </w:rPr>
              <w:t xml:space="preserve">创</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和国家对食用农产品监测的相关要求</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年开展全市农产品质量安全例行监测和专项监测，监测农产品（蔬菜、水果、食用菌、小麦、玉米、花生等）样品</w:t>
            </w:r>
            <w:r>
              <w:rPr>
                <w:rFonts w:ascii="宋体" w:eastAsia="宋体" w:hAnsi="宋体" w:cs="宋体"/>
                <w:i w:val="0"/>
                <w:iCs w:val="0"/>
                <w:color w:val="000000"/>
                <w:kern w:val="0"/>
                <w:sz w:val="18"/>
                <w:szCs w:val="18"/>
                <w:u w:val="none"/>
                <w:bdr w:val="none" w:sz="0" w:space="0" w:color="auto"/>
                <w:lang w:val="en-US" w:eastAsia="zh-CN" w:bidi="en-AU"/>
              </w:rPr>
              <w:t xml:space="preserve">数</w:t>
            </w:r>
            <w:r>
              <w:rPr>
                <w:rFonts w:ascii="宋体" w:eastAsia="宋体" w:hAnsi="宋体" w:cs="宋体"/>
                <w:i w:val="0"/>
                <w:iCs w:val="0"/>
                <w:color w:val="000000"/>
                <w:kern w:val="0"/>
                <w:sz w:val="18"/>
                <w:szCs w:val="18"/>
                <w:u w:val="none"/>
                <w:bdr w:val="none" w:sz="0" w:space="0" w:color="auto"/>
                <w:lang w:val="en-US" w:eastAsia="zh-CN" w:bidi="en-AU"/>
              </w:rPr>
              <w:t xml:space="preserve">94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份，每份样品检测</w:t>
            </w:r>
            <w:r>
              <w:rPr>
                <w:rFonts w:ascii="宋体" w:eastAsia="宋体" w:hAnsi="宋体" w:cs="宋体"/>
                <w:i w:val="0"/>
                <w:iCs w:val="0"/>
                <w:color w:val="000000"/>
                <w:kern w:val="0"/>
                <w:sz w:val="18"/>
                <w:szCs w:val="18"/>
                <w:u w:val="none"/>
                <w:bdr w:val="none" w:sz="0" w:space="0" w:color="auto"/>
                <w:lang w:val="en-US" w:eastAsia="zh-CN" w:bidi="en-AU"/>
              </w:rPr>
              <w:t xml:space="preserve">约</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余项污染物参数（包括：农药残留、生物毒素含量等）。</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项目实施所产生的直接经济成本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8290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82855.8</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监测农产品（蔬菜。水果、食用菌）份数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抽取农产品样品的科学性、合理性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项目完成时限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月</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日</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社会公众对农产品质量安全重视度逐步提升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逐步提升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服务对象（受检单位）生态意识逐步提升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逐步提升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服务对象（受检单位）满意度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048c9ee-8908-4720-80a7-cbcb003e5c05"/>
              <w:jc w:val="center"/>
              <w:rPr>
                <w:rFonts w:ascii="宋体" w:eastAsia="宋体" w:hAnsi="宋体" w:cs="宋体" w:hint="eastAsia"/>
                <w:i w:val="0"/>
                <w:iCs w:val="0"/>
                <w:color w:val="000000"/>
                <w:sz w:val="18"/>
                <w:szCs w:val="18"/>
                <w:u w:val="none"/>
              </w:rPr>
            </w:pPr>
          </w:p>
        </w:tc>
      </w:tr>
    </w:tbl>
    <w:p>
      <w:pPr>
        <w:pStyle w:val="Normal_0048c9ee-8908-4720-80a7-cbcb003e5c05"/>
        <w:sectPr>
          <w:pgSz w:w="16838" w:h="11906" w:orient="landscape"/>
          <w:pgMar w:top="720" w:right="720" w:bottom="720" w:left="72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450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048c9ee-8908-4720-80a7-cbcb003e5c05">
    <w:name w:val="Normal_0048c9ee-8908-4720-80a7-cbcb003e5c05"/>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2024-09-20T08:47:54Z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6692</Words>
  <Characters>19224</Characters>
  <Lines>1</Lines>
  <Paragraphs>1</Paragraphs>
  <TotalTime>11</TotalTime>
  <ScaleCrop>false</ScaleCrop>
  <LinksUpToDate>false</LinksUpToDate>
  <CharactersWithSpaces>19466</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44</Pages>
  <Words>6692</Words>
  <Characters>19224</Characters>
  <Application>WPS Office_12.1.0.18240_F1E327BC-269C-435d-A152-05C5408002CA</Application>
  <DocSecurity>0</DocSecurity>
  <Lines>1</Lines>
  <Paragraphs>1</Paragraphs>
  <CharactersWithSpaces>19466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2024-09-20T08:47:54Z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