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许昌市农业农村局部门决算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许昌市农业农村局概况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许昌市农业农村局概况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（一）贯彻执行中央和省委关于农村改革、发展的方针、政策和工作部署,指导全市“三农”工作,贯彻执行农村经济发展、农民增收、社会主义新农村建设等方面的重大政策；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贯彻执行国家有关畜牧业的法律法规、方针政策，研究制定全市畜牧业发展战略和发展规划，组织实施全市畜牧业结构调整及产业化经营。负责全市的动物防疫、畜禽养殖、畜产品安全监管、畜禽粪污治理、畜禽屠宰监管等相关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农业农村局内设机构20个,包括：市委农办秘书科、办公室、人事科（离退休干部工作科）、政务服务科（政策法规与改革科）、发展规划科（宅基地管理科）、计划财务和审计绩效科、乡村产业发展和对外经济合作科、农村社会事业促进和人居环境指导科、农村合作经济和集体经济指导科、科技教育科（资源利用科）、农产品质量安全监管科、粮食作物与经济作物科、种业与农药管理科、畜牧与奶业管理科（水产渔政管理科）、饲料兽药科、兽医与动物疫情应急管理科（市政府重大动物疫情应急指挥部办公室）、畜禽屠宰管理科、农业机械化管理科（市场与信息化科）、农田建设管理科（耕地质量监督评价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从决算单位构成看，许昌市农业农村局部门决算包括：本级决算（1个）、所属单位决算（12个）。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本决算为汇总决算，纳入本部门2023年度部门决算编制范围的单位共12个，二级预算单位有: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1.许昌市农业农村局（本级）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 许昌市农业技术推广站</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3.许昌市种子管理站</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4.许昌市植保植检站</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5.许昌市农村能源管理工作站</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6.河南省农业广播电视学校许昌市分校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7.许昌市农产品质量安全检测检验中心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8.许昌市水产技术推广站</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9.许昌市动物卫生监督所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10.许昌市动物疫病预防控制中心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11.许昌市畜牧技术推广站12.河南省畜产品质量检测检验中心许昌分中心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13.许昌市农业综合行政执法支队</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部门：许昌市农业农村局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6,021.57</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48.93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1,060.29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176.81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4,509.77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256.26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6,021.58</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6,052.73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63.41</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32.25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6,084.98</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6,084.98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部门：许昌市农业农村局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6,021.58</w:t>
            </w:r>
          </w:p>
        </w:tc>
        <w:tc>
          <w:tcPr>
            <w:tcW w:w="1440" w:type="dxa"/>
            <w:vAlign w:val="center"/>
          </w:tcPr>
          <w:p>
            <w:pPr>
              <w:jc w:val="right"/>
            </w:pPr>
            <w:r>
              <w:rPr>
                <w:rFonts w:ascii="宋体" w:hAnsi="宋体" w:eastAsia="宋体" w:cs="宋体"/>
                <w:b/>
                <w:i w:val="0"/>
                <w:color w:val="000000"/>
                <w:sz w:val="17"/>
              </w:rPr>
              <w:t>6,021.57</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48.93</w:t>
            </w:r>
          </w:p>
        </w:tc>
        <w:tc>
          <w:tcPr>
            <w:tcW w:w="1440" w:type="dxa"/>
            <w:vAlign w:val="center"/>
          </w:tcPr>
          <w:p>
            <w:pPr>
              <w:jc w:val="right"/>
            </w:pPr>
            <w:r>
              <w:rPr>
                <w:rFonts w:ascii="宋体" w:hAnsi="宋体" w:eastAsia="宋体" w:cs="宋体"/>
                <w:b w:val="0"/>
                <w:i w:val="0"/>
                <w:color w:val="000000"/>
                <w:sz w:val="17"/>
              </w:rPr>
              <w:t>48.93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5.78</w:t>
            </w:r>
          </w:p>
        </w:tc>
        <w:tc>
          <w:tcPr>
            <w:tcW w:w="1440" w:type="dxa"/>
            <w:vAlign w:val="center"/>
          </w:tcPr>
          <w:p>
            <w:pPr>
              <w:jc w:val="right"/>
            </w:pPr>
            <w:r>
              <w:rPr>
                <w:rFonts w:ascii="宋体" w:hAnsi="宋体" w:eastAsia="宋体" w:cs="宋体"/>
                <w:b w:val="0"/>
                <w:i w:val="0"/>
                <w:color w:val="000000"/>
                <w:sz w:val="17"/>
              </w:rPr>
              <w:t>5.78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5.78</w:t>
            </w:r>
          </w:p>
        </w:tc>
        <w:tc>
          <w:tcPr>
            <w:tcW w:w="1440" w:type="dxa"/>
            <w:vAlign w:val="center"/>
          </w:tcPr>
          <w:p>
            <w:pPr>
              <w:jc w:val="right"/>
            </w:pPr>
            <w:r>
              <w:rPr>
                <w:rFonts w:ascii="宋体" w:hAnsi="宋体" w:eastAsia="宋体" w:cs="宋体"/>
                <w:b w:val="0"/>
                <w:i w:val="0"/>
                <w:color w:val="000000"/>
                <w:sz w:val="17"/>
              </w:rPr>
              <w:t>5.78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24.46</w:t>
            </w:r>
          </w:p>
        </w:tc>
        <w:tc>
          <w:tcPr>
            <w:tcW w:w="1440" w:type="dxa"/>
            <w:vAlign w:val="center"/>
          </w:tcPr>
          <w:p>
            <w:pPr>
              <w:jc w:val="right"/>
            </w:pPr>
            <w:r>
              <w:rPr>
                <w:rFonts w:ascii="宋体" w:hAnsi="宋体" w:eastAsia="宋体" w:cs="宋体"/>
                <w:b w:val="0"/>
                <w:i w:val="0"/>
                <w:color w:val="000000"/>
                <w:sz w:val="17"/>
              </w:rPr>
              <w:t>24.46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24.46</w:t>
            </w:r>
          </w:p>
        </w:tc>
        <w:tc>
          <w:tcPr>
            <w:tcW w:w="1440" w:type="dxa"/>
            <w:vAlign w:val="center"/>
          </w:tcPr>
          <w:p>
            <w:pPr>
              <w:jc w:val="right"/>
            </w:pPr>
            <w:r>
              <w:rPr>
                <w:rFonts w:ascii="宋体" w:hAnsi="宋体" w:eastAsia="宋体" w:cs="宋体"/>
                <w:b w:val="0"/>
                <w:i w:val="0"/>
                <w:color w:val="000000"/>
                <w:sz w:val="17"/>
              </w:rPr>
              <w:t>24.46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18.69</w:t>
            </w:r>
          </w:p>
        </w:tc>
        <w:tc>
          <w:tcPr>
            <w:tcW w:w="1440" w:type="dxa"/>
            <w:vAlign w:val="center"/>
          </w:tcPr>
          <w:p>
            <w:pPr>
              <w:jc w:val="right"/>
            </w:pPr>
            <w:r>
              <w:rPr>
                <w:rFonts w:ascii="宋体" w:hAnsi="宋体" w:eastAsia="宋体" w:cs="宋体"/>
                <w:b w:val="0"/>
                <w:i w:val="0"/>
                <w:color w:val="000000"/>
                <w:sz w:val="17"/>
              </w:rPr>
              <w:t>18.69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18.69</w:t>
            </w:r>
          </w:p>
        </w:tc>
        <w:tc>
          <w:tcPr>
            <w:tcW w:w="1440" w:type="dxa"/>
            <w:vAlign w:val="center"/>
          </w:tcPr>
          <w:p>
            <w:pPr>
              <w:jc w:val="right"/>
            </w:pPr>
            <w:r>
              <w:rPr>
                <w:rFonts w:ascii="宋体" w:hAnsi="宋体" w:eastAsia="宋体" w:cs="宋体"/>
                <w:b w:val="0"/>
                <w:i w:val="0"/>
                <w:color w:val="000000"/>
                <w:sz w:val="17"/>
              </w:rPr>
              <w:t>18.69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1,060.29</w:t>
            </w:r>
          </w:p>
        </w:tc>
        <w:tc>
          <w:tcPr>
            <w:tcW w:w="1440" w:type="dxa"/>
            <w:vAlign w:val="center"/>
          </w:tcPr>
          <w:p>
            <w:pPr>
              <w:jc w:val="right"/>
            </w:pPr>
            <w:r>
              <w:rPr>
                <w:rFonts w:ascii="宋体" w:hAnsi="宋体" w:eastAsia="宋体" w:cs="宋体"/>
                <w:b w:val="0"/>
                <w:i w:val="0"/>
                <w:color w:val="000000"/>
                <w:sz w:val="17"/>
              </w:rPr>
              <w:t>1,060.29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1,000.83</w:t>
            </w:r>
          </w:p>
        </w:tc>
        <w:tc>
          <w:tcPr>
            <w:tcW w:w="1440" w:type="dxa"/>
            <w:vAlign w:val="center"/>
          </w:tcPr>
          <w:p>
            <w:pPr>
              <w:jc w:val="right"/>
            </w:pPr>
            <w:r>
              <w:rPr>
                <w:rFonts w:ascii="宋体" w:hAnsi="宋体" w:eastAsia="宋体" w:cs="宋体"/>
                <w:b w:val="0"/>
                <w:i w:val="0"/>
                <w:color w:val="000000"/>
                <w:sz w:val="17"/>
              </w:rPr>
              <w:t>1,000.83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360.82</w:t>
            </w:r>
          </w:p>
        </w:tc>
        <w:tc>
          <w:tcPr>
            <w:tcW w:w="1440" w:type="dxa"/>
            <w:vAlign w:val="center"/>
          </w:tcPr>
          <w:p>
            <w:pPr>
              <w:jc w:val="right"/>
            </w:pPr>
            <w:r>
              <w:rPr>
                <w:rFonts w:ascii="宋体" w:hAnsi="宋体" w:eastAsia="宋体" w:cs="宋体"/>
                <w:b w:val="0"/>
                <w:i w:val="0"/>
                <w:color w:val="000000"/>
                <w:sz w:val="17"/>
              </w:rPr>
              <w:t>360.82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368.13</w:t>
            </w:r>
          </w:p>
        </w:tc>
        <w:tc>
          <w:tcPr>
            <w:tcW w:w="1440" w:type="dxa"/>
            <w:vAlign w:val="center"/>
          </w:tcPr>
          <w:p>
            <w:pPr>
              <w:jc w:val="right"/>
            </w:pPr>
            <w:r>
              <w:rPr>
                <w:rFonts w:ascii="宋体" w:hAnsi="宋体" w:eastAsia="宋体" w:cs="宋体"/>
                <w:b w:val="0"/>
                <w:i w:val="0"/>
                <w:color w:val="000000"/>
                <w:sz w:val="17"/>
              </w:rPr>
              <w:t>368.13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271.88</w:t>
            </w:r>
          </w:p>
        </w:tc>
        <w:tc>
          <w:tcPr>
            <w:tcW w:w="1440" w:type="dxa"/>
            <w:vAlign w:val="center"/>
          </w:tcPr>
          <w:p>
            <w:pPr>
              <w:jc w:val="right"/>
            </w:pPr>
            <w:r>
              <w:rPr>
                <w:rFonts w:ascii="宋体" w:hAnsi="宋体" w:eastAsia="宋体" w:cs="宋体"/>
                <w:b w:val="0"/>
                <w:i w:val="0"/>
                <w:color w:val="000000"/>
                <w:sz w:val="17"/>
              </w:rPr>
              <w:t>271.88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5.63</w:t>
            </w:r>
          </w:p>
        </w:tc>
        <w:tc>
          <w:tcPr>
            <w:tcW w:w="1440" w:type="dxa"/>
            <w:vAlign w:val="center"/>
          </w:tcPr>
          <w:p>
            <w:pPr>
              <w:jc w:val="right"/>
            </w:pPr>
            <w:r>
              <w:rPr>
                <w:rFonts w:ascii="宋体" w:hAnsi="宋体" w:eastAsia="宋体" w:cs="宋体"/>
                <w:b w:val="0"/>
                <w:i w:val="0"/>
                <w:color w:val="000000"/>
                <w:sz w:val="17"/>
              </w:rPr>
              <w:t>5.63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5.63</w:t>
            </w:r>
          </w:p>
        </w:tc>
        <w:tc>
          <w:tcPr>
            <w:tcW w:w="1440" w:type="dxa"/>
            <w:vAlign w:val="center"/>
          </w:tcPr>
          <w:p>
            <w:pPr>
              <w:jc w:val="right"/>
            </w:pPr>
            <w:r>
              <w:rPr>
                <w:rFonts w:ascii="宋体" w:hAnsi="宋体" w:eastAsia="宋体" w:cs="宋体"/>
                <w:b w:val="0"/>
                <w:i w:val="0"/>
                <w:color w:val="000000"/>
                <w:sz w:val="17"/>
              </w:rPr>
              <w:t>5.63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53.83</w:t>
            </w:r>
          </w:p>
        </w:tc>
        <w:tc>
          <w:tcPr>
            <w:tcW w:w="1440" w:type="dxa"/>
            <w:vAlign w:val="center"/>
          </w:tcPr>
          <w:p>
            <w:pPr>
              <w:jc w:val="right"/>
            </w:pPr>
            <w:r>
              <w:rPr>
                <w:rFonts w:ascii="宋体" w:hAnsi="宋体" w:eastAsia="宋体" w:cs="宋体"/>
                <w:b w:val="0"/>
                <w:i w:val="0"/>
                <w:color w:val="000000"/>
                <w:sz w:val="17"/>
              </w:rPr>
              <w:t>53.83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53.83</w:t>
            </w:r>
          </w:p>
        </w:tc>
        <w:tc>
          <w:tcPr>
            <w:tcW w:w="1440" w:type="dxa"/>
            <w:vAlign w:val="center"/>
          </w:tcPr>
          <w:p>
            <w:pPr>
              <w:jc w:val="right"/>
            </w:pPr>
            <w:r>
              <w:rPr>
                <w:rFonts w:ascii="宋体" w:hAnsi="宋体" w:eastAsia="宋体" w:cs="宋体"/>
                <w:b w:val="0"/>
                <w:i w:val="0"/>
                <w:color w:val="000000"/>
                <w:sz w:val="17"/>
              </w:rPr>
              <w:t>53.83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176.80</w:t>
            </w:r>
          </w:p>
        </w:tc>
        <w:tc>
          <w:tcPr>
            <w:tcW w:w="1440" w:type="dxa"/>
            <w:vAlign w:val="center"/>
          </w:tcPr>
          <w:p>
            <w:pPr>
              <w:jc w:val="right"/>
            </w:pPr>
            <w:r>
              <w:rPr>
                <w:rFonts w:ascii="宋体" w:hAnsi="宋体" w:eastAsia="宋体" w:cs="宋体"/>
                <w:b w:val="0"/>
                <w:i w:val="0"/>
                <w:color w:val="000000"/>
                <w:sz w:val="17"/>
              </w:rPr>
              <w:t>176.80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176.80</w:t>
            </w:r>
          </w:p>
        </w:tc>
        <w:tc>
          <w:tcPr>
            <w:tcW w:w="1440" w:type="dxa"/>
            <w:vAlign w:val="center"/>
          </w:tcPr>
          <w:p>
            <w:pPr>
              <w:jc w:val="right"/>
            </w:pPr>
            <w:r>
              <w:rPr>
                <w:rFonts w:ascii="宋体" w:hAnsi="宋体" w:eastAsia="宋体" w:cs="宋体"/>
                <w:b w:val="0"/>
                <w:i w:val="0"/>
                <w:color w:val="000000"/>
                <w:sz w:val="17"/>
              </w:rPr>
              <w:t>176.80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41.04</w:t>
            </w:r>
          </w:p>
        </w:tc>
        <w:tc>
          <w:tcPr>
            <w:tcW w:w="1440" w:type="dxa"/>
            <w:vAlign w:val="center"/>
          </w:tcPr>
          <w:p>
            <w:pPr>
              <w:jc w:val="right"/>
            </w:pPr>
            <w:r>
              <w:rPr>
                <w:rFonts w:ascii="宋体" w:hAnsi="宋体" w:eastAsia="宋体" w:cs="宋体"/>
                <w:b w:val="0"/>
                <w:i w:val="0"/>
                <w:color w:val="000000"/>
                <w:sz w:val="17"/>
              </w:rPr>
              <w:t>41.04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92.65</w:t>
            </w:r>
          </w:p>
        </w:tc>
        <w:tc>
          <w:tcPr>
            <w:tcW w:w="1440" w:type="dxa"/>
            <w:vAlign w:val="center"/>
          </w:tcPr>
          <w:p>
            <w:pPr>
              <w:jc w:val="right"/>
            </w:pPr>
            <w:r>
              <w:rPr>
                <w:rFonts w:ascii="宋体" w:hAnsi="宋体" w:eastAsia="宋体" w:cs="宋体"/>
                <w:b w:val="0"/>
                <w:i w:val="0"/>
                <w:color w:val="000000"/>
                <w:sz w:val="17"/>
              </w:rPr>
              <w:t>92.65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43.11</w:t>
            </w:r>
          </w:p>
        </w:tc>
        <w:tc>
          <w:tcPr>
            <w:tcW w:w="1440" w:type="dxa"/>
            <w:vAlign w:val="center"/>
          </w:tcPr>
          <w:p>
            <w:pPr>
              <w:jc w:val="right"/>
            </w:pPr>
            <w:r>
              <w:rPr>
                <w:rFonts w:ascii="宋体" w:hAnsi="宋体" w:eastAsia="宋体" w:cs="宋体"/>
                <w:b w:val="0"/>
                <w:i w:val="0"/>
                <w:color w:val="000000"/>
                <w:sz w:val="17"/>
              </w:rPr>
              <w:t>43.11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4,479.29</w:t>
            </w:r>
          </w:p>
        </w:tc>
        <w:tc>
          <w:tcPr>
            <w:tcW w:w="1440" w:type="dxa"/>
            <w:vAlign w:val="center"/>
          </w:tcPr>
          <w:p>
            <w:pPr>
              <w:jc w:val="right"/>
            </w:pPr>
            <w:r>
              <w:rPr>
                <w:rFonts w:ascii="宋体" w:hAnsi="宋体" w:eastAsia="宋体" w:cs="宋体"/>
                <w:b w:val="0"/>
                <w:i w:val="0"/>
                <w:color w:val="000000"/>
                <w:sz w:val="17"/>
              </w:rPr>
              <w:t>4,479.29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w:t>
            </w:r>
          </w:p>
        </w:tc>
        <w:tc>
          <w:tcPr>
            <w:tcW w:w="3140" w:type="dxa"/>
            <w:vAlign w:val="center"/>
          </w:tcPr>
          <w:p>
            <w:pPr>
              <w:jc w:val="left"/>
            </w:pPr>
            <w:r>
              <w:rPr>
                <w:rFonts w:ascii="宋体" w:hAnsi="宋体" w:eastAsia="宋体" w:cs="宋体"/>
                <w:b w:val="0"/>
                <w:i w:val="0"/>
                <w:color w:val="000000"/>
                <w:sz w:val="17"/>
              </w:rPr>
              <w:t>农业农村</w:t>
            </w:r>
          </w:p>
        </w:tc>
        <w:tc>
          <w:tcPr>
            <w:tcW w:w="1440" w:type="dxa"/>
            <w:vAlign w:val="center"/>
          </w:tcPr>
          <w:p>
            <w:pPr>
              <w:jc w:val="right"/>
            </w:pPr>
            <w:r>
              <w:rPr>
                <w:rFonts w:ascii="宋体" w:hAnsi="宋体" w:eastAsia="宋体" w:cs="宋体"/>
                <w:b w:val="0"/>
                <w:i w:val="0"/>
                <w:color w:val="000000"/>
                <w:sz w:val="17"/>
              </w:rPr>
              <w:t>4,446.14</w:t>
            </w:r>
          </w:p>
        </w:tc>
        <w:tc>
          <w:tcPr>
            <w:tcW w:w="1440" w:type="dxa"/>
            <w:vAlign w:val="center"/>
          </w:tcPr>
          <w:p>
            <w:pPr>
              <w:jc w:val="right"/>
            </w:pPr>
            <w:r>
              <w:rPr>
                <w:rFonts w:ascii="宋体" w:hAnsi="宋体" w:eastAsia="宋体" w:cs="宋体"/>
                <w:b w:val="0"/>
                <w:i w:val="0"/>
                <w:color w:val="000000"/>
                <w:sz w:val="17"/>
              </w:rPr>
              <w:t>4,446.14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1,312.43</w:t>
            </w:r>
          </w:p>
        </w:tc>
        <w:tc>
          <w:tcPr>
            <w:tcW w:w="1440" w:type="dxa"/>
            <w:vAlign w:val="center"/>
          </w:tcPr>
          <w:p>
            <w:pPr>
              <w:jc w:val="right"/>
            </w:pPr>
            <w:r>
              <w:rPr>
                <w:rFonts w:ascii="宋体" w:hAnsi="宋体" w:eastAsia="宋体" w:cs="宋体"/>
                <w:b w:val="0"/>
                <w:i w:val="0"/>
                <w:color w:val="000000"/>
                <w:sz w:val="17"/>
              </w:rPr>
              <w:t>1,312.43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7.65</w:t>
            </w:r>
          </w:p>
        </w:tc>
        <w:tc>
          <w:tcPr>
            <w:tcW w:w="1440" w:type="dxa"/>
            <w:vAlign w:val="center"/>
          </w:tcPr>
          <w:p>
            <w:pPr>
              <w:jc w:val="right"/>
            </w:pPr>
            <w:r>
              <w:rPr>
                <w:rFonts w:ascii="宋体" w:hAnsi="宋体" w:eastAsia="宋体" w:cs="宋体"/>
                <w:b w:val="0"/>
                <w:i w:val="0"/>
                <w:color w:val="000000"/>
                <w:sz w:val="17"/>
              </w:rPr>
              <w:t>7.65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2130104</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2,703.89</w:t>
            </w:r>
          </w:p>
        </w:tc>
        <w:tc>
          <w:tcPr>
            <w:tcW w:w="1440" w:type="dxa"/>
            <w:vAlign w:val="center"/>
          </w:tcPr>
          <w:p>
            <w:pPr>
              <w:jc w:val="right"/>
            </w:pPr>
            <w:r>
              <w:rPr>
                <w:rFonts w:ascii="宋体" w:hAnsi="宋体" w:eastAsia="宋体" w:cs="宋体"/>
                <w:b w:val="0"/>
                <w:i w:val="0"/>
                <w:color w:val="000000"/>
                <w:sz w:val="17"/>
              </w:rPr>
              <w:t>2,703.89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2130108</w:t>
            </w:r>
          </w:p>
        </w:tc>
        <w:tc>
          <w:tcPr>
            <w:tcW w:w="3140" w:type="dxa"/>
            <w:vAlign w:val="center"/>
          </w:tcPr>
          <w:p>
            <w:pPr>
              <w:jc w:val="left"/>
            </w:pPr>
            <w:r>
              <w:rPr>
                <w:rFonts w:ascii="宋体" w:hAnsi="宋体" w:eastAsia="宋体" w:cs="宋体"/>
                <w:b w:val="0"/>
                <w:i w:val="0"/>
                <w:color w:val="000000"/>
                <w:sz w:val="17"/>
              </w:rPr>
              <w:t>病虫害控制</w:t>
            </w:r>
          </w:p>
        </w:tc>
        <w:tc>
          <w:tcPr>
            <w:tcW w:w="1440" w:type="dxa"/>
            <w:vAlign w:val="center"/>
          </w:tcPr>
          <w:p>
            <w:pPr>
              <w:jc w:val="right"/>
            </w:pPr>
            <w:r>
              <w:rPr>
                <w:rFonts w:ascii="宋体" w:hAnsi="宋体" w:eastAsia="宋体" w:cs="宋体"/>
                <w:b w:val="0"/>
                <w:i w:val="0"/>
                <w:color w:val="000000"/>
                <w:sz w:val="17"/>
              </w:rPr>
              <w:t>257.33</w:t>
            </w:r>
          </w:p>
        </w:tc>
        <w:tc>
          <w:tcPr>
            <w:tcW w:w="1440" w:type="dxa"/>
            <w:vAlign w:val="center"/>
          </w:tcPr>
          <w:p>
            <w:pPr>
              <w:jc w:val="right"/>
            </w:pPr>
            <w:r>
              <w:rPr>
                <w:rFonts w:ascii="宋体" w:hAnsi="宋体" w:eastAsia="宋体" w:cs="宋体"/>
                <w:b w:val="0"/>
                <w:i w:val="0"/>
                <w:color w:val="000000"/>
                <w:sz w:val="17"/>
              </w:rPr>
              <w:t>257.33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2130122</w:t>
            </w:r>
          </w:p>
        </w:tc>
        <w:tc>
          <w:tcPr>
            <w:tcW w:w="3140" w:type="dxa"/>
            <w:vAlign w:val="center"/>
          </w:tcPr>
          <w:p>
            <w:pPr>
              <w:jc w:val="left"/>
            </w:pPr>
            <w:r>
              <w:rPr>
                <w:rFonts w:ascii="宋体" w:hAnsi="宋体" w:eastAsia="宋体" w:cs="宋体"/>
                <w:b w:val="0"/>
                <w:i w:val="0"/>
                <w:color w:val="000000"/>
                <w:sz w:val="17"/>
              </w:rPr>
              <w:t>农业生产发展</w:t>
            </w:r>
          </w:p>
        </w:tc>
        <w:tc>
          <w:tcPr>
            <w:tcW w:w="1440" w:type="dxa"/>
            <w:vAlign w:val="center"/>
          </w:tcPr>
          <w:p>
            <w:pPr>
              <w:jc w:val="right"/>
            </w:pPr>
            <w:r>
              <w:rPr>
                <w:rFonts w:ascii="宋体" w:hAnsi="宋体" w:eastAsia="宋体" w:cs="宋体"/>
                <w:b w:val="0"/>
                <w:i w:val="0"/>
                <w:color w:val="000000"/>
                <w:sz w:val="17"/>
              </w:rPr>
              <w:t>58.25</w:t>
            </w:r>
          </w:p>
        </w:tc>
        <w:tc>
          <w:tcPr>
            <w:tcW w:w="1440" w:type="dxa"/>
            <w:vAlign w:val="center"/>
          </w:tcPr>
          <w:p>
            <w:pPr>
              <w:jc w:val="right"/>
            </w:pPr>
            <w:r>
              <w:rPr>
                <w:rFonts w:ascii="宋体" w:hAnsi="宋体" w:eastAsia="宋体" w:cs="宋体"/>
                <w:b w:val="0"/>
                <w:i w:val="0"/>
                <w:color w:val="000000"/>
                <w:sz w:val="17"/>
              </w:rPr>
              <w:t>58.25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2130135</w:t>
            </w:r>
          </w:p>
        </w:tc>
        <w:tc>
          <w:tcPr>
            <w:tcW w:w="3140" w:type="dxa"/>
            <w:vAlign w:val="center"/>
          </w:tcPr>
          <w:p>
            <w:pPr>
              <w:jc w:val="left"/>
            </w:pPr>
            <w:r>
              <w:rPr>
                <w:rFonts w:ascii="宋体" w:hAnsi="宋体" w:eastAsia="宋体" w:cs="宋体"/>
                <w:b w:val="0"/>
                <w:i w:val="0"/>
                <w:color w:val="000000"/>
                <w:sz w:val="17"/>
              </w:rPr>
              <w:t>农业资源保护修复与利用</w:t>
            </w:r>
          </w:p>
        </w:tc>
        <w:tc>
          <w:tcPr>
            <w:tcW w:w="1440" w:type="dxa"/>
            <w:vAlign w:val="center"/>
          </w:tcPr>
          <w:p>
            <w:pPr>
              <w:jc w:val="right"/>
            </w:pPr>
            <w:r>
              <w:rPr>
                <w:rFonts w:ascii="宋体" w:hAnsi="宋体" w:eastAsia="宋体" w:cs="宋体"/>
                <w:b w:val="0"/>
                <w:i w:val="0"/>
                <w:color w:val="000000"/>
                <w:sz w:val="17"/>
              </w:rPr>
              <w:t>82.76</w:t>
            </w:r>
          </w:p>
        </w:tc>
        <w:tc>
          <w:tcPr>
            <w:tcW w:w="1440" w:type="dxa"/>
            <w:vAlign w:val="center"/>
          </w:tcPr>
          <w:p>
            <w:pPr>
              <w:jc w:val="right"/>
            </w:pPr>
            <w:r>
              <w:rPr>
                <w:rFonts w:ascii="宋体" w:hAnsi="宋体" w:eastAsia="宋体" w:cs="宋体"/>
                <w:b w:val="0"/>
                <w:i w:val="0"/>
                <w:color w:val="000000"/>
                <w:sz w:val="17"/>
              </w:rPr>
              <w:t>82.76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2130199</w:t>
            </w:r>
          </w:p>
        </w:tc>
        <w:tc>
          <w:tcPr>
            <w:tcW w:w="3140" w:type="dxa"/>
            <w:vAlign w:val="center"/>
          </w:tcPr>
          <w:p>
            <w:pPr>
              <w:jc w:val="left"/>
            </w:pPr>
            <w:r>
              <w:rPr>
                <w:rFonts w:ascii="宋体" w:hAnsi="宋体" w:eastAsia="宋体" w:cs="宋体"/>
                <w:b w:val="0"/>
                <w:i w:val="0"/>
                <w:color w:val="000000"/>
                <w:sz w:val="17"/>
              </w:rPr>
              <w:t>其他农业农村支出</w:t>
            </w:r>
          </w:p>
        </w:tc>
        <w:tc>
          <w:tcPr>
            <w:tcW w:w="1440" w:type="dxa"/>
            <w:vAlign w:val="center"/>
          </w:tcPr>
          <w:p>
            <w:pPr>
              <w:jc w:val="right"/>
            </w:pPr>
            <w:r>
              <w:rPr>
                <w:rFonts w:ascii="宋体" w:hAnsi="宋体" w:eastAsia="宋体" w:cs="宋体"/>
                <w:b w:val="0"/>
                <w:i w:val="0"/>
                <w:color w:val="000000"/>
                <w:sz w:val="17"/>
              </w:rPr>
              <w:t>23.83</w:t>
            </w:r>
          </w:p>
        </w:tc>
        <w:tc>
          <w:tcPr>
            <w:tcW w:w="1440" w:type="dxa"/>
            <w:vAlign w:val="center"/>
          </w:tcPr>
          <w:p>
            <w:pPr>
              <w:jc w:val="right"/>
            </w:pPr>
            <w:r>
              <w:rPr>
                <w:rFonts w:ascii="宋体" w:hAnsi="宋体" w:eastAsia="宋体" w:cs="宋体"/>
                <w:b w:val="0"/>
                <w:i w:val="0"/>
                <w:color w:val="000000"/>
                <w:sz w:val="17"/>
              </w:rPr>
              <w:t>23.83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21302</w:t>
            </w:r>
          </w:p>
        </w:tc>
        <w:tc>
          <w:tcPr>
            <w:tcW w:w="3140" w:type="dxa"/>
            <w:vAlign w:val="center"/>
          </w:tcPr>
          <w:p>
            <w:pPr>
              <w:jc w:val="left"/>
            </w:pPr>
            <w:r>
              <w:rPr>
                <w:rFonts w:ascii="宋体" w:hAnsi="宋体" w:eastAsia="宋体" w:cs="宋体"/>
                <w:b w:val="0"/>
                <w:i w:val="0"/>
                <w:color w:val="000000"/>
                <w:sz w:val="17"/>
              </w:rPr>
              <w:t>林业和草原</w:t>
            </w:r>
          </w:p>
        </w:tc>
        <w:tc>
          <w:tcPr>
            <w:tcW w:w="1440" w:type="dxa"/>
            <w:vAlign w:val="center"/>
          </w:tcPr>
          <w:p>
            <w:pPr>
              <w:jc w:val="right"/>
            </w:pPr>
            <w:r>
              <w:rPr>
                <w:rFonts w:ascii="宋体" w:hAnsi="宋体" w:eastAsia="宋体" w:cs="宋体"/>
                <w:b w:val="0"/>
                <w:i w:val="0"/>
                <w:color w:val="000000"/>
                <w:sz w:val="17"/>
              </w:rPr>
              <w:t>19.72</w:t>
            </w:r>
          </w:p>
        </w:tc>
        <w:tc>
          <w:tcPr>
            <w:tcW w:w="1440" w:type="dxa"/>
            <w:vAlign w:val="center"/>
          </w:tcPr>
          <w:p>
            <w:pPr>
              <w:jc w:val="right"/>
            </w:pPr>
            <w:r>
              <w:rPr>
                <w:rFonts w:ascii="宋体" w:hAnsi="宋体" w:eastAsia="宋体" w:cs="宋体"/>
                <w:b w:val="0"/>
                <w:i w:val="0"/>
                <w:color w:val="000000"/>
                <w:sz w:val="17"/>
              </w:rPr>
              <w:t>19.72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19.72</w:t>
            </w:r>
          </w:p>
        </w:tc>
        <w:tc>
          <w:tcPr>
            <w:tcW w:w="1440" w:type="dxa"/>
            <w:vAlign w:val="center"/>
          </w:tcPr>
          <w:p>
            <w:pPr>
              <w:jc w:val="right"/>
            </w:pPr>
            <w:r>
              <w:rPr>
                <w:rFonts w:ascii="宋体" w:hAnsi="宋体" w:eastAsia="宋体" w:cs="宋体"/>
                <w:b w:val="0"/>
                <w:i w:val="0"/>
                <w:color w:val="000000"/>
                <w:sz w:val="17"/>
              </w:rPr>
              <w:t>19.72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4.38</w:t>
            </w:r>
          </w:p>
        </w:tc>
        <w:tc>
          <w:tcPr>
            <w:tcW w:w="1440" w:type="dxa"/>
            <w:vAlign w:val="center"/>
          </w:tcPr>
          <w:p>
            <w:pPr>
              <w:jc w:val="right"/>
            </w:pPr>
            <w:r>
              <w:rPr>
                <w:rFonts w:ascii="宋体" w:hAnsi="宋体" w:eastAsia="宋体" w:cs="宋体"/>
                <w:b w:val="0"/>
                <w:i w:val="0"/>
                <w:color w:val="000000"/>
                <w:sz w:val="17"/>
              </w:rPr>
              <w:t>4.38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1.88</w:t>
            </w:r>
          </w:p>
        </w:tc>
        <w:tc>
          <w:tcPr>
            <w:tcW w:w="1440" w:type="dxa"/>
            <w:vAlign w:val="center"/>
          </w:tcPr>
          <w:p>
            <w:pPr>
              <w:jc w:val="right"/>
            </w:pPr>
            <w:r>
              <w:rPr>
                <w:rFonts w:ascii="宋体" w:hAnsi="宋体" w:eastAsia="宋体" w:cs="宋体"/>
                <w:b w:val="0"/>
                <w:i w:val="0"/>
                <w:color w:val="000000"/>
                <w:sz w:val="17"/>
              </w:rPr>
              <w:t>1.88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21399</w:t>
            </w:r>
          </w:p>
        </w:tc>
        <w:tc>
          <w:tcPr>
            <w:tcW w:w="3140" w:type="dxa"/>
            <w:vAlign w:val="center"/>
          </w:tcPr>
          <w:p>
            <w:pPr>
              <w:jc w:val="left"/>
            </w:pPr>
            <w:r>
              <w:rPr>
                <w:rFonts w:ascii="宋体" w:hAnsi="宋体" w:eastAsia="宋体" w:cs="宋体"/>
                <w:b w:val="0"/>
                <w:i w:val="0"/>
                <w:color w:val="000000"/>
                <w:sz w:val="17"/>
              </w:rPr>
              <w:t>其他农林水支出</w:t>
            </w:r>
          </w:p>
        </w:tc>
        <w:tc>
          <w:tcPr>
            <w:tcW w:w="1440" w:type="dxa"/>
            <w:vAlign w:val="center"/>
          </w:tcPr>
          <w:p>
            <w:pPr>
              <w:jc w:val="right"/>
            </w:pPr>
            <w:r>
              <w:rPr>
                <w:rFonts w:ascii="宋体" w:hAnsi="宋体" w:eastAsia="宋体" w:cs="宋体"/>
                <w:b w:val="0"/>
                <w:i w:val="0"/>
                <w:color w:val="000000"/>
                <w:sz w:val="17"/>
              </w:rPr>
              <w:t>9.05</w:t>
            </w:r>
          </w:p>
        </w:tc>
        <w:tc>
          <w:tcPr>
            <w:tcW w:w="1440" w:type="dxa"/>
            <w:vAlign w:val="center"/>
          </w:tcPr>
          <w:p>
            <w:pPr>
              <w:jc w:val="right"/>
            </w:pPr>
            <w:r>
              <w:rPr>
                <w:rFonts w:ascii="宋体" w:hAnsi="宋体" w:eastAsia="宋体" w:cs="宋体"/>
                <w:b w:val="0"/>
                <w:i w:val="0"/>
                <w:color w:val="000000"/>
                <w:sz w:val="17"/>
              </w:rPr>
              <w:t>9.05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2139999</w:t>
            </w:r>
          </w:p>
        </w:tc>
        <w:tc>
          <w:tcPr>
            <w:tcW w:w="3140" w:type="dxa"/>
            <w:vAlign w:val="center"/>
          </w:tcPr>
          <w:p>
            <w:pPr>
              <w:jc w:val="left"/>
            </w:pPr>
            <w:r>
              <w:rPr>
                <w:rFonts w:ascii="宋体" w:hAnsi="宋体" w:eastAsia="宋体" w:cs="宋体"/>
                <w:b w:val="0"/>
                <w:i w:val="0"/>
                <w:color w:val="000000"/>
                <w:sz w:val="17"/>
              </w:rPr>
              <w:t>其他农林水支出</w:t>
            </w:r>
          </w:p>
        </w:tc>
        <w:tc>
          <w:tcPr>
            <w:tcW w:w="1440" w:type="dxa"/>
            <w:vAlign w:val="center"/>
          </w:tcPr>
          <w:p>
            <w:pPr>
              <w:jc w:val="right"/>
            </w:pPr>
            <w:r>
              <w:rPr>
                <w:rFonts w:ascii="宋体" w:hAnsi="宋体" w:eastAsia="宋体" w:cs="宋体"/>
                <w:b w:val="0"/>
                <w:i w:val="0"/>
                <w:color w:val="000000"/>
                <w:sz w:val="17"/>
              </w:rPr>
              <w:t>9.05</w:t>
            </w:r>
          </w:p>
        </w:tc>
        <w:tc>
          <w:tcPr>
            <w:tcW w:w="1440" w:type="dxa"/>
            <w:vAlign w:val="center"/>
          </w:tcPr>
          <w:p>
            <w:pPr>
              <w:jc w:val="right"/>
            </w:pPr>
            <w:r>
              <w:rPr>
                <w:rFonts w:ascii="宋体" w:hAnsi="宋体" w:eastAsia="宋体" w:cs="宋体"/>
                <w:b w:val="0"/>
                <w:i w:val="0"/>
                <w:color w:val="000000"/>
                <w:sz w:val="17"/>
              </w:rPr>
              <w:t>9.05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256.26</w:t>
            </w:r>
          </w:p>
        </w:tc>
        <w:tc>
          <w:tcPr>
            <w:tcW w:w="1440" w:type="dxa"/>
            <w:vAlign w:val="center"/>
          </w:tcPr>
          <w:p>
            <w:pPr>
              <w:jc w:val="right"/>
            </w:pPr>
            <w:r>
              <w:rPr>
                <w:rFonts w:ascii="宋体" w:hAnsi="宋体" w:eastAsia="宋体" w:cs="宋体"/>
                <w:b w:val="0"/>
                <w:i w:val="0"/>
                <w:color w:val="000000"/>
                <w:sz w:val="17"/>
              </w:rPr>
              <w:t>256.26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256.26</w:t>
            </w:r>
          </w:p>
        </w:tc>
        <w:tc>
          <w:tcPr>
            <w:tcW w:w="1440" w:type="dxa"/>
            <w:vAlign w:val="center"/>
          </w:tcPr>
          <w:p>
            <w:pPr>
              <w:jc w:val="right"/>
            </w:pPr>
            <w:r>
              <w:rPr>
                <w:rFonts w:ascii="宋体" w:hAnsi="宋体" w:eastAsia="宋体" w:cs="宋体"/>
                <w:b w:val="0"/>
                <w:i w:val="0"/>
                <w:color w:val="000000"/>
                <w:sz w:val="17"/>
              </w:rPr>
              <w:t>256.26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256.26</w:t>
            </w:r>
          </w:p>
        </w:tc>
        <w:tc>
          <w:tcPr>
            <w:tcW w:w="1440" w:type="dxa"/>
            <w:vAlign w:val="center"/>
          </w:tcPr>
          <w:p>
            <w:pPr>
              <w:jc w:val="right"/>
            </w:pPr>
            <w:r>
              <w:rPr>
                <w:rFonts w:ascii="宋体" w:hAnsi="宋体" w:eastAsia="宋体" w:cs="宋体"/>
                <w:b w:val="0"/>
                <w:i w:val="0"/>
                <w:color w:val="000000"/>
                <w:sz w:val="17"/>
              </w:rPr>
              <w:t>256.26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部门：许昌市农业农村局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6,052.73</w:t>
            </w:r>
          </w:p>
        </w:tc>
        <w:tc>
          <w:tcPr>
            <w:tcW w:w="1600" w:type="dxa"/>
            <w:vAlign w:val="center"/>
          </w:tcPr>
          <w:p>
            <w:pPr>
              <w:jc w:val="right"/>
            </w:pPr>
            <w:r>
              <w:rPr>
                <w:rFonts w:ascii="宋体" w:hAnsi="宋体" w:eastAsia="宋体" w:cs="宋体"/>
                <w:b/>
                <w:i w:val="0"/>
                <w:color w:val="000000"/>
                <w:sz w:val="19"/>
              </w:rPr>
              <w:t>5,547.51</w:t>
            </w:r>
          </w:p>
        </w:tc>
        <w:tc>
          <w:tcPr>
            <w:tcW w:w="1600" w:type="dxa"/>
            <w:vAlign w:val="center"/>
          </w:tcPr>
          <w:p>
            <w:pPr>
              <w:jc w:val="right"/>
            </w:pPr>
            <w:r>
              <w:rPr>
                <w:rFonts w:ascii="宋体" w:hAnsi="宋体" w:eastAsia="宋体" w:cs="宋体"/>
                <w:b/>
                <w:i w:val="0"/>
                <w:color w:val="000000"/>
                <w:sz w:val="19"/>
              </w:rPr>
              <w:t>505.22</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48.93</w:t>
            </w:r>
          </w:p>
        </w:tc>
        <w:tc>
          <w:tcPr>
            <w:tcW w:w="1600" w:type="dxa"/>
            <w:vAlign w:val="center"/>
          </w:tcPr>
          <w:p>
            <w:pPr>
              <w:jc w:val="right"/>
            </w:pPr>
            <w:r>
              <w:rPr>
                <w:rFonts w:ascii="宋体" w:hAnsi="宋体" w:eastAsia="宋体" w:cs="宋体"/>
                <w:b w:val="0"/>
                <w:i w:val="0"/>
                <w:color w:val="000000"/>
                <w:sz w:val="19"/>
              </w:rPr>
              <w:t>48.93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5.78</w:t>
            </w:r>
          </w:p>
        </w:tc>
        <w:tc>
          <w:tcPr>
            <w:tcW w:w="1600" w:type="dxa"/>
            <w:vAlign w:val="center"/>
          </w:tcPr>
          <w:p>
            <w:pPr>
              <w:jc w:val="right"/>
            </w:pPr>
            <w:r>
              <w:rPr>
                <w:rFonts w:ascii="宋体" w:hAnsi="宋体" w:eastAsia="宋体" w:cs="宋体"/>
                <w:b w:val="0"/>
                <w:i w:val="0"/>
                <w:color w:val="000000"/>
                <w:sz w:val="19"/>
              </w:rPr>
              <w:t>5.78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5.78</w:t>
            </w:r>
          </w:p>
        </w:tc>
        <w:tc>
          <w:tcPr>
            <w:tcW w:w="1600" w:type="dxa"/>
            <w:vAlign w:val="center"/>
          </w:tcPr>
          <w:p>
            <w:pPr>
              <w:jc w:val="right"/>
            </w:pPr>
            <w:r>
              <w:rPr>
                <w:rFonts w:ascii="宋体" w:hAnsi="宋体" w:eastAsia="宋体" w:cs="宋体"/>
                <w:b w:val="0"/>
                <w:i w:val="0"/>
                <w:color w:val="000000"/>
                <w:sz w:val="19"/>
              </w:rPr>
              <w:t>5.78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24.46</w:t>
            </w:r>
          </w:p>
        </w:tc>
        <w:tc>
          <w:tcPr>
            <w:tcW w:w="1600" w:type="dxa"/>
            <w:vAlign w:val="center"/>
          </w:tcPr>
          <w:p>
            <w:pPr>
              <w:jc w:val="right"/>
            </w:pPr>
            <w:r>
              <w:rPr>
                <w:rFonts w:ascii="宋体" w:hAnsi="宋体" w:eastAsia="宋体" w:cs="宋体"/>
                <w:b w:val="0"/>
                <w:i w:val="0"/>
                <w:color w:val="000000"/>
                <w:sz w:val="19"/>
              </w:rPr>
              <w:t>24.46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24.46</w:t>
            </w:r>
          </w:p>
        </w:tc>
        <w:tc>
          <w:tcPr>
            <w:tcW w:w="1600" w:type="dxa"/>
            <w:vAlign w:val="center"/>
          </w:tcPr>
          <w:p>
            <w:pPr>
              <w:jc w:val="right"/>
            </w:pPr>
            <w:r>
              <w:rPr>
                <w:rFonts w:ascii="宋体" w:hAnsi="宋体" w:eastAsia="宋体" w:cs="宋体"/>
                <w:b w:val="0"/>
                <w:i w:val="0"/>
                <w:color w:val="000000"/>
                <w:sz w:val="19"/>
              </w:rPr>
              <w:t>24.46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18.69</w:t>
            </w:r>
          </w:p>
        </w:tc>
        <w:tc>
          <w:tcPr>
            <w:tcW w:w="1600" w:type="dxa"/>
            <w:vAlign w:val="center"/>
          </w:tcPr>
          <w:p>
            <w:pPr>
              <w:jc w:val="right"/>
            </w:pPr>
            <w:r>
              <w:rPr>
                <w:rFonts w:ascii="宋体" w:hAnsi="宋体" w:eastAsia="宋体" w:cs="宋体"/>
                <w:b w:val="0"/>
                <w:i w:val="0"/>
                <w:color w:val="000000"/>
                <w:sz w:val="19"/>
              </w:rPr>
              <w:t>18.69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18.69</w:t>
            </w:r>
          </w:p>
        </w:tc>
        <w:tc>
          <w:tcPr>
            <w:tcW w:w="1600" w:type="dxa"/>
            <w:vAlign w:val="center"/>
          </w:tcPr>
          <w:p>
            <w:pPr>
              <w:jc w:val="right"/>
            </w:pPr>
            <w:r>
              <w:rPr>
                <w:rFonts w:ascii="宋体" w:hAnsi="宋体" w:eastAsia="宋体" w:cs="宋体"/>
                <w:b w:val="0"/>
                <w:i w:val="0"/>
                <w:color w:val="000000"/>
                <w:sz w:val="19"/>
              </w:rPr>
              <w:t>18.69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1,060.29</w:t>
            </w:r>
          </w:p>
        </w:tc>
        <w:tc>
          <w:tcPr>
            <w:tcW w:w="1600" w:type="dxa"/>
            <w:vAlign w:val="center"/>
          </w:tcPr>
          <w:p>
            <w:pPr>
              <w:jc w:val="right"/>
            </w:pPr>
            <w:r>
              <w:rPr>
                <w:rFonts w:ascii="宋体" w:hAnsi="宋体" w:eastAsia="宋体" w:cs="宋体"/>
                <w:b w:val="0"/>
                <w:i w:val="0"/>
                <w:color w:val="000000"/>
                <w:sz w:val="19"/>
              </w:rPr>
              <w:t>1,060.29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1,000.83</w:t>
            </w:r>
          </w:p>
        </w:tc>
        <w:tc>
          <w:tcPr>
            <w:tcW w:w="1600" w:type="dxa"/>
            <w:vAlign w:val="center"/>
          </w:tcPr>
          <w:p>
            <w:pPr>
              <w:jc w:val="right"/>
            </w:pPr>
            <w:r>
              <w:rPr>
                <w:rFonts w:ascii="宋体" w:hAnsi="宋体" w:eastAsia="宋体" w:cs="宋体"/>
                <w:b w:val="0"/>
                <w:i w:val="0"/>
                <w:color w:val="000000"/>
                <w:sz w:val="19"/>
              </w:rPr>
              <w:t>1,000.83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360.82</w:t>
            </w:r>
          </w:p>
        </w:tc>
        <w:tc>
          <w:tcPr>
            <w:tcW w:w="1600" w:type="dxa"/>
            <w:vAlign w:val="center"/>
          </w:tcPr>
          <w:p>
            <w:pPr>
              <w:jc w:val="right"/>
            </w:pPr>
            <w:r>
              <w:rPr>
                <w:rFonts w:ascii="宋体" w:hAnsi="宋体" w:eastAsia="宋体" w:cs="宋体"/>
                <w:b w:val="0"/>
                <w:i w:val="0"/>
                <w:color w:val="000000"/>
                <w:sz w:val="19"/>
              </w:rPr>
              <w:t>360.82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368.13</w:t>
            </w:r>
          </w:p>
        </w:tc>
        <w:tc>
          <w:tcPr>
            <w:tcW w:w="1600" w:type="dxa"/>
            <w:vAlign w:val="center"/>
          </w:tcPr>
          <w:p>
            <w:pPr>
              <w:jc w:val="right"/>
            </w:pPr>
            <w:r>
              <w:rPr>
                <w:rFonts w:ascii="宋体" w:hAnsi="宋体" w:eastAsia="宋体" w:cs="宋体"/>
                <w:b w:val="0"/>
                <w:i w:val="0"/>
                <w:color w:val="000000"/>
                <w:sz w:val="19"/>
              </w:rPr>
              <w:t>368.13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271.88</w:t>
            </w:r>
          </w:p>
        </w:tc>
        <w:tc>
          <w:tcPr>
            <w:tcW w:w="1600" w:type="dxa"/>
            <w:vAlign w:val="center"/>
          </w:tcPr>
          <w:p>
            <w:pPr>
              <w:jc w:val="right"/>
            </w:pPr>
            <w:r>
              <w:rPr>
                <w:rFonts w:ascii="宋体" w:hAnsi="宋体" w:eastAsia="宋体" w:cs="宋体"/>
                <w:b w:val="0"/>
                <w:i w:val="0"/>
                <w:color w:val="000000"/>
                <w:sz w:val="19"/>
              </w:rPr>
              <w:t>271.88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5.63</w:t>
            </w:r>
          </w:p>
        </w:tc>
        <w:tc>
          <w:tcPr>
            <w:tcW w:w="1600" w:type="dxa"/>
            <w:vAlign w:val="center"/>
          </w:tcPr>
          <w:p>
            <w:pPr>
              <w:jc w:val="right"/>
            </w:pPr>
            <w:r>
              <w:rPr>
                <w:rFonts w:ascii="宋体" w:hAnsi="宋体" w:eastAsia="宋体" w:cs="宋体"/>
                <w:b w:val="0"/>
                <w:i w:val="0"/>
                <w:color w:val="000000"/>
                <w:sz w:val="19"/>
              </w:rPr>
              <w:t>5.63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5.63</w:t>
            </w:r>
          </w:p>
        </w:tc>
        <w:tc>
          <w:tcPr>
            <w:tcW w:w="1600" w:type="dxa"/>
            <w:vAlign w:val="center"/>
          </w:tcPr>
          <w:p>
            <w:pPr>
              <w:jc w:val="right"/>
            </w:pPr>
            <w:r>
              <w:rPr>
                <w:rFonts w:ascii="宋体" w:hAnsi="宋体" w:eastAsia="宋体" w:cs="宋体"/>
                <w:b w:val="0"/>
                <w:i w:val="0"/>
                <w:color w:val="000000"/>
                <w:sz w:val="19"/>
              </w:rPr>
              <w:t>5.63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53.83</w:t>
            </w:r>
          </w:p>
        </w:tc>
        <w:tc>
          <w:tcPr>
            <w:tcW w:w="1600" w:type="dxa"/>
            <w:vAlign w:val="center"/>
          </w:tcPr>
          <w:p>
            <w:pPr>
              <w:jc w:val="right"/>
            </w:pPr>
            <w:r>
              <w:rPr>
                <w:rFonts w:ascii="宋体" w:hAnsi="宋体" w:eastAsia="宋体" w:cs="宋体"/>
                <w:b w:val="0"/>
                <w:i w:val="0"/>
                <w:color w:val="000000"/>
                <w:sz w:val="19"/>
              </w:rPr>
              <w:t>53.83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53.83</w:t>
            </w:r>
          </w:p>
        </w:tc>
        <w:tc>
          <w:tcPr>
            <w:tcW w:w="1600" w:type="dxa"/>
            <w:vAlign w:val="center"/>
          </w:tcPr>
          <w:p>
            <w:pPr>
              <w:jc w:val="right"/>
            </w:pPr>
            <w:r>
              <w:rPr>
                <w:rFonts w:ascii="宋体" w:hAnsi="宋体" w:eastAsia="宋体" w:cs="宋体"/>
                <w:b w:val="0"/>
                <w:i w:val="0"/>
                <w:color w:val="000000"/>
                <w:sz w:val="19"/>
              </w:rPr>
              <w:t>53.83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176.80</w:t>
            </w:r>
          </w:p>
        </w:tc>
        <w:tc>
          <w:tcPr>
            <w:tcW w:w="1600" w:type="dxa"/>
            <w:vAlign w:val="center"/>
          </w:tcPr>
          <w:p>
            <w:pPr>
              <w:jc w:val="right"/>
            </w:pPr>
            <w:r>
              <w:rPr>
                <w:rFonts w:ascii="宋体" w:hAnsi="宋体" w:eastAsia="宋体" w:cs="宋体"/>
                <w:b w:val="0"/>
                <w:i w:val="0"/>
                <w:color w:val="000000"/>
                <w:sz w:val="19"/>
              </w:rPr>
              <w:t>176.80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176.80</w:t>
            </w:r>
          </w:p>
        </w:tc>
        <w:tc>
          <w:tcPr>
            <w:tcW w:w="1600" w:type="dxa"/>
            <w:vAlign w:val="center"/>
          </w:tcPr>
          <w:p>
            <w:pPr>
              <w:jc w:val="right"/>
            </w:pPr>
            <w:r>
              <w:rPr>
                <w:rFonts w:ascii="宋体" w:hAnsi="宋体" w:eastAsia="宋体" w:cs="宋体"/>
                <w:b w:val="0"/>
                <w:i w:val="0"/>
                <w:color w:val="000000"/>
                <w:sz w:val="19"/>
              </w:rPr>
              <w:t>176.80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41.04</w:t>
            </w:r>
          </w:p>
        </w:tc>
        <w:tc>
          <w:tcPr>
            <w:tcW w:w="1600" w:type="dxa"/>
            <w:vAlign w:val="center"/>
          </w:tcPr>
          <w:p>
            <w:pPr>
              <w:jc w:val="right"/>
            </w:pPr>
            <w:r>
              <w:rPr>
                <w:rFonts w:ascii="宋体" w:hAnsi="宋体" w:eastAsia="宋体" w:cs="宋体"/>
                <w:b w:val="0"/>
                <w:i w:val="0"/>
                <w:color w:val="000000"/>
                <w:sz w:val="19"/>
              </w:rPr>
              <w:t>41.04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92.65</w:t>
            </w:r>
          </w:p>
        </w:tc>
        <w:tc>
          <w:tcPr>
            <w:tcW w:w="1600" w:type="dxa"/>
            <w:vAlign w:val="center"/>
          </w:tcPr>
          <w:p>
            <w:pPr>
              <w:jc w:val="right"/>
            </w:pPr>
            <w:r>
              <w:rPr>
                <w:rFonts w:ascii="宋体" w:hAnsi="宋体" w:eastAsia="宋体" w:cs="宋体"/>
                <w:b w:val="0"/>
                <w:i w:val="0"/>
                <w:color w:val="000000"/>
                <w:sz w:val="19"/>
              </w:rPr>
              <w:t>92.65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43.11</w:t>
            </w:r>
          </w:p>
        </w:tc>
        <w:tc>
          <w:tcPr>
            <w:tcW w:w="1600" w:type="dxa"/>
            <w:vAlign w:val="center"/>
          </w:tcPr>
          <w:p>
            <w:pPr>
              <w:jc w:val="right"/>
            </w:pPr>
            <w:r>
              <w:rPr>
                <w:rFonts w:ascii="宋体" w:hAnsi="宋体" w:eastAsia="宋体" w:cs="宋体"/>
                <w:b w:val="0"/>
                <w:i w:val="0"/>
                <w:color w:val="000000"/>
                <w:sz w:val="19"/>
              </w:rPr>
              <w:t>43.11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4,509.76</w:t>
            </w:r>
          </w:p>
        </w:tc>
        <w:tc>
          <w:tcPr>
            <w:tcW w:w="1600" w:type="dxa"/>
            <w:vAlign w:val="center"/>
          </w:tcPr>
          <w:p>
            <w:pPr>
              <w:jc w:val="right"/>
            </w:pPr>
            <w:r>
              <w:rPr>
                <w:rFonts w:ascii="宋体" w:hAnsi="宋体" w:eastAsia="宋体" w:cs="宋体"/>
                <w:b w:val="0"/>
                <w:i w:val="0"/>
                <w:color w:val="000000"/>
                <w:sz w:val="19"/>
              </w:rPr>
              <w:t>4,005.23</w:t>
            </w:r>
          </w:p>
        </w:tc>
        <w:tc>
          <w:tcPr>
            <w:tcW w:w="1600" w:type="dxa"/>
            <w:vAlign w:val="center"/>
          </w:tcPr>
          <w:p>
            <w:pPr>
              <w:jc w:val="right"/>
            </w:pPr>
            <w:r>
              <w:rPr>
                <w:rFonts w:ascii="宋体" w:hAnsi="宋体" w:eastAsia="宋体" w:cs="宋体"/>
                <w:b w:val="0"/>
                <w:i w:val="0"/>
                <w:color w:val="000000"/>
                <w:sz w:val="19"/>
              </w:rPr>
              <w:t>504.52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w:t>
            </w:r>
          </w:p>
        </w:tc>
        <w:tc>
          <w:tcPr>
            <w:tcW w:w="3480" w:type="dxa"/>
            <w:vAlign w:val="center"/>
          </w:tcPr>
          <w:p>
            <w:pPr>
              <w:jc w:val="left"/>
            </w:pPr>
            <w:r>
              <w:rPr>
                <w:rFonts w:ascii="宋体" w:hAnsi="宋体" w:eastAsia="宋体" w:cs="宋体"/>
                <w:b w:val="0"/>
                <w:i w:val="0"/>
                <w:color w:val="000000"/>
                <w:sz w:val="19"/>
              </w:rPr>
              <w:t>农业农村</w:t>
            </w:r>
          </w:p>
        </w:tc>
        <w:tc>
          <w:tcPr>
            <w:tcW w:w="1600" w:type="dxa"/>
            <w:vAlign w:val="center"/>
          </w:tcPr>
          <w:p>
            <w:pPr>
              <w:jc w:val="right"/>
            </w:pPr>
            <w:r>
              <w:rPr>
                <w:rFonts w:ascii="宋体" w:hAnsi="宋体" w:eastAsia="宋体" w:cs="宋体"/>
                <w:b w:val="0"/>
                <w:i w:val="0"/>
                <w:color w:val="000000"/>
                <w:sz w:val="19"/>
              </w:rPr>
              <w:t>4,476.61</w:t>
            </w:r>
          </w:p>
        </w:tc>
        <w:tc>
          <w:tcPr>
            <w:tcW w:w="1600" w:type="dxa"/>
            <w:vAlign w:val="center"/>
          </w:tcPr>
          <w:p>
            <w:pPr>
              <w:jc w:val="right"/>
            </w:pPr>
            <w:r>
              <w:rPr>
                <w:rFonts w:ascii="宋体" w:hAnsi="宋体" w:eastAsia="宋体" w:cs="宋体"/>
                <w:b w:val="0"/>
                <w:i w:val="0"/>
                <w:color w:val="000000"/>
                <w:sz w:val="19"/>
              </w:rPr>
              <w:t>3,981.13</w:t>
            </w:r>
          </w:p>
        </w:tc>
        <w:tc>
          <w:tcPr>
            <w:tcW w:w="1600" w:type="dxa"/>
            <w:vAlign w:val="center"/>
          </w:tcPr>
          <w:p>
            <w:pPr>
              <w:jc w:val="right"/>
            </w:pPr>
            <w:r>
              <w:rPr>
                <w:rFonts w:ascii="宋体" w:hAnsi="宋体" w:eastAsia="宋体" w:cs="宋体"/>
                <w:b w:val="0"/>
                <w:i w:val="0"/>
                <w:color w:val="000000"/>
                <w:sz w:val="19"/>
              </w:rPr>
              <w:t>495.47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1,313.43</w:t>
            </w:r>
          </w:p>
        </w:tc>
        <w:tc>
          <w:tcPr>
            <w:tcW w:w="1600" w:type="dxa"/>
            <w:vAlign w:val="center"/>
          </w:tcPr>
          <w:p>
            <w:pPr>
              <w:jc w:val="right"/>
            </w:pPr>
            <w:r>
              <w:rPr>
                <w:rFonts w:ascii="宋体" w:hAnsi="宋体" w:eastAsia="宋体" w:cs="宋体"/>
                <w:b w:val="0"/>
                <w:i w:val="0"/>
                <w:color w:val="000000"/>
                <w:sz w:val="19"/>
              </w:rPr>
              <w:t>1,273.99</w:t>
            </w:r>
          </w:p>
        </w:tc>
        <w:tc>
          <w:tcPr>
            <w:tcW w:w="1600" w:type="dxa"/>
            <w:vAlign w:val="center"/>
          </w:tcPr>
          <w:p>
            <w:pPr>
              <w:jc w:val="right"/>
            </w:pPr>
            <w:r>
              <w:rPr>
                <w:rFonts w:ascii="宋体" w:hAnsi="宋体" w:eastAsia="宋体" w:cs="宋体"/>
                <w:b w:val="0"/>
                <w:i w:val="0"/>
                <w:color w:val="000000"/>
                <w:sz w:val="19"/>
              </w:rPr>
              <w:t>39.43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36.58</w:t>
            </w:r>
          </w:p>
        </w:tc>
        <w:tc>
          <w:tcPr>
            <w:tcW w:w="1600" w:type="dxa"/>
            <w:vAlign w:val="center"/>
          </w:tcPr>
          <w:p>
            <w:pPr>
              <w:jc w:val="right"/>
            </w:pPr>
            <w:r>
              <w:rPr>
                <w:rFonts w:ascii="宋体" w:hAnsi="宋体" w:eastAsia="宋体" w:cs="宋体"/>
                <w:b w:val="0"/>
                <w:i w:val="0"/>
                <w:color w:val="000000"/>
                <w:sz w:val="19"/>
              </w:rPr>
              <w:t>2.71</w:t>
            </w:r>
          </w:p>
        </w:tc>
        <w:tc>
          <w:tcPr>
            <w:tcW w:w="1600" w:type="dxa"/>
            <w:vAlign w:val="center"/>
          </w:tcPr>
          <w:p>
            <w:pPr>
              <w:jc w:val="right"/>
            </w:pPr>
            <w:r>
              <w:rPr>
                <w:rFonts w:ascii="宋体" w:hAnsi="宋体" w:eastAsia="宋体" w:cs="宋体"/>
                <w:b w:val="0"/>
                <w:i w:val="0"/>
                <w:color w:val="000000"/>
                <w:sz w:val="19"/>
              </w:rPr>
              <w:t>33.87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2130104</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2,704.43</w:t>
            </w:r>
          </w:p>
        </w:tc>
        <w:tc>
          <w:tcPr>
            <w:tcW w:w="1600" w:type="dxa"/>
            <w:vAlign w:val="center"/>
          </w:tcPr>
          <w:p>
            <w:pPr>
              <w:jc w:val="right"/>
            </w:pPr>
            <w:r>
              <w:rPr>
                <w:rFonts w:ascii="宋体" w:hAnsi="宋体" w:eastAsia="宋体" w:cs="宋体"/>
                <w:b w:val="0"/>
                <w:i w:val="0"/>
                <w:color w:val="000000"/>
                <w:sz w:val="19"/>
              </w:rPr>
              <w:t>2,704.43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2130108</w:t>
            </w:r>
          </w:p>
        </w:tc>
        <w:tc>
          <w:tcPr>
            <w:tcW w:w="3480" w:type="dxa"/>
            <w:vAlign w:val="center"/>
          </w:tcPr>
          <w:p>
            <w:pPr>
              <w:jc w:val="left"/>
            </w:pPr>
            <w:r>
              <w:rPr>
                <w:rFonts w:ascii="宋体" w:hAnsi="宋体" w:eastAsia="宋体" w:cs="宋体"/>
                <w:b w:val="0"/>
                <w:i w:val="0"/>
                <w:color w:val="000000"/>
                <w:sz w:val="19"/>
              </w:rPr>
              <w:t>病虫害控制</w:t>
            </w:r>
          </w:p>
        </w:tc>
        <w:tc>
          <w:tcPr>
            <w:tcW w:w="1600" w:type="dxa"/>
            <w:vAlign w:val="center"/>
          </w:tcPr>
          <w:p>
            <w:pPr>
              <w:jc w:val="right"/>
            </w:pPr>
            <w:r>
              <w:rPr>
                <w:rFonts w:ascii="宋体" w:hAnsi="宋体" w:eastAsia="宋体" w:cs="宋体"/>
                <w:b w:val="0"/>
                <w:i w:val="0"/>
                <w:color w:val="000000"/>
                <w:sz w:val="19"/>
              </w:rPr>
              <w:t>257.33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257.33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2130122</w:t>
            </w:r>
          </w:p>
        </w:tc>
        <w:tc>
          <w:tcPr>
            <w:tcW w:w="3480" w:type="dxa"/>
            <w:vAlign w:val="center"/>
          </w:tcPr>
          <w:p>
            <w:pPr>
              <w:jc w:val="left"/>
            </w:pPr>
            <w:r>
              <w:rPr>
                <w:rFonts w:ascii="宋体" w:hAnsi="宋体" w:eastAsia="宋体" w:cs="宋体"/>
                <w:b w:val="0"/>
                <w:i w:val="0"/>
                <w:color w:val="000000"/>
                <w:sz w:val="19"/>
              </w:rPr>
              <w:t>农业生产发展</w:t>
            </w:r>
          </w:p>
        </w:tc>
        <w:tc>
          <w:tcPr>
            <w:tcW w:w="1600" w:type="dxa"/>
            <w:vAlign w:val="center"/>
          </w:tcPr>
          <w:p>
            <w:pPr>
              <w:jc w:val="right"/>
            </w:pPr>
            <w:r>
              <w:rPr>
                <w:rFonts w:ascii="宋体" w:hAnsi="宋体" w:eastAsia="宋体" w:cs="宋体"/>
                <w:b w:val="0"/>
                <w:i w:val="0"/>
                <w:color w:val="000000"/>
                <w:sz w:val="19"/>
              </w:rPr>
              <w:t>58.25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58.25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2130135</w:t>
            </w:r>
          </w:p>
        </w:tc>
        <w:tc>
          <w:tcPr>
            <w:tcW w:w="3480" w:type="dxa"/>
            <w:vAlign w:val="center"/>
          </w:tcPr>
          <w:p>
            <w:pPr>
              <w:jc w:val="left"/>
            </w:pPr>
            <w:r>
              <w:rPr>
                <w:rFonts w:ascii="宋体" w:hAnsi="宋体" w:eastAsia="宋体" w:cs="宋体"/>
                <w:b w:val="0"/>
                <w:i w:val="0"/>
                <w:color w:val="000000"/>
                <w:sz w:val="19"/>
              </w:rPr>
              <w:t>农业资源保护修复与利用</w:t>
            </w:r>
          </w:p>
        </w:tc>
        <w:tc>
          <w:tcPr>
            <w:tcW w:w="1600" w:type="dxa"/>
            <w:vAlign w:val="center"/>
          </w:tcPr>
          <w:p>
            <w:pPr>
              <w:jc w:val="right"/>
            </w:pPr>
            <w:r>
              <w:rPr>
                <w:rFonts w:ascii="宋体" w:hAnsi="宋体" w:eastAsia="宋体" w:cs="宋体"/>
                <w:b w:val="0"/>
                <w:i w:val="0"/>
                <w:color w:val="000000"/>
                <w:sz w:val="19"/>
              </w:rPr>
              <w:t>82.76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82.76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2130199</w:t>
            </w:r>
          </w:p>
        </w:tc>
        <w:tc>
          <w:tcPr>
            <w:tcW w:w="3480" w:type="dxa"/>
            <w:vAlign w:val="center"/>
          </w:tcPr>
          <w:p>
            <w:pPr>
              <w:jc w:val="left"/>
            </w:pPr>
            <w:r>
              <w:rPr>
                <w:rFonts w:ascii="宋体" w:hAnsi="宋体" w:eastAsia="宋体" w:cs="宋体"/>
                <w:b w:val="0"/>
                <w:i w:val="0"/>
                <w:color w:val="000000"/>
                <w:sz w:val="19"/>
              </w:rPr>
              <w:t>其他农业农村支出</w:t>
            </w:r>
          </w:p>
        </w:tc>
        <w:tc>
          <w:tcPr>
            <w:tcW w:w="1600" w:type="dxa"/>
            <w:vAlign w:val="center"/>
          </w:tcPr>
          <w:p>
            <w:pPr>
              <w:jc w:val="right"/>
            </w:pPr>
            <w:r>
              <w:rPr>
                <w:rFonts w:ascii="宋体" w:hAnsi="宋体" w:eastAsia="宋体" w:cs="宋体"/>
                <w:b w:val="0"/>
                <w:i w:val="0"/>
                <w:color w:val="000000"/>
                <w:sz w:val="19"/>
              </w:rPr>
              <w:t>23.83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23.83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21302</w:t>
            </w:r>
          </w:p>
        </w:tc>
        <w:tc>
          <w:tcPr>
            <w:tcW w:w="3480" w:type="dxa"/>
            <w:vAlign w:val="center"/>
          </w:tcPr>
          <w:p>
            <w:pPr>
              <w:jc w:val="left"/>
            </w:pPr>
            <w:r>
              <w:rPr>
                <w:rFonts w:ascii="宋体" w:hAnsi="宋体" w:eastAsia="宋体" w:cs="宋体"/>
                <w:b w:val="0"/>
                <w:i w:val="0"/>
                <w:color w:val="000000"/>
                <w:sz w:val="19"/>
              </w:rPr>
              <w:t>林业和草原</w:t>
            </w:r>
          </w:p>
        </w:tc>
        <w:tc>
          <w:tcPr>
            <w:tcW w:w="1600" w:type="dxa"/>
            <w:vAlign w:val="center"/>
          </w:tcPr>
          <w:p>
            <w:pPr>
              <w:jc w:val="right"/>
            </w:pPr>
            <w:r>
              <w:rPr>
                <w:rFonts w:ascii="宋体" w:hAnsi="宋体" w:eastAsia="宋体" w:cs="宋体"/>
                <w:b w:val="0"/>
                <w:i w:val="0"/>
                <w:color w:val="000000"/>
                <w:sz w:val="19"/>
              </w:rPr>
              <w:t>19.72</w:t>
            </w:r>
          </w:p>
        </w:tc>
        <w:tc>
          <w:tcPr>
            <w:tcW w:w="1600" w:type="dxa"/>
            <w:vAlign w:val="center"/>
          </w:tcPr>
          <w:p>
            <w:pPr>
              <w:jc w:val="right"/>
            </w:pPr>
            <w:r>
              <w:rPr>
                <w:rFonts w:ascii="宋体" w:hAnsi="宋体" w:eastAsia="宋体" w:cs="宋体"/>
                <w:b w:val="0"/>
                <w:i w:val="0"/>
                <w:color w:val="000000"/>
                <w:sz w:val="19"/>
              </w:rPr>
              <w:t>19.72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19.72</w:t>
            </w:r>
          </w:p>
        </w:tc>
        <w:tc>
          <w:tcPr>
            <w:tcW w:w="1600" w:type="dxa"/>
            <w:vAlign w:val="center"/>
          </w:tcPr>
          <w:p>
            <w:pPr>
              <w:jc w:val="right"/>
            </w:pPr>
            <w:r>
              <w:rPr>
                <w:rFonts w:ascii="宋体" w:hAnsi="宋体" w:eastAsia="宋体" w:cs="宋体"/>
                <w:b w:val="0"/>
                <w:i w:val="0"/>
                <w:color w:val="000000"/>
                <w:sz w:val="19"/>
              </w:rPr>
              <w:t>19.72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4.38</w:t>
            </w:r>
          </w:p>
        </w:tc>
        <w:tc>
          <w:tcPr>
            <w:tcW w:w="1600" w:type="dxa"/>
            <w:vAlign w:val="center"/>
          </w:tcPr>
          <w:p>
            <w:pPr>
              <w:jc w:val="right"/>
            </w:pPr>
            <w:r>
              <w:rPr>
                <w:rFonts w:ascii="宋体" w:hAnsi="宋体" w:eastAsia="宋体" w:cs="宋体"/>
                <w:b w:val="0"/>
                <w:i w:val="0"/>
                <w:color w:val="000000"/>
                <w:sz w:val="19"/>
              </w:rPr>
              <w:t>4.38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1.88</w:t>
            </w:r>
          </w:p>
        </w:tc>
        <w:tc>
          <w:tcPr>
            <w:tcW w:w="1600" w:type="dxa"/>
            <w:vAlign w:val="center"/>
          </w:tcPr>
          <w:p>
            <w:pPr>
              <w:jc w:val="right"/>
            </w:pPr>
            <w:r>
              <w:rPr>
                <w:rFonts w:ascii="宋体" w:hAnsi="宋体" w:eastAsia="宋体" w:cs="宋体"/>
                <w:b w:val="0"/>
                <w:i w:val="0"/>
                <w:color w:val="000000"/>
                <w:sz w:val="19"/>
              </w:rPr>
              <w:t>1.88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21399</w:t>
            </w:r>
          </w:p>
        </w:tc>
        <w:tc>
          <w:tcPr>
            <w:tcW w:w="3480" w:type="dxa"/>
            <w:vAlign w:val="center"/>
          </w:tcPr>
          <w:p>
            <w:pPr>
              <w:jc w:val="left"/>
            </w:pPr>
            <w:r>
              <w:rPr>
                <w:rFonts w:ascii="宋体" w:hAnsi="宋体" w:eastAsia="宋体" w:cs="宋体"/>
                <w:b w:val="0"/>
                <w:i w:val="0"/>
                <w:color w:val="000000"/>
                <w:sz w:val="19"/>
              </w:rPr>
              <w:t>其他农林水支出</w:t>
            </w:r>
          </w:p>
        </w:tc>
        <w:tc>
          <w:tcPr>
            <w:tcW w:w="1600" w:type="dxa"/>
            <w:vAlign w:val="center"/>
          </w:tcPr>
          <w:p>
            <w:pPr>
              <w:jc w:val="right"/>
            </w:pPr>
            <w:r>
              <w:rPr>
                <w:rFonts w:ascii="宋体" w:hAnsi="宋体" w:eastAsia="宋体" w:cs="宋体"/>
                <w:b w:val="0"/>
                <w:i w:val="0"/>
                <w:color w:val="000000"/>
                <w:sz w:val="19"/>
              </w:rPr>
              <w:t>9.05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9.05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2139999</w:t>
            </w:r>
          </w:p>
        </w:tc>
        <w:tc>
          <w:tcPr>
            <w:tcW w:w="3480" w:type="dxa"/>
            <w:vAlign w:val="center"/>
          </w:tcPr>
          <w:p>
            <w:pPr>
              <w:jc w:val="left"/>
            </w:pPr>
            <w:r>
              <w:rPr>
                <w:rFonts w:ascii="宋体" w:hAnsi="宋体" w:eastAsia="宋体" w:cs="宋体"/>
                <w:b w:val="0"/>
                <w:i w:val="0"/>
                <w:color w:val="000000"/>
                <w:sz w:val="19"/>
              </w:rPr>
              <w:t>其他农林水支出</w:t>
            </w:r>
          </w:p>
        </w:tc>
        <w:tc>
          <w:tcPr>
            <w:tcW w:w="1600" w:type="dxa"/>
            <w:vAlign w:val="center"/>
          </w:tcPr>
          <w:p>
            <w:pPr>
              <w:jc w:val="right"/>
            </w:pPr>
            <w:r>
              <w:rPr>
                <w:rFonts w:ascii="宋体" w:hAnsi="宋体" w:eastAsia="宋体" w:cs="宋体"/>
                <w:b w:val="0"/>
                <w:i w:val="0"/>
                <w:color w:val="000000"/>
                <w:sz w:val="19"/>
              </w:rPr>
              <w:t>9.05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9.05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256.26</w:t>
            </w:r>
          </w:p>
        </w:tc>
        <w:tc>
          <w:tcPr>
            <w:tcW w:w="1600" w:type="dxa"/>
            <w:vAlign w:val="center"/>
          </w:tcPr>
          <w:p>
            <w:pPr>
              <w:jc w:val="right"/>
            </w:pPr>
            <w:r>
              <w:rPr>
                <w:rFonts w:ascii="宋体" w:hAnsi="宋体" w:eastAsia="宋体" w:cs="宋体"/>
                <w:b w:val="0"/>
                <w:i w:val="0"/>
                <w:color w:val="000000"/>
                <w:sz w:val="19"/>
              </w:rPr>
              <w:t>256.26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256.26</w:t>
            </w:r>
          </w:p>
        </w:tc>
        <w:tc>
          <w:tcPr>
            <w:tcW w:w="1600" w:type="dxa"/>
            <w:vAlign w:val="center"/>
          </w:tcPr>
          <w:p>
            <w:pPr>
              <w:jc w:val="right"/>
            </w:pPr>
            <w:r>
              <w:rPr>
                <w:rFonts w:ascii="宋体" w:hAnsi="宋体" w:eastAsia="宋体" w:cs="宋体"/>
                <w:b w:val="0"/>
                <w:i w:val="0"/>
                <w:color w:val="000000"/>
                <w:sz w:val="19"/>
              </w:rPr>
              <w:t>256.26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256.26</w:t>
            </w:r>
          </w:p>
        </w:tc>
        <w:tc>
          <w:tcPr>
            <w:tcW w:w="1600" w:type="dxa"/>
            <w:vAlign w:val="center"/>
          </w:tcPr>
          <w:p>
            <w:pPr>
              <w:jc w:val="right"/>
            </w:pPr>
            <w:r>
              <w:rPr>
                <w:rFonts w:ascii="宋体" w:hAnsi="宋体" w:eastAsia="宋体" w:cs="宋体"/>
                <w:b w:val="0"/>
                <w:i w:val="0"/>
                <w:color w:val="000000"/>
                <w:sz w:val="19"/>
              </w:rPr>
              <w:t>256.26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0.68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0.68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0.68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0.68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0.68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0.68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部门：许昌市农业农村局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6,021.57</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48.93</w:t>
            </w:r>
          </w:p>
        </w:tc>
        <w:tc>
          <w:tcPr>
            <w:tcW w:w="1420" w:type="dxa"/>
            <w:vAlign w:val="center"/>
          </w:tcPr>
          <w:p>
            <w:pPr>
              <w:jc w:val="right"/>
            </w:pPr>
            <w:r>
              <w:rPr>
                <w:rFonts w:ascii="宋体" w:hAnsi="宋体" w:eastAsia="宋体" w:cs="宋体"/>
                <w:b w:val="0"/>
                <w:i w:val="0"/>
                <w:color w:val="000000"/>
                <w:sz w:val="18"/>
              </w:rPr>
              <w:t>48.93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1,060.29</w:t>
            </w:r>
          </w:p>
        </w:tc>
        <w:tc>
          <w:tcPr>
            <w:tcW w:w="1420" w:type="dxa"/>
            <w:vAlign w:val="center"/>
          </w:tcPr>
          <w:p>
            <w:pPr>
              <w:jc w:val="right"/>
            </w:pPr>
            <w:r>
              <w:rPr>
                <w:rFonts w:ascii="宋体" w:hAnsi="宋体" w:eastAsia="宋体" w:cs="宋体"/>
                <w:b w:val="0"/>
                <w:i w:val="0"/>
                <w:color w:val="000000"/>
                <w:sz w:val="18"/>
              </w:rPr>
              <w:t>1,060.29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176.81</w:t>
            </w:r>
          </w:p>
        </w:tc>
        <w:tc>
          <w:tcPr>
            <w:tcW w:w="1420" w:type="dxa"/>
            <w:vAlign w:val="center"/>
          </w:tcPr>
          <w:p>
            <w:pPr>
              <w:jc w:val="right"/>
            </w:pPr>
            <w:r>
              <w:rPr>
                <w:rFonts w:ascii="宋体" w:hAnsi="宋体" w:eastAsia="宋体" w:cs="宋体"/>
                <w:b w:val="0"/>
                <w:i w:val="0"/>
                <w:color w:val="000000"/>
                <w:sz w:val="18"/>
              </w:rPr>
              <w:t>176.81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4,509.77</w:t>
            </w:r>
          </w:p>
        </w:tc>
        <w:tc>
          <w:tcPr>
            <w:tcW w:w="1420" w:type="dxa"/>
            <w:vAlign w:val="center"/>
          </w:tcPr>
          <w:p>
            <w:pPr>
              <w:jc w:val="right"/>
            </w:pPr>
            <w:r>
              <w:rPr>
                <w:rFonts w:ascii="宋体" w:hAnsi="宋体" w:eastAsia="宋体" w:cs="宋体"/>
                <w:b w:val="0"/>
                <w:i w:val="0"/>
                <w:color w:val="000000"/>
                <w:sz w:val="18"/>
              </w:rPr>
              <w:t>4,509.77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256.26</w:t>
            </w:r>
          </w:p>
        </w:tc>
        <w:tc>
          <w:tcPr>
            <w:tcW w:w="1420" w:type="dxa"/>
            <w:vAlign w:val="center"/>
          </w:tcPr>
          <w:p>
            <w:pPr>
              <w:jc w:val="right"/>
            </w:pPr>
            <w:r>
              <w:rPr>
                <w:rFonts w:ascii="宋体" w:hAnsi="宋体" w:eastAsia="宋体" w:cs="宋体"/>
                <w:b w:val="0"/>
                <w:i w:val="0"/>
                <w:color w:val="000000"/>
                <w:sz w:val="18"/>
              </w:rPr>
              <w:t>256.26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6,021.57</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6,052.05</w:t>
            </w:r>
          </w:p>
        </w:tc>
        <w:tc>
          <w:tcPr>
            <w:tcW w:w="1420" w:type="dxa"/>
            <w:vAlign w:val="center"/>
          </w:tcPr>
          <w:p>
            <w:pPr>
              <w:jc w:val="right"/>
            </w:pPr>
            <w:r>
              <w:rPr>
                <w:rFonts w:ascii="宋体" w:hAnsi="宋体" w:eastAsia="宋体" w:cs="宋体"/>
                <w:b w:val="0"/>
                <w:i w:val="0"/>
                <w:color w:val="000000"/>
                <w:sz w:val="18"/>
              </w:rPr>
              <w:t>6,052.05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30.47</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30.47</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6,052.05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6,052.05</w:t>
            </w:r>
          </w:p>
        </w:tc>
        <w:tc>
          <w:tcPr>
            <w:tcW w:w="1420" w:type="dxa"/>
            <w:vAlign w:val="center"/>
          </w:tcPr>
          <w:p>
            <w:pPr>
              <w:jc w:val="right"/>
            </w:pPr>
            <w:r>
              <w:rPr>
                <w:rFonts w:ascii="宋体" w:hAnsi="宋体" w:eastAsia="宋体" w:cs="宋体"/>
                <w:b w:val="0"/>
                <w:i w:val="0"/>
                <w:color w:val="000000"/>
                <w:sz w:val="18"/>
              </w:rPr>
              <w:t>6,052.05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部门：许昌市农业农村局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6,052.05</w:t>
            </w:r>
          </w:p>
        </w:tc>
        <w:tc>
          <w:tcPr>
            <w:tcW w:w="2700" w:type="dxa"/>
            <w:vAlign w:val="center"/>
          </w:tcPr>
          <w:p>
            <w:pPr>
              <w:jc w:val="right"/>
            </w:pPr>
            <w:r>
              <w:rPr>
                <w:rFonts w:ascii="宋体" w:hAnsi="宋体" w:eastAsia="宋体" w:cs="宋体"/>
                <w:b/>
                <w:i w:val="0"/>
                <w:color w:val="000000"/>
                <w:sz w:val="25"/>
              </w:rPr>
              <w:t>5,547.51</w:t>
            </w:r>
          </w:p>
        </w:tc>
        <w:tc>
          <w:tcPr>
            <w:tcW w:w="2658" w:type="dxa"/>
            <w:vAlign w:val="center"/>
          </w:tcPr>
          <w:p>
            <w:pPr>
              <w:jc w:val="right"/>
            </w:pPr>
            <w:r>
              <w:rPr>
                <w:rFonts w:ascii="宋体" w:hAnsi="宋体" w:eastAsia="宋体" w:cs="宋体"/>
                <w:b/>
                <w:i w:val="0"/>
                <w:color w:val="000000"/>
                <w:sz w:val="25"/>
              </w:rPr>
              <w:t>504.54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48.93</w:t>
            </w:r>
          </w:p>
        </w:tc>
        <w:tc>
          <w:tcPr>
            <w:tcW w:w="2700" w:type="dxa"/>
            <w:vAlign w:val="center"/>
          </w:tcPr>
          <w:p>
            <w:pPr>
              <w:jc w:val="right"/>
            </w:pPr>
            <w:r>
              <w:rPr>
                <w:rFonts w:ascii="宋体" w:hAnsi="宋体" w:eastAsia="宋体" w:cs="宋体"/>
                <w:b w:val="0"/>
                <w:i w:val="0"/>
                <w:color w:val="000000"/>
                <w:sz w:val="25"/>
              </w:rPr>
              <w:t>48.93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5.78</w:t>
            </w:r>
          </w:p>
        </w:tc>
        <w:tc>
          <w:tcPr>
            <w:tcW w:w="2700" w:type="dxa"/>
            <w:vAlign w:val="center"/>
          </w:tcPr>
          <w:p>
            <w:pPr>
              <w:jc w:val="right"/>
            </w:pPr>
            <w:r>
              <w:rPr>
                <w:rFonts w:ascii="宋体" w:hAnsi="宋体" w:eastAsia="宋体" w:cs="宋体"/>
                <w:b w:val="0"/>
                <w:i w:val="0"/>
                <w:color w:val="000000"/>
                <w:sz w:val="25"/>
              </w:rPr>
              <w:t>5.78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5.78</w:t>
            </w:r>
          </w:p>
        </w:tc>
        <w:tc>
          <w:tcPr>
            <w:tcW w:w="2700" w:type="dxa"/>
            <w:vAlign w:val="center"/>
          </w:tcPr>
          <w:p>
            <w:pPr>
              <w:jc w:val="right"/>
            </w:pPr>
            <w:r>
              <w:rPr>
                <w:rFonts w:ascii="宋体" w:hAnsi="宋体" w:eastAsia="宋体" w:cs="宋体"/>
                <w:b w:val="0"/>
                <w:i w:val="0"/>
                <w:color w:val="000000"/>
                <w:sz w:val="25"/>
              </w:rPr>
              <w:t>5.78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24.46</w:t>
            </w:r>
          </w:p>
        </w:tc>
        <w:tc>
          <w:tcPr>
            <w:tcW w:w="2700" w:type="dxa"/>
            <w:vAlign w:val="center"/>
          </w:tcPr>
          <w:p>
            <w:pPr>
              <w:jc w:val="right"/>
            </w:pPr>
            <w:r>
              <w:rPr>
                <w:rFonts w:ascii="宋体" w:hAnsi="宋体" w:eastAsia="宋体" w:cs="宋体"/>
                <w:b w:val="0"/>
                <w:i w:val="0"/>
                <w:color w:val="000000"/>
                <w:sz w:val="25"/>
              </w:rPr>
              <w:t>24.46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24.46</w:t>
            </w:r>
          </w:p>
        </w:tc>
        <w:tc>
          <w:tcPr>
            <w:tcW w:w="2700" w:type="dxa"/>
            <w:vAlign w:val="center"/>
          </w:tcPr>
          <w:p>
            <w:pPr>
              <w:jc w:val="right"/>
            </w:pPr>
            <w:r>
              <w:rPr>
                <w:rFonts w:ascii="宋体" w:hAnsi="宋体" w:eastAsia="宋体" w:cs="宋体"/>
                <w:b w:val="0"/>
                <w:i w:val="0"/>
                <w:color w:val="000000"/>
                <w:sz w:val="25"/>
              </w:rPr>
              <w:t>24.46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18.69</w:t>
            </w:r>
          </w:p>
        </w:tc>
        <w:tc>
          <w:tcPr>
            <w:tcW w:w="2700" w:type="dxa"/>
            <w:vAlign w:val="center"/>
          </w:tcPr>
          <w:p>
            <w:pPr>
              <w:jc w:val="right"/>
            </w:pPr>
            <w:r>
              <w:rPr>
                <w:rFonts w:ascii="宋体" w:hAnsi="宋体" w:eastAsia="宋体" w:cs="宋体"/>
                <w:b w:val="0"/>
                <w:i w:val="0"/>
                <w:color w:val="000000"/>
                <w:sz w:val="25"/>
              </w:rPr>
              <w:t>18.69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18.69</w:t>
            </w:r>
          </w:p>
        </w:tc>
        <w:tc>
          <w:tcPr>
            <w:tcW w:w="2700" w:type="dxa"/>
            <w:vAlign w:val="center"/>
          </w:tcPr>
          <w:p>
            <w:pPr>
              <w:jc w:val="right"/>
            </w:pPr>
            <w:r>
              <w:rPr>
                <w:rFonts w:ascii="宋体" w:hAnsi="宋体" w:eastAsia="宋体" w:cs="宋体"/>
                <w:b w:val="0"/>
                <w:i w:val="0"/>
                <w:color w:val="000000"/>
                <w:sz w:val="25"/>
              </w:rPr>
              <w:t>18.69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1,060.29</w:t>
            </w:r>
          </w:p>
        </w:tc>
        <w:tc>
          <w:tcPr>
            <w:tcW w:w="2700" w:type="dxa"/>
            <w:vAlign w:val="center"/>
          </w:tcPr>
          <w:p>
            <w:pPr>
              <w:jc w:val="right"/>
            </w:pPr>
            <w:r>
              <w:rPr>
                <w:rFonts w:ascii="宋体" w:hAnsi="宋体" w:eastAsia="宋体" w:cs="宋体"/>
                <w:b w:val="0"/>
                <w:i w:val="0"/>
                <w:color w:val="000000"/>
                <w:sz w:val="25"/>
              </w:rPr>
              <w:t>1,060.29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1,000.83</w:t>
            </w:r>
          </w:p>
        </w:tc>
        <w:tc>
          <w:tcPr>
            <w:tcW w:w="2700" w:type="dxa"/>
            <w:vAlign w:val="center"/>
          </w:tcPr>
          <w:p>
            <w:pPr>
              <w:jc w:val="right"/>
            </w:pPr>
            <w:r>
              <w:rPr>
                <w:rFonts w:ascii="宋体" w:hAnsi="宋体" w:eastAsia="宋体" w:cs="宋体"/>
                <w:b w:val="0"/>
                <w:i w:val="0"/>
                <w:color w:val="000000"/>
                <w:sz w:val="25"/>
              </w:rPr>
              <w:t>1,000.83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360.82</w:t>
            </w:r>
          </w:p>
        </w:tc>
        <w:tc>
          <w:tcPr>
            <w:tcW w:w="2700" w:type="dxa"/>
            <w:vAlign w:val="center"/>
          </w:tcPr>
          <w:p>
            <w:pPr>
              <w:jc w:val="right"/>
            </w:pPr>
            <w:r>
              <w:rPr>
                <w:rFonts w:ascii="宋体" w:hAnsi="宋体" w:eastAsia="宋体" w:cs="宋体"/>
                <w:b w:val="0"/>
                <w:i w:val="0"/>
                <w:color w:val="000000"/>
                <w:sz w:val="25"/>
              </w:rPr>
              <w:t>360.82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368.13</w:t>
            </w:r>
          </w:p>
        </w:tc>
        <w:tc>
          <w:tcPr>
            <w:tcW w:w="2700" w:type="dxa"/>
            <w:vAlign w:val="center"/>
          </w:tcPr>
          <w:p>
            <w:pPr>
              <w:jc w:val="right"/>
            </w:pPr>
            <w:r>
              <w:rPr>
                <w:rFonts w:ascii="宋体" w:hAnsi="宋体" w:eastAsia="宋体" w:cs="宋体"/>
                <w:b w:val="0"/>
                <w:i w:val="0"/>
                <w:color w:val="000000"/>
                <w:sz w:val="25"/>
              </w:rPr>
              <w:t>368.13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271.88</w:t>
            </w:r>
          </w:p>
        </w:tc>
        <w:tc>
          <w:tcPr>
            <w:tcW w:w="2700" w:type="dxa"/>
            <w:vAlign w:val="center"/>
          </w:tcPr>
          <w:p>
            <w:pPr>
              <w:jc w:val="right"/>
            </w:pPr>
            <w:r>
              <w:rPr>
                <w:rFonts w:ascii="宋体" w:hAnsi="宋体" w:eastAsia="宋体" w:cs="宋体"/>
                <w:b w:val="0"/>
                <w:i w:val="0"/>
                <w:color w:val="000000"/>
                <w:sz w:val="25"/>
              </w:rPr>
              <w:t>271.88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5.63</w:t>
            </w:r>
          </w:p>
        </w:tc>
        <w:tc>
          <w:tcPr>
            <w:tcW w:w="2700" w:type="dxa"/>
            <w:vAlign w:val="center"/>
          </w:tcPr>
          <w:p>
            <w:pPr>
              <w:jc w:val="right"/>
            </w:pPr>
            <w:r>
              <w:rPr>
                <w:rFonts w:ascii="宋体" w:hAnsi="宋体" w:eastAsia="宋体" w:cs="宋体"/>
                <w:b w:val="0"/>
                <w:i w:val="0"/>
                <w:color w:val="000000"/>
                <w:sz w:val="25"/>
              </w:rPr>
              <w:t>5.63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5.63</w:t>
            </w:r>
          </w:p>
        </w:tc>
        <w:tc>
          <w:tcPr>
            <w:tcW w:w="2700" w:type="dxa"/>
            <w:vAlign w:val="center"/>
          </w:tcPr>
          <w:p>
            <w:pPr>
              <w:jc w:val="right"/>
            </w:pPr>
            <w:r>
              <w:rPr>
                <w:rFonts w:ascii="宋体" w:hAnsi="宋体" w:eastAsia="宋体" w:cs="宋体"/>
                <w:b w:val="0"/>
                <w:i w:val="0"/>
                <w:color w:val="000000"/>
                <w:sz w:val="25"/>
              </w:rPr>
              <w:t>5.63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53.83</w:t>
            </w:r>
          </w:p>
        </w:tc>
        <w:tc>
          <w:tcPr>
            <w:tcW w:w="2700" w:type="dxa"/>
            <w:vAlign w:val="center"/>
          </w:tcPr>
          <w:p>
            <w:pPr>
              <w:jc w:val="right"/>
            </w:pPr>
            <w:r>
              <w:rPr>
                <w:rFonts w:ascii="宋体" w:hAnsi="宋体" w:eastAsia="宋体" w:cs="宋体"/>
                <w:b w:val="0"/>
                <w:i w:val="0"/>
                <w:color w:val="000000"/>
                <w:sz w:val="25"/>
              </w:rPr>
              <w:t>53.83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53.83</w:t>
            </w:r>
          </w:p>
        </w:tc>
        <w:tc>
          <w:tcPr>
            <w:tcW w:w="2700" w:type="dxa"/>
            <w:vAlign w:val="center"/>
          </w:tcPr>
          <w:p>
            <w:pPr>
              <w:jc w:val="right"/>
            </w:pPr>
            <w:r>
              <w:rPr>
                <w:rFonts w:ascii="宋体" w:hAnsi="宋体" w:eastAsia="宋体" w:cs="宋体"/>
                <w:b w:val="0"/>
                <w:i w:val="0"/>
                <w:color w:val="000000"/>
                <w:sz w:val="25"/>
              </w:rPr>
              <w:t>53.83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176.80</w:t>
            </w:r>
          </w:p>
        </w:tc>
        <w:tc>
          <w:tcPr>
            <w:tcW w:w="2700" w:type="dxa"/>
            <w:vAlign w:val="center"/>
          </w:tcPr>
          <w:p>
            <w:pPr>
              <w:jc w:val="right"/>
            </w:pPr>
            <w:r>
              <w:rPr>
                <w:rFonts w:ascii="宋体" w:hAnsi="宋体" w:eastAsia="宋体" w:cs="宋体"/>
                <w:b w:val="0"/>
                <w:i w:val="0"/>
                <w:color w:val="000000"/>
                <w:sz w:val="25"/>
              </w:rPr>
              <w:t>176.80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176.80</w:t>
            </w:r>
          </w:p>
        </w:tc>
        <w:tc>
          <w:tcPr>
            <w:tcW w:w="2700" w:type="dxa"/>
            <w:vAlign w:val="center"/>
          </w:tcPr>
          <w:p>
            <w:pPr>
              <w:jc w:val="right"/>
            </w:pPr>
            <w:r>
              <w:rPr>
                <w:rFonts w:ascii="宋体" w:hAnsi="宋体" w:eastAsia="宋体" w:cs="宋体"/>
                <w:b w:val="0"/>
                <w:i w:val="0"/>
                <w:color w:val="000000"/>
                <w:sz w:val="25"/>
              </w:rPr>
              <w:t>176.80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41.04</w:t>
            </w:r>
          </w:p>
        </w:tc>
        <w:tc>
          <w:tcPr>
            <w:tcW w:w="2700" w:type="dxa"/>
            <w:vAlign w:val="center"/>
          </w:tcPr>
          <w:p>
            <w:pPr>
              <w:jc w:val="right"/>
            </w:pPr>
            <w:r>
              <w:rPr>
                <w:rFonts w:ascii="宋体" w:hAnsi="宋体" w:eastAsia="宋体" w:cs="宋体"/>
                <w:b w:val="0"/>
                <w:i w:val="0"/>
                <w:color w:val="000000"/>
                <w:sz w:val="25"/>
              </w:rPr>
              <w:t>41.04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92.65</w:t>
            </w:r>
          </w:p>
        </w:tc>
        <w:tc>
          <w:tcPr>
            <w:tcW w:w="2700" w:type="dxa"/>
            <w:vAlign w:val="center"/>
          </w:tcPr>
          <w:p>
            <w:pPr>
              <w:jc w:val="right"/>
            </w:pPr>
            <w:r>
              <w:rPr>
                <w:rFonts w:ascii="宋体" w:hAnsi="宋体" w:eastAsia="宋体" w:cs="宋体"/>
                <w:b w:val="0"/>
                <w:i w:val="0"/>
                <w:color w:val="000000"/>
                <w:sz w:val="25"/>
              </w:rPr>
              <w:t>92.65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43.11</w:t>
            </w:r>
          </w:p>
        </w:tc>
        <w:tc>
          <w:tcPr>
            <w:tcW w:w="2700" w:type="dxa"/>
            <w:vAlign w:val="center"/>
          </w:tcPr>
          <w:p>
            <w:pPr>
              <w:jc w:val="right"/>
            </w:pPr>
            <w:r>
              <w:rPr>
                <w:rFonts w:ascii="宋体" w:hAnsi="宋体" w:eastAsia="宋体" w:cs="宋体"/>
                <w:b w:val="0"/>
                <w:i w:val="0"/>
                <w:color w:val="000000"/>
                <w:sz w:val="25"/>
              </w:rPr>
              <w:t>43.11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4,509.76</w:t>
            </w:r>
          </w:p>
        </w:tc>
        <w:tc>
          <w:tcPr>
            <w:tcW w:w="2700" w:type="dxa"/>
            <w:vAlign w:val="center"/>
          </w:tcPr>
          <w:p>
            <w:pPr>
              <w:jc w:val="right"/>
            </w:pPr>
            <w:r>
              <w:rPr>
                <w:rFonts w:ascii="宋体" w:hAnsi="宋体" w:eastAsia="宋体" w:cs="宋体"/>
                <w:b w:val="0"/>
                <w:i w:val="0"/>
                <w:color w:val="000000"/>
                <w:sz w:val="25"/>
              </w:rPr>
              <w:t>4,005.23</w:t>
            </w:r>
          </w:p>
        </w:tc>
        <w:tc>
          <w:tcPr>
            <w:tcW w:w="2658" w:type="dxa"/>
            <w:vAlign w:val="center"/>
          </w:tcPr>
          <w:p>
            <w:pPr>
              <w:jc w:val="right"/>
            </w:pPr>
            <w:r>
              <w:rPr>
                <w:rFonts w:ascii="宋体" w:hAnsi="宋体" w:eastAsia="宋体" w:cs="宋体"/>
                <w:b w:val="0"/>
                <w:i w:val="0"/>
                <w:color w:val="000000"/>
                <w:sz w:val="25"/>
              </w:rPr>
              <w:t>504.52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w:t>
            </w:r>
          </w:p>
        </w:tc>
        <w:tc>
          <w:tcPr>
            <w:tcW w:w="4700" w:type="dxa"/>
            <w:vAlign w:val="center"/>
          </w:tcPr>
          <w:p>
            <w:pPr>
              <w:jc w:val="left"/>
            </w:pPr>
            <w:r>
              <w:rPr>
                <w:rFonts w:ascii="宋体" w:hAnsi="宋体" w:eastAsia="宋体" w:cs="宋体"/>
                <w:b w:val="0"/>
                <w:i w:val="0"/>
                <w:color w:val="000000"/>
                <w:sz w:val="25"/>
              </w:rPr>
              <w:t>农业农村</w:t>
            </w:r>
          </w:p>
        </w:tc>
        <w:tc>
          <w:tcPr>
            <w:tcW w:w="2700" w:type="dxa"/>
            <w:vAlign w:val="center"/>
          </w:tcPr>
          <w:p>
            <w:pPr>
              <w:jc w:val="right"/>
            </w:pPr>
            <w:r>
              <w:rPr>
                <w:rFonts w:ascii="宋体" w:hAnsi="宋体" w:eastAsia="宋体" w:cs="宋体"/>
                <w:b w:val="0"/>
                <w:i w:val="0"/>
                <w:color w:val="000000"/>
                <w:sz w:val="25"/>
              </w:rPr>
              <w:t>4,476.61</w:t>
            </w:r>
          </w:p>
        </w:tc>
        <w:tc>
          <w:tcPr>
            <w:tcW w:w="2700" w:type="dxa"/>
            <w:vAlign w:val="center"/>
          </w:tcPr>
          <w:p>
            <w:pPr>
              <w:jc w:val="right"/>
            </w:pPr>
            <w:r>
              <w:rPr>
                <w:rFonts w:ascii="宋体" w:hAnsi="宋体" w:eastAsia="宋体" w:cs="宋体"/>
                <w:b w:val="0"/>
                <w:i w:val="0"/>
                <w:color w:val="000000"/>
                <w:sz w:val="25"/>
              </w:rPr>
              <w:t>3,981.13</w:t>
            </w:r>
          </w:p>
        </w:tc>
        <w:tc>
          <w:tcPr>
            <w:tcW w:w="2658" w:type="dxa"/>
            <w:vAlign w:val="center"/>
          </w:tcPr>
          <w:p>
            <w:pPr>
              <w:jc w:val="right"/>
            </w:pPr>
            <w:r>
              <w:rPr>
                <w:rFonts w:ascii="宋体" w:hAnsi="宋体" w:eastAsia="宋体" w:cs="宋体"/>
                <w:b w:val="0"/>
                <w:i w:val="0"/>
                <w:color w:val="000000"/>
                <w:sz w:val="25"/>
              </w:rPr>
              <w:t>495.47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1,313.43</w:t>
            </w:r>
          </w:p>
        </w:tc>
        <w:tc>
          <w:tcPr>
            <w:tcW w:w="2700" w:type="dxa"/>
            <w:vAlign w:val="center"/>
          </w:tcPr>
          <w:p>
            <w:pPr>
              <w:jc w:val="right"/>
            </w:pPr>
            <w:r>
              <w:rPr>
                <w:rFonts w:ascii="宋体" w:hAnsi="宋体" w:eastAsia="宋体" w:cs="宋体"/>
                <w:b w:val="0"/>
                <w:i w:val="0"/>
                <w:color w:val="000000"/>
                <w:sz w:val="25"/>
              </w:rPr>
              <w:t>1,273.99</w:t>
            </w:r>
          </w:p>
        </w:tc>
        <w:tc>
          <w:tcPr>
            <w:tcW w:w="2658" w:type="dxa"/>
            <w:vAlign w:val="center"/>
          </w:tcPr>
          <w:p>
            <w:pPr>
              <w:jc w:val="right"/>
            </w:pPr>
            <w:r>
              <w:rPr>
                <w:rFonts w:ascii="宋体" w:hAnsi="宋体" w:eastAsia="宋体" w:cs="宋体"/>
                <w:b w:val="0"/>
                <w:i w:val="0"/>
                <w:color w:val="000000"/>
                <w:sz w:val="25"/>
              </w:rPr>
              <w:t>39.43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36.58</w:t>
            </w:r>
          </w:p>
        </w:tc>
        <w:tc>
          <w:tcPr>
            <w:tcW w:w="2700" w:type="dxa"/>
            <w:vAlign w:val="center"/>
          </w:tcPr>
          <w:p>
            <w:pPr>
              <w:jc w:val="right"/>
            </w:pPr>
            <w:r>
              <w:rPr>
                <w:rFonts w:ascii="宋体" w:hAnsi="宋体" w:eastAsia="宋体" w:cs="宋体"/>
                <w:b w:val="0"/>
                <w:i w:val="0"/>
                <w:color w:val="000000"/>
                <w:sz w:val="25"/>
              </w:rPr>
              <w:t>2.71</w:t>
            </w:r>
          </w:p>
        </w:tc>
        <w:tc>
          <w:tcPr>
            <w:tcW w:w="2658" w:type="dxa"/>
            <w:vAlign w:val="center"/>
          </w:tcPr>
          <w:p>
            <w:pPr>
              <w:jc w:val="right"/>
            </w:pPr>
            <w:r>
              <w:rPr>
                <w:rFonts w:ascii="宋体" w:hAnsi="宋体" w:eastAsia="宋体" w:cs="宋体"/>
                <w:b w:val="0"/>
                <w:i w:val="0"/>
                <w:color w:val="000000"/>
                <w:sz w:val="25"/>
              </w:rPr>
              <w:t>33.87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2130104</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2,704.43</w:t>
            </w:r>
          </w:p>
        </w:tc>
        <w:tc>
          <w:tcPr>
            <w:tcW w:w="2700" w:type="dxa"/>
            <w:vAlign w:val="center"/>
          </w:tcPr>
          <w:p>
            <w:pPr>
              <w:jc w:val="right"/>
            </w:pPr>
            <w:r>
              <w:rPr>
                <w:rFonts w:ascii="宋体" w:hAnsi="宋体" w:eastAsia="宋体" w:cs="宋体"/>
                <w:b w:val="0"/>
                <w:i w:val="0"/>
                <w:color w:val="000000"/>
                <w:sz w:val="25"/>
              </w:rPr>
              <w:t>2,704.43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2130108</w:t>
            </w:r>
          </w:p>
        </w:tc>
        <w:tc>
          <w:tcPr>
            <w:tcW w:w="4700" w:type="dxa"/>
            <w:vAlign w:val="center"/>
          </w:tcPr>
          <w:p>
            <w:pPr>
              <w:jc w:val="left"/>
            </w:pPr>
            <w:r>
              <w:rPr>
                <w:rFonts w:ascii="宋体" w:hAnsi="宋体" w:eastAsia="宋体" w:cs="宋体"/>
                <w:b w:val="0"/>
                <w:i w:val="0"/>
                <w:color w:val="000000"/>
                <w:sz w:val="25"/>
              </w:rPr>
              <w:t>病虫害控制</w:t>
            </w:r>
          </w:p>
        </w:tc>
        <w:tc>
          <w:tcPr>
            <w:tcW w:w="2700" w:type="dxa"/>
            <w:vAlign w:val="center"/>
          </w:tcPr>
          <w:p>
            <w:pPr>
              <w:jc w:val="right"/>
            </w:pPr>
            <w:r>
              <w:rPr>
                <w:rFonts w:ascii="宋体" w:hAnsi="宋体" w:eastAsia="宋体" w:cs="宋体"/>
                <w:b w:val="0"/>
                <w:i w:val="0"/>
                <w:color w:val="000000"/>
                <w:sz w:val="25"/>
              </w:rPr>
              <w:t>257.33</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257.33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2130122</w:t>
            </w:r>
          </w:p>
        </w:tc>
        <w:tc>
          <w:tcPr>
            <w:tcW w:w="4700" w:type="dxa"/>
            <w:vAlign w:val="center"/>
          </w:tcPr>
          <w:p>
            <w:pPr>
              <w:jc w:val="left"/>
            </w:pPr>
            <w:r>
              <w:rPr>
                <w:rFonts w:ascii="宋体" w:hAnsi="宋体" w:eastAsia="宋体" w:cs="宋体"/>
                <w:b w:val="0"/>
                <w:i w:val="0"/>
                <w:color w:val="000000"/>
                <w:sz w:val="25"/>
              </w:rPr>
              <w:t>农业生产发展</w:t>
            </w:r>
          </w:p>
        </w:tc>
        <w:tc>
          <w:tcPr>
            <w:tcW w:w="2700" w:type="dxa"/>
            <w:vAlign w:val="center"/>
          </w:tcPr>
          <w:p>
            <w:pPr>
              <w:jc w:val="right"/>
            </w:pPr>
            <w:r>
              <w:rPr>
                <w:rFonts w:ascii="宋体" w:hAnsi="宋体" w:eastAsia="宋体" w:cs="宋体"/>
                <w:b w:val="0"/>
                <w:i w:val="0"/>
                <w:color w:val="000000"/>
                <w:sz w:val="25"/>
              </w:rPr>
              <w:t>58.25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58.25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2130135</w:t>
            </w:r>
          </w:p>
        </w:tc>
        <w:tc>
          <w:tcPr>
            <w:tcW w:w="4700" w:type="dxa"/>
            <w:vAlign w:val="center"/>
          </w:tcPr>
          <w:p>
            <w:pPr>
              <w:jc w:val="left"/>
            </w:pPr>
            <w:r>
              <w:rPr>
                <w:rFonts w:ascii="宋体" w:hAnsi="宋体" w:eastAsia="宋体" w:cs="宋体"/>
                <w:b w:val="0"/>
                <w:i w:val="0"/>
                <w:color w:val="000000"/>
                <w:sz w:val="25"/>
              </w:rPr>
              <w:t>农业资源保护修复与利用</w:t>
            </w:r>
          </w:p>
        </w:tc>
        <w:tc>
          <w:tcPr>
            <w:tcW w:w="2700" w:type="dxa"/>
            <w:vAlign w:val="center"/>
          </w:tcPr>
          <w:p>
            <w:pPr>
              <w:jc w:val="right"/>
            </w:pPr>
            <w:r>
              <w:rPr>
                <w:rFonts w:ascii="宋体" w:hAnsi="宋体" w:eastAsia="宋体" w:cs="宋体"/>
                <w:b w:val="0"/>
                <w:i w:val="0"/>
                <w:color w:val="000000"/>
                <w:sz w:val="25"/>
              </w:rPr>
              <w:t>82.76</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82.76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2130199</w:t>
            </w:r>
          </w:p>
        </w:tc>
        <w:tc>
          <w:tcPr>
            <w:tcW w:w="4700" w:type="dxa"/>
            <w:vAlign w:val="center"/>
          </w:tcPr>
          <w:p>
            <w:pPr>
              <w:jc w:val="left"/>
            </w:pPr>
            <w:r>
              <w:rPr>
                <w:rFonts w:ascii="宋体" w:hAnsi="宋体" w:eastAsia="宋体" w:cs="宋体"/>
                <w:b w:val="0"/>
                <w:i w:val="0"/>
                <w:color w:val="000000"/>
                <w:sz w:val="25"/>
              </w:rPr>
              <w:t>其他农业农村支出</w:t>
            </w:r>
          </w:p>
        </w:tc>
        <w:tc>
          <w:tcPr>
            <w:tcW w:w="2700" w:type="dxa"/>
            <w:vAlign w:val="center"/>
          </w:tcPr>
          <w:p>
            <w:pPr>
              <w:jc w:val="right"/>
            </w:pPr>
            <w:r>
              <w:rPr>
                <w:rFonts w:ascii="宋体" w:hAnsi="宋体" w:eastAsia="宋体" w:cs="宋体"/>
                <w:b w:val="0"/>
                <w:i w:val="0"/>
                <w:color w:val="000000"/>
                <w:sz w:val="25"/>
              </w:rPr>
              <w:t>23.83</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23.83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21302</w:t>
            </w:r>
          </w:p>
        </w:tc>
        <w:tc>
          <w:tcPr>
            <w:tcW w:w="4700" w:type="dxa"/>
            <w:vAlign w:val="center"/>
          </w:tcPr>
          <w:p>
            <w:pPr>
              <w:jc w:val="left"/>
            </w:pPr>
            <w:r>
              <w:rPr>
                <w:rFonts w:ascii="宋体" w:hAnsi="宋体" w:eastAsia="宋体" w:cs="宋体"/>
                <w:b w:val="0"/>
                <w:i w:val="0"/>
                <w:color w:val="000000"/>
                <w:sz w:val="25"/>
              </w:rPr>
              <w:t>林业和草原</w:t>
            </w:r>
          </w:p>
        </w:tc>
        <w:tc>
          <w:tcPr>
            <w:tcW w:w="2700" w:type="dxa"/>
            <w:vAlign w:val="center"/>
          </w:tcPr>
          <w:p>
            <w:pPr>
              <w:jc w:val="right"/>
            </w:pPr>
            <w:r>
              <w:rPr>
                <w:rFonts w:ascii="宋体" w:hAnsi="宋体" w:eastAsia="宋体" w:cs="宋体"/>
                <w:b w:val="0"/>
                <w:i w:val="0"/>
                <w:color w:val="000000"/>
                <w:sz w:val="25"/>
              </w:rPr>
              <w:t>19.72</w:t>
            </w:r>
          </w:p>
        </w:tc>
        <w:tc>
          <w:tcPr>
            <w:tcW w:w="2700" w:type="dxa"/>
            <w:vAlign w:val="center"/>
          </w:tcPr>
          <w:p>
            <w:pPr>
              <w:jc w:val="right"/>
            </w:pPr>
            <w:r>
              <w:rPr>
                <w:rFonts w:ascii="宋体" w:hAnsi="宋体" w:eastAsia="宋体" w:cs="宋体"/>
                <w:b w:val="0"/>
                <w:i w:val="0"/>
                <w:color w:val="000000"/>
                <w:sz w:val="25"/>
              </w:rPr>
              <w:t>19.72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19.72</w:t>
            </w:r>
          </w:p>
        </w:tc>
        <w:tc>
          <w:tcPr>
            <w:tcW w:w="2700" w:type="dxa"/>
            <w:vAlign w:val="center"/>
          </w:tcPr>
          <w:p>
            <w:pPr>
              <w:jc w:val="right"/>
            </w:pPr>
            <w:r>
              <w:rPr>
                <w:rFonts w:ascii="宋体" w:hAnsi="宋体" w:eastAsia="宋体" w:cs="宋体"/>
                <w:b w:val="0"/>
                <w:i w:val="0"/>
                <w:color w:val="000000"/>
                <w:sz w:val="25"/>
              </w:rPr>
              <w:t>19.72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4.38</w:t>
            </w:r>
          </w:p>
        </w:tc>
        <w:tc>
          <w:tcPr>
            <w:tcW w:w="2700" w:type="dxa"/>
            <w:vAlign w:val="center"/>
          </w:tcPr>
          <w:p>
            <w:pPr>
              <w:jc w:val="right"/>
            </w:pPr>
            <w:r>
              <w:rPr>
                <w:rFonts w:ascii="宋体" w:hAnsi="宋体" w:eastAsia="宋体" w:cs="宋体"/>
                <w:b w:val="0"/>
                <w:i w:val="0"/>
                <w:color w:val="000000"/>
                <w:sz w:val="25"/>
              </w:rPr>
              <w:t>4.38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1.88</w:t>
            </w:r>
          </w:p>
        </w:tc>
        <w:tc>
          <w:tcPr>
            <w:tcW w:w="2700" w:type="dxa"/>
            <w:vAlign w:val="center"/>
          </w:tcPr>
          <w:p>
            <w:pPr>
              <w:jc w:val="right"/>
            </w:pPr>
            <w:r>
              <w:rPr>
                <w:rFonts w:ascii="宋体" w:hAnsi="宋体" w:eastAsia="宋体" w:cs="宋体"/>
                <w:b w:val="0"/>
                <w:i w:val="0"/>
                <w:color w:val="000000"/>
                <w:sz w:val="25"/>
              </w:rPr>
              <w:t>1.88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2.50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21399</w:t>
            </w:r>
          </w:p>
        </w:tc>
        <w:tc>
          <w:tcPr>
            <w:tcW w:w="4700" w:type="dxa"/>
            <w:vAlign w:val="center"/>
          </w:tcPr>
          <w:p>
            <w:pPr>
              <w:jc w:val="left"/>
            </w:pPr>
            <w:r>
              <w:rPr>
                <w:rFonts w:ascii="宋体" w:hAnsi="宋体" w:eastAsia="宋体" w:cs="宋体"/>
                <w:b w:val="0"/>
                <w:i w:val="0"/>
                <w:color w:val="000000"/>
                <w:sz w:val="25"/>
              </w:rPr>
              <w:t>其他农林水支出</w:t>
            </w:r>
          </w:p>
        </w:tc>
        <w:tc>
          <w:tcPr>
            <w:tcW w:w="2700" w:type="dxa"/>
            <w:vAlign w:val="center"/>
          </w:tcPr>
          <w:p>
            <w:pPr>
              <w:jc w:val="right"/>
            </w:pPr>
            <w:r>
              <w:rPr>
                <w:rFonts w:ascii="宋体" w:hAnsi="宋体" w:eastAsia="宋体" w:cs="宋体"/>
                <w:b w:val="0"/>
                <w:i w:val="0"/>
                <w:color w:val="000000"/>
                <w:sz w:val="25"/>
              </w:rPr>
              <w:t>9.05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9.05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2139999</w:t>
            </w:r>
          </w:p>
        </w:tc>
        <w:tc>
          <w:tcPr>
            <w:tcW w:w="4700" w:type="dxa"/>
            <w:vAlign w:val="center"/>
          </w:tcPr>
          <w:p>
            <w:pPr>
              <w:jc w:val="left"/>
            </w:pPr>
            <w:r>
              <w:rPr>
                <w:rFonts w:ascii="宋体" w:hAnsi="宋体" w:eastAsia="宋体" w:cs="宋体"/>
                <w:b w:val="0"/>
                <w:i w:val="0"/>
                <w:color w:val="000000"/>
                <w:sz w:val="25"/>
              </w:rPr>
              <w:t>其他农林水支出</w:t>
            </w:r>
          </w:p>
        </w:tc>
        <w:tc>
          <w:tcPr>
            <w:tcW w:w="2700" w:type="dxa"/>
            <w:vAlign w:val="center"/>
          </w:tcPr>
          <w:p>
            <w:pPr>
              <w:jc w:val="right"/>
            </w:pPr>
            <w:r>
              <w:rPr>
                <w:rFonts w:ascii="宋体" w:hAnsi="宋体" w:eastAsia="宋体" w:cs="宋体"/>
                <w:b w:val="0"/>
                <w:i w:val="0"/>
                <w:color w:val="000000"/>
                <w:sz w:val="25"/>
              </w:rPr>
              <w:t>9.05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9.05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256.26</w:t>
            </w:r>
          </w:p>
        </w:tc>
        <w:tc>
          <w:tcPr>
            <w:tcW w:w="2700" w:type="dxa"/>
            <w:vAlign w:val="center"/>
          </w:tcPr>
          <w:p>
            <w:pPr>
              <w:jc w:val="right"/>
            </w:pPr>
            <w:r>
              <w:rPr>
                <w:rFonts w:ascii="宋体" w:hAnsi="宋体" w:eastAsia="宋体" w:cs="宋体"/>
                <w:b w:val="0"/>
                <w:i w:val="0"/>
                <w:color w:val="000000"/>
                <w:sz w:val="25"/>
              </w:rPr>
              <w:t>256.26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256.26</w:t>
            </w:r>
          </w:p>
        </w:tc>
        <w:tc>
          <w:tcPr>
            <w:tcW w:w="2700" w:type="dxa"/>
            <w:vAlign w:val="center"/>
          </w:tcPr>
          <w:p>
            <w:pPr>
              <w:jc w:val="right"/>
            </w:pPr>
            <w:r>
              <w:rPr>
                <w:rFonts w:ascii="宋体" w:hAnsi="宋体" w:eastAsia="宋体" w:cs="宋体"/>
                <w:b w:val="0"/>
                <w:i w:val="0"/>
                <w:color w:val="000000"/>
                <w:sz w:val="25"/>
              </w:rPr>
              <w:t>256.26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256.26</w:t>
            </w:r>
          </w:p>
        </w:tc>
        <w:tc>
          <w:tcPr>
            <w:tcW w:w="2700" w:type="dxa"/>
            <w:vAlign w:val="center"/>
          </w:tcPr>
          <w:p>
            <w:pPr>
              <w:jc w:val="right"/>
            </w:pPr>
            <w:r>
              <w:rPr>
                <w:rFonts w:ascii="宋体" w:hAnsi="宋体" w:eastAsia="宋体" w:cs="宋体"/>
                <w:b w:val="0"/>
                <w:i w:val="0"/>
                <w:color w:val="000000"/>
                <w:sz w:val="25"/>
              </w:rPr>
              <w:t>256.26</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部门：许昌市农业农村局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4,340.28</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381.40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1,195.33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67.41</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835.50</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11.96</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1,134.71</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0.94</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13.95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350.82</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1.89</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12.73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274.66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21.64</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1.67</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10.24</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131.86</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1.88</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43.11</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16.42</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14.15</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50.14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258.13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5.74</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100.33</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811.88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3.23</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60.29</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2.24</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677.53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1.98</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1.78</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53.83</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11.82</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7.95</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22.64</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24.46</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26.23</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30.38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63.36</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8.40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0.02</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8.87</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5,152.16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395.35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部门：许昌市农业农村局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部门：许昌市农业农村局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部门：许昌市农业农村局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32.60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30.62</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30.62</w:t>
            </w:r>
          </w:p>
        </w:tc>
        <w:tc>
          <w:tcPr>
            <w:tcW w:w="1160" w:type="dxa"/>
            <w:vAlign w:val="center"/>
          </w:tcPr>
          <w:p>
            <w:pPr>
              <w:jc w:val="right"/>
            </w:pPr>
            <w:r>
              <w:rPr>
                <w:rFonts w:ascii="宋体" w:hAnsi="宋体" w:eastAsia="宋体" w:cs="宋体"/>
                <w:b w:val="0"/>
                <w:i w:val="0"/>
                <w:color w:val="000000"/>
                <w:sz w:val="17"/>
              </w:rPr>
              <w:t>1.98</w:t>
            </w:r>
          </w:p>
        </w:tc>
        <w:tc>
          <w:tcPr>
            <w:tcW w:w="1160" w:type="dxa"/>
            <w:vAlign w:val="center"/>
          </w:tcPr>
          <w:p>
            <w:pPr>
              <w:jc w:val="right"/>
            </w:pPr>
            <w:r>
              <w:rPr>
                <w:rFonts w:ascii="宋体" w:hAnsi="宋体" w:eastAsia="宋体" w:cs="宋体"/>
                <w:b w:val="0"/>
                <w:i w:val="0"/>
                <w:color w:val="000000"/>
                <w:sz w:val="17"/>
              </w:rPr>
              <w:t>32.50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30.52</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30.52</w:t>
            </w:r>
          </w:p>
        </w:tc>
        <w:tc>
          <w:tcPr>
            <w:tcW w:w="1198" w:type="dxa"/>
            <w:vAlign w:val="center"/>
          </w:tcPr>
          <w:p>
            <w:pPr>
              <w:jc w:val="right"/>
            </w:pPr>
            <w:r>
              <w:rPr>
                <w:rFonts w:ascii="宋体" w:hAnsi="宋体" w:eastAsia="宋体" w:cs="宋体"/>
                <w:b w:val="0"/>
                <w:i w:val="0"/>
                <w:color w:val="000000"/>
                <w:sz w:val="17"/>
              </w:rPr>
              <w:t>1.98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2023年度收、支总计均为6084.98万元。与上年度相比，收、支总计各减少670.97万元，下降9.93%。主要原因是厉行节约，本年度基本支出和项目支出减少。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6021.58万元，其中：财政拨款收入6021.57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2023年度支出合计6052.73万元，其中：基本支出5547.51万元，占91.65%；项目支出505.22万元，占8.35%；上缴上级支出0.00万元，占0.00%；经营支出0.00万元，占0.00%；对附属单位补助支出0.00万元，占0.00%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2023年度财政拨款收、支总计均为6052.05万元。与上年度相比，财政拨款收、支总计各减少669.85万元，下降9.97%。主要原因是厉行节约，本年度基本支出和项目支出减少。</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2023年度一般公共预算财政拨款支出6052.05万元，占支出合计的99.99%。与上年度相比，一般公共预算财政拨款支出减少669.85万元，下降9.97%。主要原因是厉行节约，本年度基本支出和项目支出减少。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6052.05万元，主要用于以下方面：一般公共服务支出（类）48.93万元，占0.81%；社会保障和就业支出（类）1060.29万元，占17.52%；卫生健康支出（类）176.81万元，占2.92%；农林水支出（类）4509.77万元，占74.52%；住房保障支出（类）256.26万元，占4.23%</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2023年度一般公共预算财政拨款支出年初预算为7149.46万元，支出决算为6052.05万元，完成年初预算的84.65%。其中：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1.一般公共服务支出（类）人大事务（款）事业运行（项）</w:t>
      </w:r>
      <w:r>
        <w:rPr>
          <w:rFonts w:hint="default" w:ascii="仿宋" w:hAnsi="仿宋" w:eastAsia="仿宋" w:cs="仿宋"/>
          <w:kern w:val="0"/>
          <w:sz w:val="32"/>
          <w:szCs w:val="32"/>
          <w:lang w:val="en-US" w:eastAsia="zh-CN"/>
        </w:rPr>
        <w:t>年初预算数为0.00万元，决算数5.78万元,决算数与年初预算数存在差异的主要原因是年中追加事业运行经费。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0"/>
          <w:sz w:val="32"/>
          <w:szCs w:val="32"/>
          <w:lang w:val="en-US" w:eastAsia="zh-CN"/>
        </w:rPr>
        <w:t>年初预算数为24.46万元，决算数24.46万元,完成年初预算的100.00%，决算数与年初预算数不存在差异。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0"/>
          <w:sz w:val="32"/>
          <w:szCs w:val="32"/>
          <w:lang w:val="en-US" w:eastAsia="zh-CN"/>
        </w:rPr>
        <w:t>年初预算数为13.20万元，决算数18.69万元,完成年初预算的141.59%，决算数与年初预算数存在差异的主要原因是年中追加人员经费。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0"/>
          <w:sz w:val="32"/>
          <w:szCs w:val="32"/>
          <w:lang w:val="en-US" w:eastAsia="zh-CN"/>
        </w:rPr>
        <w:t>年初预算数为298.16万元，决算数360.82万元,完成年初预算的121.02%，决算数与年初预算数存在差异的主要原因是在职人员转退休和退休补助调整。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5.社会保障和就业支出（类）行政事业单位养老支出（款）事业单位离退休（项）</w:t>
      </w:r>
      <w:r>
        <w:rPr>
          <w:rFonts w:hint="default" w:ascii="仿宋" w:hAnsi="仿宋" w:eastAsia="仿宋" w:cs="仿宋"/>
          <w:kern w:val="0"/>
          <w:sz w:val="32"/>
          <w:szCs w:val="32"/>
          <w:lang w:val="en-US" w:eastAsia="zh-CN"/>
        </w:rPr>
        <w:t>年初预算数为345.35万元，决算数368.13万元,完成年初预算的106.60%，决算数与年初预算数存在差异的主要原因是在职人员转退休和退休补助调整。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年初预算数为276.00万元，决算数271.88万元,完成年初预算的98.51%，决算数与年初预算数存在差异的主要原因是在职人员调整。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7.社会保障和就业支出（类）就业补助（款）其他就业补助支出（项）</w:t>
      </w:r>
      <w:r>
        <w:rPr>
          <w:rFonts w:hint="default" w:ascii="仿宋" w:hAnsi="仿宋" w:eastAsia="仿宋" w:cs="仿宋"/>
          <w:kern w:val="0"/>
          <w:sz w:val="32"/>
          <w:szCs w:val="32"/>
          <w:lang w:val="en-US" w:eastAsia="zh-CN"/>
        </w:rPr>
        <w:t>年初预算数为0.00万元，决算数5.63万元,决算数与年初预算数存在差异的主要原因是年底公益岗人员工资转为用人单位代发。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8.社会保障和就业支出（类）抚恤（款）死亡抚恤（项）</w:t>
      </w:r>
      <w:r>
        <w:rPr>
          <w:rFonts w:hint="default" w:ascii="仿宋" w:hAnsi="仿宋" w:eastAsia="仿宋" w:cs="仿宋"/>
          <w:kern w:val="0"/>
          <w:sz w:val="32"/>
          <w:szCs w:val="32"/>
          <w:lang w:val="en-US" w:eastAsia="zh-CN"/>
        </w:rPr>
        <w:t>年初预算数为0.00万元，决算数53.83万元,决算数与年初预算数存在差异的主要原因是一名退休人员去世，年中追加死亡丧葬费、抚恤金。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9.卫生健康支出（类）行政事业单位医疗（款）行政单位医疗（项）</w:t>
      </w:r>
      <w:r>
        <w:rPr>
          <w:rFonts w:hint="default" w:ascii="仿宋" w:hAnsi="仿宋" w:eastAsia="仿宋" w:cs="仿宋"/>
          <w:kern w:val="0"/>
          <w:sz w:val="32"/>
          <w:szCs w:val="32"/>
          <w:lang w:val="en-US" w:eastAsia="zh-CN"/>
        </w:rPr>
        <w:t>年初预算数为40.54万元，决算数41.04万元,完成年初预算的101.23%，决算数与年初预算数存在差异的主要原因是行政单位在职人员调整。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10.卫生健康支出（类）行政事业单位医疗（款）事业单位医疗（项）</w:t>
      </w:r>
      <w:r>
        <w:rPr>
          <w:rFonts w:hint="default" w:ascii="仿宋" w:hAnsi="仿宋" w:eastAsia="仿宋" w:cs="仿宋"/>
          <w:kern w:val="0"/>
          <w:sz w:val="32"/>
          <w:szCs w:val="32"/>
          <w:lang w:val="en-US" w:eastAsia="zh-CN"/>
        </w:rPr>
        <w:t>年初预算数为97.93万元，决算数92.65万元,完成年初预算的94.61%，决算数与年初预算数存在差异的主要原因是存在事业单位在职人员转退休。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11.卫生健康支出（类）行政事业单位医疗（款）公务员医疗补助（项）</w:t>
      </w:r>
      <w:r>
        <w:rPr>
          <w:rFonts w:hint="default" w:ascii="仿宋" w:hAnsi="仿宋" w:eastAsia="仿宋" w:cs="仿宋"/>
          <w:kern w:val="0"/>
          <w:sz w:val="32"/>
          <w:szCs w:val="32"/>
          <w:lang w:val="en-US" w:eastAsia="zh-CN"/>
        </w:rPr>
        <w:t>年初预算数为45.04万元，决算数43.11万元,完成年初预算的95.71%，决算数与年初预算数存在差异的主要原因是本年度基本医疗保险基数调整。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12.农林水支出（类）农业农村（款）行政运行（项）</w:t>
      </w:r>
      <w:r>
        <w:rPr>
          <w:rFonts w:hint="default" w:ascii="仿宋" w:hAnsi="仿宋" w:eastAsia="仿宋" w:cs="仿宋"/>
          <w:kern w:val="0"/>
          <w:sz w:val="32"/>
          <w:szCs w:val="32"/>
          <w:lang w:val="en-US" w:eastAsia="zh-CN"/>
        </w:rPr>
        <w:t>年初预算数为2776.59万元，决算数1313.43万元,完成年初预算的47.30%，决算数与年初预算数存在差异的主要原因是年初预算列支的为拨付县级配套资金，决算不列入局本级支出。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13.农林水支出（类）农业农村（款）一般行政管理事务（项）</w:t>
      </w:r>
      <w:r>
        <w:rPr>
          <w:rFonts w:hint="default" w:ascii="仿宋" w:hAnsi="仿宋" w:eastAsia="仿宋" w:cs="仿宋"/>
          <w:kern w:val="0"/>
          <w:sz w:val="32"/>
          <w:szCs w:val="32"/>
          <w:lang w:val="en-US" w:eastAsia="zh-CN"/>
        </w:rPr>
        <w:t>年初预算数为0.00万元，决算数36.58万元,决算数与年初预算数存在差异的主要原因是使用上年结转的农业展会经费，未列入当年预算。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14.农林水支出（类）农业农村（款）事业运行（项）</w:t>
      </w:r>
      <w:r>
        <w:rPr>
          <w:rFonts w:hint="default" w:ascii="仿宋" w:hAnsi="仿宋" w:eastAsia="仿宋" w:cs="仿宋"/>
          <w:kern w:val="0"/>
          <w:sz w:val="32"/>
          <w:szCs w:val="32"/>
          <w:lang w:val="en-US" w:eastAsia="zh-CN"/>
        </w:rPr>
        <w:t>年初预算数为2599.35万元，决算数2704.43万元,完成年初预算的104.04%，决算数与年初预算数存在差异的主要原因是存在晋级晋档人员经费支出增加。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15.农林水支出（类）农业农村（款）病虫害控制（项）</w:t>
      </w:r>
      <w:r>
        <w:rPr>
          <w:rFonts w:hint="default" w:ascii="仿宋" w:hAnsi="仿宋" w:eastAsia="仿宋" w:cs="仿宋"/>
          <w:kern w:val="0"/>
          <w:sz w:val="32"/>
          <w:szCs w:val="32"/>
          <w:lang w:val="en-US" w:eastAsia="zh-CN"/>
        </w:rPr>
        <w:t>年初预算数为100.00万元，决算数257.33万元,完成年初预算的257.33%，决算数与年初预算数存在差异的主要原因是使用部分上年结转疫苗款，未列入当年预算。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16.农林水支出（类）农业农村（款）农业生产发展（项）</w:t>
      </w:r>
      <w:r>
        <w:rPr>
          <w:rFonts w:hint="default" w:ascii="仿宋" w:hAnsi="仿宋" w:eastAsia="仿宋" w:cs="仿宋"/>
          <w:kern w:val="0"/>
          <w:sz w:val="32"/>
          <w:szCs w:val="32"/>
          <w:lang w:val="en-US" w:eastAsia="zh-CN"/>
        </w:rPr>
        <w:t>年初预算数为0.00万元，决算数58.25万元,决算数与年初预算数存在差异的主要原因是使用上年结转与当年上级财政补款，未列入当年预算。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17.农林水支出（类）农业农村（款）农业资源保护修复与利用（项）</w:t>
      </w:r>
      <w:r>
        <w:rPr>
          <w:rFonts w:hint="default" w:ascii="仿宋" w:hAnsi="仿宋" w:eastAsia="仿宋" w:cs="仿宋"/>
          <w:kern w:val="0"/>
          <w:sz w:val="32"/>
          <w:szCs w:val="32"/>
          <w:lang w:val="en-US" w:eastAsia="zh-CN"/>
        </w:rPr>
        <w:t>年初预算数为0.00万元，决算数82.76万元,决算数与年初预算数存在差异的主要原因是当年新增项目，年初无预算。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18.农林水支出（类）农业农村（款）其他农业农村支出（项）</w:t>
      </w:r>
      <w:r>
        <w:rPr>
          <w:rFonts w:hint="default" w:ascii="仿宋" w:hAnsi="仿宋" w:eastAsia="仿宋" w:cs="仿宋"/>
          <w:kern w:val="0"/>
          <w:sz w:val="32"/>
          <w:szCs w:val="32"/>
          <w:lang w:val="en-US" w:eastAsia="zh-CN"/>
        </w:rPr>
        <w:t>年初预算数为150.00万元，决算数23.83万元,完成年初预算的15.89%，决算数与年初预算数存在差异的主要原因是疫苗款当年不支付，第二年据实结算支付。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19.农林水支出（类）林业和草原（款）行政运行（项）</w:t>
      </w:r>
      <w:r>
        <w:rPr>
          <w:rFonts w:hint="default" w:ascii="仿宋" w:hAnsi="仿宋" w:eastAsia="仿宋" w:cs="仿宋"/>
          <w:kern w:val="0"/>
          <w:sz w:val="32"/>
          <w:szCs w:val="32"/>
          <w:lang w:val="en-US" w:eastAsia="zh-CN"/>
        </w:rPr>
        <w:t>年初预算数为0.00万元，决算数19.72万元,决算数与年初预算数存在差异的主要原因是年中追加人员经费。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20.农林水支出（类）巩固脱贫攻坚成果衔接乡村振兴（款）行政运行（项）</w:t>
      </w:r>
      <w:r>
        <w:rPr>
          <w:rFonts w:hint="default" w:ascii="仿宋" w:hAnsi="仿宋" w:eastAsia="仿宋" w:cs="仿宋"/>
          <w:kern w:val="0"/>
          <w:sz w:val="32"/>
          <w:szCs w:val="32"/>
          <w:lang w:val="en-US" w:eastAsia="zh-CN"/>
        </w:rPr>
        <w:t>年初预算数为0.00万元，决算数1.88万元,决算数与年初预算数存在差异的主要原因是年中追加巩固脱贫攻坚经费。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21.农林水支出（类）巩固脱贫攻坚成果衔接乡村振兴（款）一般行政管理事务（项）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年初预算数为0.00万元，决算数2.50万元,决算数与年初预算数存在差异的主要原因是年中追加巩固脱贫攻坚经费。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22.农林水支出（类）其他农林水支出（款）其他农林水支出（项）</w:t>
      </w:r>
      <w:r>
        <w:rPr>
          <w:rFonts w:hint="default" w:ascii="仿宋" w:hAnsi="仿宋" w:eastAsia="仿宋" w:cs="仿宋"/>
          <w:kern w:val="0"/>
          <w:sz w:val="32"/>
          <w:szCs w:val="32"/>
          <w:lang w:val="en-US" w:eastAsia="zh-CN"/>
        </w:rPr>
        <w:t>年初预算数为9.10万元，决算数9.05万元,完成年初预算的99.45%，决算数与年初预算数存在差异的主要原因是上级追加项目经费，年初无预算。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23.住房保障支出（类）住房改革支出（款）住房公积金（项）</w:t>
      </w:r>
      <w:r>
        <w:rPr>
          <w:rFonts w:hint="default" w:ascii="仿宋" w:hAnsi="仿宋" w:eastAsia="仿宋" w:cs="仿宋"/>
          <w:kern w:val="0"/>
          <w:sz w:val="32"/>
          <w:szCs w:val="32"/>
          <w:lang w:val="en-US" w:eastAsia="zh-CN"/>
        </w:rPr>
        <w:t>年初预算数为263.75万元，决算数256.26万元,完成年初预算的97.16%，决算数与年初预算数存在差异的主要原因是在职人员调整。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5547.51万元。其中：人员经费5152.16万元，主要包括：基本工资、津贴补贴、奖金、绩效工资、机关事业单位基本养老保险缴费、职业年金缴费、职工基本医疗保险缴费、公务员医疗补助缴费、其他社会保障缴费、住房公积金、其他工资福利支出、离休费、退休费、抚恤金、生活补助、其他对个人和家庭的补助支出。公用经费395.35万元，主要包括：办公费、印刷费、咨询费、水费、电费、邮电费、取暖费、物业管理费、差旅费、维修（护）费、会议费、培训费、公务接待费、专用材料费、劳务费、委托业务费、工会经费、福利费、公务用车运行维护费、其他交通费用、税金及附加费用、其他商品和服务支出、办公设备购置、其他资本性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2023年度“三公”经费财政拨款支出预算为32.60万元，支出决算为32.50万元，完成预算的99.69%。2023年度“三公”经费支出决算数与预算数存在差异的主要原因是厉行节约，减少开支。</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30.52万元,完成预算的99.67%，占93.91%；公务接待费支出决算1.98万元，完成预算的100.00%，占6.09%。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预算为30.62万元，支出决算为30.52万元，完成预算的99.67%。决算数与预算数存在差异的主要原因是厉行节约，减少开支。其中：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30.52万元。主要用于公务用车使用及维护保养。2023年期末，部门开支财政拨款的公务用车保有量为</w:t>
      </w:r>
      <w:r>
        <w:rPr>
          <w:rFonts w:hint="eastAsia" w:ascii="仿宋" w:hAnsi="仿宋" w:eastAsia="仿宋" w:cs="仿宋"/>
          <w:kern w:val="2"/>
          <w:sz w:val="32"/>
          <w:szCs w:val="32"/>
          <w:lang w:val="en-US" w:eastAsia="zh-CN"/>
        </w:rPr>
        <w:t>17</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预算为1.98万元，支出决算为1.98万元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1.98</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主要用于接待会议举办、考察调研、执行任务、学习交流、检查指导、请示汇报工作等公务活动。</w:t>
      </w:r>
      <w:r>
        <w:rPr>
          <w:rFonts w:hint="eastAsia" w:ascii="仿宋" w:hAnsi="仿宋" w:eastAsia="仿宋" w:cs="仿宋"/>
          <w:kern w:val="0"/>
          <w:sz w:val="32"/>
          <w:szCs w:val="32"/>
          <w:lang w:val="en-US" w:eastAsia="zh-CN"/>
        </w:rPr>
        <w:t>2023年共接待国内来访团组20个、来宾192人次（不包括陪同人员）。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2023年度机关运行经费支出222.27万元，较2022年度增长6.34万元，增长2.94%，主要原因是本单位业务量增加。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44.91万元，其中：政府采购货物支出44.91万元、政府采购工程支出0.00万元、政府采购服务支出0.00万元。授予中小企业合同金额44.48万元，占政府采购支出总额的99.04%，其中：授予小微企业合同金额44.48万元，占授予中小企业合同金额的100.00%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2023年期末，本部门共有车辆14辆，其中：省级领导干部用车0辆、主要领导干部用车0辆、机要通信用车2辆、应急保障车0辆、执法执勤用车2辆、特种专业技术用车1</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辆、离退休干部用车2辆、其他用车7辆；单价100万元（含）以上设备（不含车辆）2台（套）。财政拨款的公务用车保有量与国有资产车辆差异原因:存在二级单位年末车辆从原单位划拨到其他单位。</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涉及预算资金6084.98万元。自评得分为100分，等级为“优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。从部门整体自评情况来看，2023年单位整体工作均达到设置的绩效目标。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基于项目预期目标的实现程度，我部门对2023年度部门预算项目支出（含部门参与分配的转移支付项目）开展绩效自评，涉及项目21个，项目金额1368.97万元。其中：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农作物病虫害防治，自评得分为100分，等级为“优”。该项目完成情况良好，达到预算设定绩效目标，通过使用防治资金，用于支持组织实施重大病虫害疫情监测预警与防治统治，最大限度挽回因病虫害造成的粮食减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提前下达2023年中央财政农业相关转移支付资金，自评得分为91.81分，等级为“优”。该项目完成情况良好，达到预算设定绩效目标，强制免疫病种应免畜禽的免疫密度≥90%，除布病外其他病种的平均免疫抗体合格率≥70%，本年度未发生重大动物疫情。</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（3）农作物病虫害防治，自评得分为100分，等级为“优”。该项目完成情况良好，达到预算设定绩效目标，有效支持农作物病虫害防控，不出现大面积成灾，有力保障粮食安全。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2023年高标准农田项目市级配套资金，自评得分为88.19分，等级为“良”。该项目完成情况良好，达到预算设定绩效目标，新建高标准农田2.3万亩，提升改造1.35万亩。通过项目建设，有效改善项目区农田基础设施条件，提升耕地质量，提高粮食综合生产能力。由于该项目年初预算列支的为拨付县级配套资金，故决算不列入局本级支出，导致资金执行率较低。</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国际农产品交易会参展工作经费，自评得分为98.14分，等级为“优”。该项目完成情况良好，达到预算设定绩效目标，通过农产品交易会参展工作，有效展示我市优势农产品，扩大特色优势农产品的知名度和品牌影响力，扩宽市场销售渠道。</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秸秆禁烧及综合利用工作经费，自评得分为96.6分，等级为“优”。该项目完成情况良好，达到预算设定绩效目标，通过建设秸秆禁烧监控体系，加强网格监督员巡查，奖励有效举报和宣传等，实现秸秆焚烧火点数量不断下降，降低因秸秆焚烧造成的大气污染程度，持续保护环境、改善空气质量。</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农业展会参展经费，自评得分为85.87分，等级为“良”。该项目完成情况良好，达到预算设定绩效目标，有效展示了我市优势农产品，扩大了特色优势农产品的知名度和品牌影响力，有效拓宽市场销售渠道。存在不足为资金支付率较低，原因是未达到支付条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2023年重大动物疫情应急专项储备金，自评得分为85.73分，等级为“良”。该项目完成情况良好，达到预算设定绩效目标，能够有效预防控制并及时处置重大动物疫情。存在不足为资金支付率较低，原因是未达到支付条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（9）提前下达2023年中央财政农业相关转移支付资金 ，自评得分为80.51分，等级为“良”。该项目完成情况良好，达到预算设定绩效目标，强制免疫病种应免畜禽的免疫密度≥90%，除布病外其他病种的平均免疫抗体合格率≥70%，未发生重大动物疫情。存在不足为资金支付率较低，原因是未达到支付条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农业生产发展资金，自评得分为98分，等级为“优”。该项目完成情况良好，达到预算设定绩效目标，通过开展农作物新品种试验、展示示范等，加快优良新品种的推广应用，带动我市粮食生产水平的提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（11）农业资源保护修复与利用项目,自评得分为99分，等级为“优”。完成取土化验25个，田间肥效实验7个，制定主要农作物施肥指导意见3个，群众满意度90%以上，农业资源保护修复与利用化肥减量增效显著。</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（12）其他农业农村支出化肥减量增效项目,自评得分为99分，等级为“优”。完成取土化验20个，田间肥效实验4个，制定主要农作物施肥指导意见3个，群众满意度99%，化肥减量增效显著。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（13）耕地土壤污染预警专项经费，自评得分为9.5分，等级为“优”。完成布设耕地土壤点位100个，采集、分析土壤样品100份，耕地土壤年度监测报告1份，项目实施区域群众满意度达到95%以上。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（14）农业资源与生态保护专项经费，自评得分9.6 分，等级为“优”。完成沼肥、土壤、农产品采集样品10个，项目区农作物产能增长率和有机肥使用增长率均达到5%以上，项目实施区域群众满意度达到95%以上。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农作物病虫害防治，项目金额30万元，自评得分为94.68分，等级为“优”。该项目主要是保证农作物损失减少，通过使用防治资金，用于支持组织实施重大病虫疫情监测预警与统防统治，最大限度挽回因病虫危害造成的粮食减产，自评发现的问题；1.市、县测报专业人员少，经费少，一人担任多项职责，导致测报工作步步维艰。2.秋物种类多，病虫综合防治能力和统防统治能力有待进一步提高。下一步改进；1.增强技术力量，稳定测报队伍，开展专业技术培训，培养技术中坚。2.加快推进统防统治和绿色防控相融合工作，有效解决农药使用提效控量，确保农产品质量安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2023年中央财政农业防灾减灾补助资金，自评得分为94.68，等级为“优”。下半年，在各级领导和上级业务部门的重视、支持和指导下，我市认真贯彻“科学植保、公共植保、绿色植保”理念，以农业稳定发展、农民持续增收为目标，探索农药科学减量使用，保障农业生产安全为宗旨，努力搞好业务工作，广泛宣传培训，认真试验示范，圆满完成了各项目标任务，病虫害测报防治工作成效显著。自评发现的问题；1.市、县测报专业人员少，经费少，一人担任多项职责，导致测报工作步步维艰。2.秋物种类多，病虫综合防治能力和统防统治能力有待进一步提高。下一步改进；1.增强技术力量，稳定测报队伍，开展专业技术培训，培养技术中坚。2.加快推进统防统治和绿色防控相融合工作，有效解决农药使用提效控量，确保农产品质量安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动物疫情监测补助项目，自评得分为92分，等级为“优”。动物疫情监测补助项目基于项目预期目标的实现程度，我单位对2023年度单位预算项目支出（含单位参与分配的转移支付）开展进行绩效自评，涉及项目1个，项目金额25万元。口蹄疫等主要动物疫病监测检验≧4270项次；完成强制免疫病种应免疫畜禽的密度≧97.00%；使口蹄疫、高致病性禽流感、布病等优先防治病种疫情保持平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（18）提前下达2023年中央财政农业相关转移支付资金，自评得分为96分，等级为“优”。本项目预算执行情况良好，完成目标任务，存在问题为项目开始执行时间较晚，下一步应尽早开始执行项目。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（19）强制免疫、强制扑杀和销毁、养殖环节无害化处理补助，自评得分为100分，等级为“优”。本项目经济成本总额度控制严格，经费使用及时，产生了良好的社会效益和生态效益。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奶牛品种登记，自评得分为98分，等级为“优”。我单位年初奶牛品种登记任务1200头，实际全年共计完成奶牛品种登记1441头，完成任务比例120.08%，在省站每月公布的进度中，多次排名前列。通过开展奶牛品种登记，科学指导生产，实现奶牛场信息化管理，企业的工作效率和经济效益得到提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（21</w:t>
      </w:r>
      <w:bookmarkStart w:id="0" w:name="_GoBack"/>
      <w:bookmarkEnd w:id="0"/>
      <w:r>
        <w:rPr>
          <w:rFonts w:hint="eastAsia" w:ascii="仿宋" w:hAnsi="仿宋" w:eastAsia="仿宋" w:cs="仿宋"/>
          <w:kern w:val="0"/>
          <w:sz w:val="32"/>
          <w:szCs w:val="32"/>
          <w:lang w:val="en-US" w:eastAsia="zh-CN"/>
        </w:rPr>
        <w:t>）农产品质量安全检测专项经费项目，自评得分为98.5分，等级为“优”。农产品质量安全检测专项经费项目资金安排科学、拨付合规、使用规范、预算绩效管理合规、预算执行率为100%，在12月前共完成抽检样品90个，服务对象生态意识逐步提升，服务对象（受检单位）满意度为85%，为依法监管提供了及时、有效的检测数据，保障了市民的消费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从项目绩效自评情况来看，本年度项目完成情况较好，能够达到预算设定的绩效目标，下一步本单位将不断优化提升项目绩效评价水平。</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8"/>
        <w:gridCol w:w="1486"/>
        <w:gridCol w:w="254"/>
        <w:gridCol w:w="254"/>
        <w:gridCol w:w="1878"/>
        <w:gridCol w:w="1114"/>
        <w:gridCol w:w="1238"/>
        <w:gridCol w:w="746"/>
        <w:gridCol w:w="746"/>
        <w:gridCol w:w="1096"/>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7149.46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rPr>
              <w:t>6084.98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6084.98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7149.46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6084.98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6084.98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6084.98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贯彻落实党的二十大精神，围绕推进城乡融合共同富裕先行试验区建设，在守住粮食安全、不发生规模性返贫两条底线的基础上，统筹抓好乡村产业发展、乡村建设、农民增收、农村改革等工作，稳住农业经济发展形势，发挥好“三农”压舱石作用。粮食面积稳定在674万亩以上，产量保持在280万吨以上，逐步缩小城乡居民收入差距。</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贯彻落实党的二十大精神，围绕推进城乡融合共同富裕先行试验区建设，在守住粮食安全、不发生规模性返贫两条底线的基础上，统筹抓好乡村产业发展、乡村建设、农民增收、农村改革等工作，稳住农业经济发展形势，发挥好“三农”压舱石作用。粮食面积稳定在674万亩以上，产量保持在280万吨以上，逐步缩小城乡居民收入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保障粮食和重要农产品有效供给</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保障粮食和重要农产品有效供给，抓好粮食生产管理，持续稳定生猪产能，持续发展肉牛奶牛。</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保障粮食和重要农产品有效供给，抓好粮食生产管理，持续稳定生猪产能，持续发展肉牛奶牛。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提升现代农业发展基础能力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加快高标准农田建设，强化科技推广应用，防范化解农业生产风险，加快农业灾后恢复重建。</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加快高标准农田建设，强化科技推广应用，防范化解农业生产风险，加快农业灾后恢复重建。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提高农业发展质量效益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发展高效种养业，推进绿色食品转型升级，加强农业生态保护，加强农产品质量安全监管，推进农业合作和开放。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发展高效种养业，推进绿色食品转型升级，加强农业生态保护，加强农产品质量安全监管，推进农业合作与开放。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全年粮食产量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≥280万吨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289.15万吨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全年粮食种植面积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≥674万亩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676.05万亩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强制免疫病种应免畜禽的免疫密度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除布病外其他病种的平均免疫抗体合格率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粮食和重要农产品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有效供给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832"/>
        <w:gridCol w:w="1620"/>
        <w:gridCol w:w="637"/>
        <w:gridCol w:w="637"/>
        <w:gridCol w:w="1510"/>
        <w:gridCol w:w="943"/>
        <w:gridCol w:w="602"/>
        <w:gridCol w:w="602"/>
        <w:gridCol w:w="536"/>
        <w:gridCol w:w="892"/>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农作物病虫害防治（上级配套支出）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预算绩效管理科学规范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通过使用防治资金，用于支持组织实施重大病虫害疫情监测预警与防治统治，最大限度挽回因病虫害造成的粮食减产。</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通过使用防治资金，用于支持组织实施重大病虫害疫情监测预警与防治统治，最大限度挽回因病虫害造成的粮食减产。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重大病虫监测与防控面积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≥2万亩次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2万亩次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病虫害防治效果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有效遏制爆发流形成灾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用于农作物病虫害监测防治相关支出的比例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及时拨付病虫害监测防治资金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2023年12月31日前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小麦单产减幅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资金使用无重大违纪问题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病虫害造成的产量损失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减轻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指导服务对象满意度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761"/>
        <w:gridCol w:w="1479"/>
        <w:gridCol w:w="888"/>
        <w:gridCol w:w="853"/>
        <w:gridCol w:w="1382"/>
        <w:gridCol w:w="886"/>
        <w:gridCol w:w="578"/>
        <w:gridCol w:w="696"/>
        <w:gridCol w:w="509"/>
        <w:gridCol w:w="843"/>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提前下达2023年中央财政农业相关转移支付资金（动物防疫等补助经费）（上级提前下达）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27.2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预算绩效管理科学规范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强制免疫病种应免畜禽的免疫密度≥90%，除布病外其他病种的平均免疫抗体合格率≥70%；不发生重大动物疫情</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强制免疫病种应免畜禽的免疫密度≥90%，除布病外其他病种的平均免疫抗体合格率≥70%；不发生重大动物疫情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疫苗每头成本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≤35元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19元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强制免疫病种应免畜禽的免疫密度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免疫质量和免疫效果（除布病外其他病种的平均免疫抗体合格率）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中央财政补助经费使用率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2024年2月份前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口蹄疫、高致病性禽流感、布病等优先防治病种防治工作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疫情保持稳定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补助对象对项目实施满意率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91.81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763"/>
        <w:gridCol w:w="1489"/>
        <w:gridCol w:w="821"/>
        <w:gridCol w:w="821"/>
        <w:gridCol w:w="1384"/>
        <w:gridCol w:w="873"/>
        <w:gridCol w:w="553"/>
        <w:gridCol w:w="553"/>
        <w:gridCol w:w="485"/>
        <w:gridCol w:w="814"/>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农作物病虫害防治（上级配套支出）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预算绩效管理科学规范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支持农作物病虫害防控，不出现大面积成灾，有力保障粮食安全。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支持农作物病虫害防控，不出现大面积成灾，有力保障粮食安全。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项目实施总成本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采购物资或服务价格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≤15元/亩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11.95元/亩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病虫监测防控面积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≥6.67万亩次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8.37万亩次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遏制暴发流行性灾害防控效果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有效遏制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病虫害高发期到达前资金及时拨付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农民对病虫害防控意识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资金使用无重大违纪问题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农民对防控服务满意度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06"/>
        <w:gridCol w:w="1571"/>
        <w:gridCol w:w="476"/>
        <w:gridCol w:w="476"/>
        <w:gridCol w:w="1482"/>
        <w:gridCol w:w="801"/>
        <w:gridCol w:w="517"/>
        <w:gridCol w:w="621"/>
        <w:gridCol w:w="458"/>
        <w:gridCol w:w="759"/>
        <w:gridCol w:w="2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2023年高标准农田项目市级配套资金（上级配套支出）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预算绩效管理科学规范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新建高标准农田2.3万亩，提升改造1.35万亩。</w:t>
            </w:r>
            <w:r>
              <w:br w:type="textWrapping"/>
            </w:r>
            <w:r>
              <w:rPr>
                <w:rFonts w:ascii="宋体" w:hAnsi="宋体" w:eastAsia="宋体" w:cs="宋体"/>
                <w:i w:val="0"/>
                <w:color w:val="000000"/>
                <w:kern w:val="0"/>
                <w:sz w:val="18"/>
                <w:szCs w:val="18"/>
                <w:u w:val="none"/>
                <w:lang w:val="en-US" w:eastAsia="zh-CN"/>
              </w:rPr>
              <w:t>通过项目建设，有效改善项目区农田基础设施条件，提升耕地质量，提高粮食综合生产能力。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新建高标准农田2.3万亩，提升改造1.35万亩。</w:t>
            </w:r>
            <w:r>
              <w:br w:type="textWrapping"/>
            </w:r>
            <w:r>
              <w:rPr>
                <w:rFonts w:ascii="宋体" w:hAnsi="宋体" w:eastAsia="宋体" w:cs="宋体"/>
                <w:i w:val="0"/>
                <w:color w:val="000000"/>
                <w:kern w:val="0"/>
                <w:sz w:val="18"/>
                <w:szCs w:val="18"/>
                <w:u w:val="none"/>
                <w:lang w:val="en-US" w:eastAsia="zh-CN"/>
              </w:rPr>
              <w:t>通过项目建设，有效改善项目区农田基础设施条件，提升耕地质量，提高粮食综合生产能力。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项目实施总成本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293万元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财政资金亩均补助标准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建设高标准农田面积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2.3万亩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2.3万亩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提升改造农田面积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1.35万亩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因市级未给鄢陵县配套资金，面积减少鄢陵县的0.35万亩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丘陵区田间道路通达率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平原区田间道路通达率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粮食综合生产能力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耕地质量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逐步提升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水资源利用率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逐步提升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受益群众满意率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88.19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794"/>
        <w:gridCol w:w="1547"/>
        <w:gridCol w:w="741"/>
        <w:gridCol w:w="741"/>
        <w:gridCol w:w="1441"/>
        <w:gridCol w:w="882"/>
        <w:gridCol w:w="557"/>
        <w:gridCol w:w="663"/>
        <w:gridCol w:w="499"/>
        <w:gridCol w:w="831"/>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国际农产品交易会参展工作经费（结转本级资金）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23.93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预算绩效管理科学规范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展示我市优势农产品，扩大特色优势农产品的知名度和品牌影响力，扩宽市场销售渠道。</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展示我市优势农产品，扩大特色优势农产品的知名度和品牌影响力，扩宽市场销售渠道。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展位费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13.37万元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特装展位设计搭建费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参展企业数量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实际参展企业为14家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许昌市特装展位面积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135平方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展厅搭建质量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达到省厅要求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特装展位设计搭建完成时间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2022年12月20日前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提高我市农产品企业知名度和品牌影响力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参展企业满意度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98.14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841"/>
        <w:gridCol w:w="1639"/>
        <w:gridCol w:w="639"/>
        <w:gridCol w:w="639"/>
        <w:gridCol w:w="1550"/>
        <w:gridCol w:w="918"/>
        <w:gridCol w:w="588"/>
        <w:gridCol w:w="621"/>
        <w:gridCol w:w="523"/>
        <w:gridCol w:w="869"/>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秸秆禁烧及综合利用工作经费（基本运转支出）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19.8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预算绩效管理科学规范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目标1：通过建设秸秆禁烧监控体系，加强网格监督员巡查，奖励有效举报和宣传等，实现秸秆焚烧火点数量不断下降。</w:t>
            </w:r>
            <w:r>
              <w:br w:type="textWrapping"/>
            </w:r>
            <w:r>
              <w:rPr>
                <w:rFonts w:ascii="宋体" w:hAnsi="宋体" w:eastAsia="宋体" w:cs="宋体"/>
                <w:i w:val="0"/>
                <w:color w:val="000000"/>
                <w:kern w:val="0"/>
                <w:sz w:val="18"/>
                <w:szCs w:val="18"/>
                <w:u w:val="none"/>
                <w:lang w:val="en-US" w:eastAsia="zh-CN"/>
              </w:rPr>
              <w:t>目标2：降低因秸秆焚烧造成的大气污染程度，持续保护环境、改善空气质量。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通过建设秸秆禁烧监控体系，加强网格监督员巡查，奖励有效举报和宣传等，实现秸秆焚烧火点数量不断下降。</w:t>
            </w:r>
            <w:r>
              <w:br w:type="textWrapping"/>
            </w:r>
            <w:r>
              <w:rPr>
                <w:rFonts w:ascii="宋体" w:hAnsi="宋体" w:eastAsia="宋体" w:cs="宋体"/>
                <w:i w:val="0"/>
                <w:color w:val="000000"/>
                <w:kern w:val="0"/>
                <w:sz w:val="18"/>
                <w:szCs w:val="18"/>
                <w:u w:val="none"/>
                <w:lang w:val="en-US" w:eastAsia="zh-CN"/>
              </w:rPr>
              <w:t>降低因秸秆焚烧造成的大气污染程度，持续保护环境、改善空气质量。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19.80万元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秸秆综合利用率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下县督导人次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≥1600人次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秸秆禁烧科学管控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进一步完善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全市范围内出现符合省定火点次数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全年秸秆禁烧及综合利用工作开展截止时间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2023年12月31日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全市空气质量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7"/>
        <w:gridCol w:w="749"/>
        <w:gridCol w:w="1462"/>
        <w:gridCol w:w="772"/>
        <w:gridCol w:w="772"/>
        <w:gridCol w:w="1358"/>
        <w:gridCol w:w="871"/>
        <w:gridCol w:w="530"/>
        <w:gridCol w:w="621"/>
        <w:gridCol w:w="484"/>
        <w:gridCol w:w="813"/>
        <w:gridCol w:w="1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农业展会参展经费（基本运转支出）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预算绩效管理科学规范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目标1：展示我市优势农产品。</w:t>
            </w:r>
            <w:r>
              <w:br w:type="textWrapping"/>
            </w:r>
            <w:r>
              <w:rPr>
                <w:rFonts w:ascii="宋体" w:hAnsi="宋体" w:eastAsia="宋体" w:cs="宋体"/>
                <w:i w:val="0"/>
                <w:color w:val="000000"/>
                <w:kern w:val="0"/>
                <w:sz w:val="18"/>
                <w:szCs w:val="18"/>
                <w:u w:val="none"/>
                <w:lang w:val="en-US" w:eastAsia="zh-CN"/>
              </w:rPr>
              <w:t>目标2：扩大特色优势农产品的知名度和品牌影响力。</w:t>
            </w:r>
            <w:r>
              <w:br w:type="textWrapping"/>
            </w:r>
            <w:r>
              <w:rPr>
                <w:rFonts w:ascii="宋体" w:hAnsi="宋体" w:eastAsia="宋体" w:cs="宋体"/>
                <w:i w:val="0"/>
                <w:color w:val="000000"/>
                <w:kern w:val="0"/>
                <w:sz w:val="18"/>
                <w:szCs w:val="18"/>
                <w:u w:val="none"/>
                <w:lang w:val="en-US" w:eastAsia="zh-CN"/>
              </w:rPr>
              <w:t>目标3：拓宽市场销售渠道。</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1、能够展示我市优势农产品。</w:t>
            </w:r>
            <w:r>
              <w:br w:type="textWrapping"/>
            </w:r>
            <w:r>
              <w:rPr>
                <w:rFonts w:ascii="宋体" w:hAnsi="宋体" w:eastAsia="宋体" w:cs="宋体"/>
                <w:i w:val="0"/>
                <w:color w:val="000000"/>
                <w:kern w:val="0"/>
                <w:sz w:val="18"/>
                <w:szCs w:val="18"/>
                <w:u w:val="none"/>
                <w:lang w:val="en-US" w:eastAsia="zh-CN"/>
              </w:rPr>
              <w:t>2、扩大了特色优势农产品的知名度和品牌影响力。</w:t>
            </w:r>
            <w:r>
              <w:br w:type="textWrapping"/>
            </w:r>
            <w:r>
              <w:rPr>
                <w:rFonts w:ascii="宋体" w:hAnsi="宋体" w:eastAsia="宋体" w:cs="宋体"/>
                <w:i w:val="0"/>
                <w:color w:val="000000"/>
                <w:kern w:val="0"/>
                <w:sz w:val="18"/>
                <w:szCs w:val="18"/>
                <w:u w:val="none"/>
                <w:lang w:val="en-US" w:eastAsia="zh-CN"/>
              </w:rPr>
              <w:t>3、有效拓宽市场销售渠道。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项目实施总成本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展位费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许昌市特装展位设计搭建费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许昌市特装展位设计搭建面积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实际搭建面积为150平方米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参展企业数量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21家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实际参展企业为21家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展厅搭建质量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符合上级要求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按时参加农业展会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我市农产品知名度和品牌影响力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参展企业满意度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85.87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774"/>
        <w:gridCol w:w="1512"/>
        <w:gridCol w:w="670"/>
        <w:gridCol w:w="670"/>
        <w:gridCol w:w="1403"/>
        <w:gridCol w:w="888"/>
        <w:gridCol w:w="555"/>
        <w:gridCol w:w="621"/>
        <w:gridCol w:w="490"/>
        <w:gridCol w:w="825"/>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2023年重大动物疫情应急专项储备金（基本运转支出）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18.63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预算绩效管理科学规范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预防控制并及时处置重大动物疫情。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预防控制并及时处置重大动物疫情。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年度应急储备总成本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储备消毒药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实际采购8吨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通讯工具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未购置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预防重大动物疫情发生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有效预防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应时间急物资储备完成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2023年9月30日前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保障畜牧业持续健康发展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环境污染事件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不发生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85.73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689"/>
        <w:gridCol w:w="1337"/>
        <w:gridCol w:w="775"/>
        <w:gridCol w:w="738"/>
        <w:gridCol w:w="1253"/>
        <w:gridCol w:w="765"/>
        <w:gridCol w:w="503"/>
        <w:gridCol w:w="621"/>
        <w:gridCol w:w="431"/>
        <w:gridCol w:w="705"/>
        <w:gridCol w:w="2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提前下达2023年中央财政农业相关转移支付资金（动物防疫等补助经费）（上级提前下达）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强制免疫病种应免畜禽的免疫密度≥90%，除布病外其他病种的平均免疫抗体合格率≥70%；不发生重大动物疫情</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强制免疫病种应免畜禽的免疫密度≥90%，除布病外其他病种的平均免疫抗体合格率≥70%；不发生重大动物疫情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疫苗每头份成本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≤35元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19元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大规模随意抛弃病死畜禽事件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不发生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强制免疫病种应免畜禽的免疫密度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免疫质量和免疫效果（除布病外其他病种的平均免疫抗体合格率）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中央财政补助经费使用率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疫苗款实际支付时间为2024年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2024年2月份前支付率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2023年疫苗款共124.6805万元，其中2023年资金实际支出66.12万，剩余部分用2022年资金支出。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口蹄疫、高致病性禽流感、布病等优先防治病种防治工作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疫情保持平稳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补助对象对项目实施满意率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80.51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jc w:val="center"/>
        <w:shd w:val="clear" w:color="auto" w:fill="auto"/>
        <w:tblLayout w:type="autofit"/>
        <w:tblCellMar>
          <w:top w:w="0" w:type="dxa"/>
          <w:left w:w="20" w:type="dxa"/>
          <w:bottom w:w="0" w:type="dxa"/>
          <w:right w:w="20" w:type="dxa"/>
        </w:tblCellMar>
      </w:tblPr>
      <w:tblGrid>
        <w:gridCol w:w="805"/>
        <w:gridCol w:w="687"/>
        <w:gridCol w:w="1515"/>
        <w:gridCol w:w="1027"/>
        <w:gridCol w:w="1009"/>
        <w:gridCol w:w="1509"/>
        <w:gridCol w:w="735"/>
        <w:gridCol w:w="414"/>
        <w:gridCol w:w="382"/>
        <w:gridCol w:w="336"/>
        <w:gridCol w:w="693"/>
        <w:gridCol w:w="1394"/>
      </w:tblGrid>
      <w:tr>
        <w:tblPrEx>
          <w:tblCellMar>
            <w:top w:w="0" w:type="dxa"/>
            <w:left w:w="20" w:type="dxa"/>
            <w:bottom w:w="0" w:type="dxa"/>
            <w:right w:w="20" w:type="dxa"/>
          </w:tblCellMar>
        </w:tblPrEx>
        <w:trPr>
          <w:trHeight w:val="704" w:hRule="exact"/>
          <w:jc w:val="center"/>
        </w:trPr>
        <w:tc>
          <w:tcPr>
            <w:tcW w:w="5000" w:type="pct"/>
            <w:gridSpan w:val="12"/>
            <w:tcBorders>
              <w:bottom w:val="single" w:color="000000" w:sz="4" w:space="0"/>
            </w:tcBorders>
            <w:shd w:val="clear" w:color="auto" w:fill="auto"/>
            <w:vAlign w:val="center"/>
          </w:tcPr>
          <w:p>
            <w:pPr>
              <w:pStyle w:val="10"/>
              <w:snapToGrid w:val="0"/>
              <w:spacing w:before="0" w:beforeAutospacing="0" w:after="0" w:afterAutospacing="0" w:line="240" w:lineRule="auto"/>
              <w:jc w:val="center"/>
            </w:pPr>
            <w:r>
              <w:rPr>
                <w:rFonts w:ascii="宋体" w:hAnsi="宋体" w:eastAsia="宋体" w:cs="宋体"/>
                <w:b/>
                <w:bCs/>
                <w:i w:val="0"/>
                <w:iCs w:val="0"/>
                <w:color w:val="000000"/>
                <w:kern w:val="0"/>
                <w:sz w:val="38"/>
                <w:szCs w:val="38"/>
                <w:u w:val="none"/>
                <w:lang w:val="en-US" w:eastAsia="zh-CN" w:bidi="ar-SA"/>
              </w:rPr>
              <w:t>项目单位自评表</w:t>
            </w:r>
          </w:p>
        </w:tc>
      </w:tr>
      <w:tr>
        <w:tblPrEx>
          <w:shd w:val="clear" w:color="auto" w:fill="auto"/>
          <w:tblCellMar>
            <w:top w:w="0" w:type="dxa"/>
            <w:left w:w="20" w:type="dxa"/>
            <w:bottom w:w="0" w:type="dxa"/>
            <w:right w:w="20" w:type="dxa"/>
          </w:tblCellMar>
        </w:tblPrEx>
        <w:trPr>
          <w:trHeight w:val="329" w:hRule="exac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项目名称</w:t>
            </w:r>
          </w:p>
        </w:tc>
        <w:tc>
          <w:tcPr>
            <w:tcW w:w="428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农业生产发展资金</w:t>
            </w:r>
          </w:p>
        </w:tc>
      </w:tr>
      <w:tr>
        <w:tblPrEx>
          <w:shd w:val="clear" w:color="auto" w:fill="auto"/>
          <w:tblCellMar>
            <w:top w:w="0" w:type="dxa"/>
            <w:left w:w="20" w:type="dxa"/>
            <w:bottom w:w="0" w:type="dxa"/>
            <w:right w:w="20" w:type="dxa"/>
          </w:tblCellMar>
        </w:tblPrEx>
        <w:trPr>
          <w:trHeight w:val="310" w:hRule="exac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主管部门</w:t>
            </w:r>
          </w:p>
        </w:tc>
        <w:tc>
          <w:tcPr>
            <w:tcW w:w="24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许昌市农业农村局</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实施单位</w:t>
            </w:r>
          </w:p>
        </w:tc>
        <w:tc>
          <w:tcPr>
            <w:tcW w:w="15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许昌市种子管理站</w:t>
            </w:r>
          </w:p>
        </w:tc>
      </w:tr>
      <w:tr>
        <w:tblPrEx>
          <w:shd w:val="clear" w:color="auto" w:fill="auto"/>
          <w:tblCellMar>
            <w:top w:w="0" w:type="dxa"/>
            <w:left w:w="20" w:type="dxa"/>
            <w:bottom w:w="0" w:type="dxa"/>
            <w:right w:w="20" w:type="dxa"/>
          </w:tblCellMar>
        </w:tblPrEx>
        <w:trPr>
          <w:trHeight w:val="610" w:hRule="exact"/>
          <w:jc w:val="center"/>
        </w:trPr>
        <w:tc>
          <w:tcPr>
            <w:tcW w:w="7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项目资金（万元）</w:t>
            </w: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年初预算数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全年预算数</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全年执行数</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分值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执行率 %</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得分</w:t>
            </w:r>
          </w:p>
        </w:tc>
      </w:tr>
      <w:tr>
        <w:tblPrEx>
          <w:shd w:val="clear" w:color="auto" w:fill="auto"/>
          <w:tblCellMar>
            <w:top w:w="0" w:type="dxa"/>
            <w:left w:w="20" w:type="dxa"/>
            <w:bottom w:w="0" w:type="dxa"/>
            <w:right w:w="20" w:type="dxa"/>
          </w:tblCellMar>
        </w:tblPrEx>
        <w:trPr>
          <w:trHeight w:val="505" w:hRule="exact"/>
          <w:jc w:val="center"/>
        </w:trPr>
        <w:tc>
          <w:tcPr>
            <w:tcW w:w="7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年度资金总额（万元）：</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7</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5.49</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78.43</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8</w:t>
            </w:r>
          </w:p>
        </w:tc>
      </w:tr>
      <w:tr>
        <w:tblPrEx>
          <w:shd w:val="clear" w:color="auto" w:fill="auto"/>
          <w:tblCellMar>
            <w:top w:w="0" w:type="dxa"/>
            <w:left w:w="20" w:type="dxa"/>
            <w:bottom w:w="0" w:type="dxa"/>
            <w:right w:w="20" w:type="dxa"/>
          </w:tblCellMar>
        </w:tblPrEx>
        <w:trPr>
          <w:trHeight w:val="542" w:hRule="exact"/>
          <w:jc w:val="center"/>
        </w:trPr>
        <w:tc>
          <w:tcPr>
            <w:tcW w:w="7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政府性预算资金</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7</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5.49</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78.43</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r>
      <w:tr>
        <w:tblPrEx>
          <w:shd w:val="clear" w:color="auto" w:fill="auto"/>
          <w:tblCellMar>
            <w:top w:w="0" w:type="dxa"/>
            <w:left w:w="20" w:type="dxa"/>
            <w:bottom w:w="0" w:type="dxa"/>
            <w:right w:w="20" w:type="dxa"/>
          </w:tblCellMar>
        </w:tblPrEx>
        <w:trPr>
          <w:trHeight w:val="405" w:hRule="exact"/>
          <w:jc w:val="center"/>
        </w:trPr>
        <w:tc>
          <w:tcPr>
            <w:tcW w:w="7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财政专户管理资金</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r>
      <w:tr>
        <w:tblPrEx>
          <w:shd w:val="clear" w:color="auto" w:fill="auto"/>
          <w:tblCellMar>
            <w:top w:w="0" w:type="dxa"/>
            <w:left w:w="20" w:type="dxa"/>
            <w:bottom w:w="0" w:type="dxa"/>
            <w:right w:w="20" w:type="dxa"/>
          </w:tblCellMar>
        </w:tblPrEx>
        <w:trPr>
          <w:trHeight w:val="379" w:hRule="exact"/>
          <w:jc w:val="center"/>
        </w:trPr>
        <w:tc>
          <w:tcPr>
            <w:tcW w:w="7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单位资金</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r>
      <w:tr>
        <w:tblPrEx>
          <w:shd w:val="clear" w:color="auto" w:fill="auto"/>
          <w:tblCellMar>
            <w:top w:w="0" w:type="dxa"/>
            <w:left w:w="20" w:type="dxa"/>
            <w:bottom w:w="0" w:type="dxa"/>
            <w:right w:w="20" w:type="dxa"/>
          </w:tblCellMar>
        </w:tblPrEx>
        <w:trPr>
          <w:trHeight w:val="405" w:hRule="exact"/>
          <w:jc w:val="center"/>
        </w:trPr>
        <w:tc>
          <w:tcPr>
            <w:tcW w:w="7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资金管理情况</w:t>
            </w: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 xml:space="preserve"> 情况说明</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分值</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得分</w:t>
            </w:r>
          </w:p>
        </w:tc>
        <w:tc>
          <w:tcPr>
            <w:tcW w:w="13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存在问题和改进措施</w:t>
            </w:r>
          </w:p>
        </w:tc>
      </w:tr>
      <w:tr>
        <w:tblPrEx>
          <w:shd w:val="clear" w:color="auto" w:fill="auto"/>
          <w:tblCellMar>
            <w:top w:w="0" w:type="dxa"/>
            <w:left w:w="20" w:type="dxa"/>
            <w:bottom w:w="0" w:type="dxa"/>
            <w:right w:w="20" w:type="dxa"/>
          </w:tblCellMar>
        </w:tblPrEx>
        <w:trPr>
          <w:trHeight w:val="380" w:hRule="exact"/>
          <w:jc w:val="center"/>
        </w:trPr>
        <w:tc>
          <w:tcPr>
            <w:tcW w:w="7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安排科学性</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安排科学</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3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p>
        </w:tc>
      </w:tr>
      <w:tr>
        <w:tblPrEx>
          <w:shd w:val="clear" w:color="auto" w:fill="auto"/>
          <w:tblCellMar>
            <w:top w:w="0" w:type="dxa"/>
            <w:left w:w="20" w:type="dxa"/>
            <w:bottom w:w="0" w:type="dxa"/>
            <w:right w:w="20" w:type="dxa"/>
          </w:tblCellMar>
        </w:tblPrEx>
        <w:trPr>
          <w:trHeight w:val="342" w:hRule="exact"/>
          <w:jc w:val="center"/>
        </w:trPr>
        <w:tc>
          <w:tcPr>
            <w:tcW w:w="7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拨付合规性</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拨付合规</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3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p>
        </w:tc>
      </w:tr>
      <w:tr>
        <w:tblPrEx>
          <w:shd w:val="clear" w:color="auto" w:fill="auto"/>
          <w:tblCellMar>
            <w:top w:w="0" w:type="dxa"/>
            <w:left w:w="20" w:type="dxa"/>
            <w:bottom w:w="0" w:type="dxa"/>
            <w:right w:w="20" w:type="dxa"/>
          </w:tblCellMar>
        </w:tblPrEx>
        <w:trPr>
          <w:trHeight w:val="417" w:hRule="exact"/>
          <w:jc w:val="center"/>
        </w:trPr>
        <w:tc>
          <w:tcPr>
            <w:tcW w:w="7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使用规范性</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使用规范</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3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p>
        </w:tc>
      </w:tr>
      <w:tr>
        <w:tblPrEx>
          <w:shd w:val="clear" w:color="auto" w:fill="auto"/>
          <w:tblCellMar>
            <w:top w:w="0" w:type="dxa"/>
            <w:left w:w="20" w:type="dxa"/>
            <w:bottom w:w="0" w:type="dxa"/>
            <w:right w:w="20" w:type="dxa"/>
          </w:tblCellMar>
        </w:tblPrEx>
        <w:trPr>
          <w:trHeight w:val="380" w:hRule="exact"/>
          <w:jc w:val="center"/>
        </w:trPr>
        <w:tc>
          <w:tcPr>
            <w:tcW w:w="7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预算绩效管理情况</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按规定进行预算绩效管理</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3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p>
        </w:tc>
      </w:tr>
      <w:tr>
        <w:tblPrEx>
          <w:shd w:val="clear" w:color="auto" w:fill="auto"/>
          <w:tblCellMar>
            <w:top w:w="0" w:type="dxa"/>
            <w:left w:w="20" w:type="dxa"/>
            <w:bottom w:w="0" w:type="dxa"/>
            <w:right w:w="20" w:type="dxa"/>
          </w:tblCellMar>
        </w:tblPrEx>
        <w:trPr>
          <w:trHeight w:val="392" w:hRule="exact"/>
          <w:jc w:val="center"/>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年度总体目标</w:t>
            </w:r>
          </w:p>
        </w:tc>
        <w:tc>
          <w:tcPr>
            <w:tcW w:w="27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预期目标</w:t>
            </w:r>
          </w:p>
        </w:tc>
        <w:tc>
          <w:tcPr>
            <w:tcW w:w="18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实际完成情况</w:t>
            </w:r>
          </w:p>
        </w:tc>
      </w:tr>
      <w:tr>
        <w:tblPrEx>
          <w:shd w:val="clear" w:color="auto" w:fill="auto"/>
          <w:tblCellMar>
            <w:top w:w="0" w:type="dxa"/>
            <w:left w:w="20" w:type="dxa"/>
            <w:bottom w:w="0" w:type="dxa"/>
            <w:right w:w="20" w:type="dxa"/>
          </w:tblCellMar>
        </w:tblPrEx>
        <w:trPr>
          <w:trHeight w:val="612" w:hRule="exact"/>
          <w:jc w:val="center"/>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27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 xml:space="preserve"> 安排农作物新品种区域生产试验、新品种鉴定展示示范。</w:t>
            </w:r>
          </w:p>
        </w:tc>
        <w:tc>
          <w:tcPr>
            <w:tcW w:w="18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完成安排的农作物新品种区域生产试验、新品种鉴定展示示范。</w:t>
            </w:r>
          </w:p>
        </w:tc>
      </w:tr>
      <w:tr>
        <w:tblPrEx>
          <w:shd w:val="clear" w:color="auto" w:fill="auto"/>
          <w:tblCellMar>
            <w:top w:w="0" w:type="dxa"/>
            <w:left w:w="20" w:type="dxa"/>
            <w:bottom w:w="0" w:type="dxa"/>
            <w:right w:w="20" w:type="dxa"/>
          </w:tblCellMar>
        </w:tblPrEx>
        <w:trPr>
          <w:trHeight w:val="573" w:hRule="exact"/>
          <w:jc w:val="center"/>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绩效指标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一级指标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二级指标</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三级指标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年度指标值</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实际完成值</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分值</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得分</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偏差度 %</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偏差原因分析及改进措施</w:t>
            </w:r>
          </w:p>
        </w:tc>
      </w:tr>
      <w:tr>
        <w:tblPrEx>
          <w:shd w:val="clear" w:color="auto" w:fill="auto"/>
          <w:tblCellMar>
            <w:top w:w="0" w:type="dxa"/>
            <w:left w:w="20" w:type="dxa"/>
            <w:bottom w:w="0" w:type="dxa"/>
            <w:right w:w="20" w:type="dxa"/>
          </w:tblCellMar>
        </w:tblPrEx>
        <w:trPr>
          <w:trHeight w:val="454" w:hRule="exact"/>
          <w:jc w:val="center"/>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产出指标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数量指标</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安排农作物品种试验组数</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≥10组</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10组</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0.00%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507" w:hRule="exact"/>
          <w:jc w:val="center"/>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质量指标</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试验报告符合试验方案要求达标率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≥90%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0.00%</w:t>
            </w:r>
          </w:p>
        </w:tc>
        <w:tc>
          <w:tcPr>
            <w:tcW w:w="661" w:type="pct"/>
            <w:tcBorders>
              <w:top w:val="single" w:color="000000" w:sz="4" w:space="0"/>
              <w:left w:val="single" w:color="000000" w:sz="4" w:space="0"/>
              <w:bottom w:val="single" w:color="000000" w:sz="4" w:space="0"/>
              <w:right w:val="single" w:color="auto"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469" w:hRule="exact"/>
          <w:jc w:val="center"/>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时效指标</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农作物试验完成时间</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12月30日前完成</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已完成</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0.00%</w:t>
            </w:r>
          </w:p>
        </w:tc>
        <w:tc>
          <w:tcPr>
            <w:tcW w:w="661" w:type="pct"/>
            <w:tcBorders>
              <w:top w:val="single" w:color="000000" w:sz="4" w:space="0"/>
              <w:left w:val="single" w:color="000000" w:sz="4" w:space="0"/>
              <w:bottom w:val="single" w:color="000000" w:sz="4" w:space="0"/>
              <w:right w:val="single" w:color="auto"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573" w:hRule="exact"/>
          <w:jc w:val="center"/>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效益指标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经济效益指标</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新品种增产增效，每品种比对照增产</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0.01</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15</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0.00%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572" w:hRule="exact"/>
          <w:jc w:val="center"/>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生态效益指标</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展示抗病、节水绿色品种数</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≥10个</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10个</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15</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0.00%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546" w:hRule="exact"/>
          <w:jc w:val="center"/>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满意度指标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服务对象满意度</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试验质量满意度</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≥80%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0.85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0.00%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452" w:hRule="exact"/>
          <w:jc w:val="center"/>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08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总分</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98</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bl>
    <w:p>
      <w:pPr>
        <w:pStyle w:val="10"/>
      </w:pPr>
      <w:r>
        <w:br w:type="page"/>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22"/>
        <w:gridCol w:w="1603"/>
        <w:gridCol w:w="588"/>
        <w:gridCol w:w="588"/>
        <w:gridCol w:w="1137"/>
        <w:gridCol w:w="1031"/>
        <w:gridCol w:w="638"/>
        <w:gridCol w:w="577"/>
        <w:gridCol w:w="577"/>
        <w:gridCol w:w="966"/>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gridSpan w:val="12"/>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农业资源保护修复与利用</w:t>
            </w:r>
            <w:r>
              <w:rPr>
                <w:rFonts w:hint="eastAsia" w:ascii="宋体" w:hAnsi="宋体" w:cs="宋体"/>
                <w:i w:val="0"/>
                <w:iCs w:val="0"/>
                <w:color w:val="000000"/>
                <w:kern w:val="0"/>
                <w:sz w:val="18"/>
                <w:szCs w:val="18"/>
                <w:u w:val="none"/>
                <w:lang w:val="en-US" w:eastAsia="zh-CN" w:bidi="en-AU"/>
              </w:rPr>
              <w:t>（结转上年上级资金）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许昌市农业技术推广站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w:t>
            </w:r>
          </w:p>
        </w:tc>
        <w:tc>
          <w:tcPr>
            <w:tcW w:w="0" w:type="auto"/>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减少化肥用量，时限取土化验数量不低于23个，田间肥效实验数量不低于7个人，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完成取土化验25个，田间肥效实验7个，制定主要农作物施肥指导意见3个，群众满意度90%以上，化肥减量增效显著。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农业资源保护修复与利用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取土化验数量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田间肥效试验数量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主要农作物施肥意见制定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超目标完成任务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测土配方施肥数据指导农业生产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争取服务对象百分百满意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bl>
    <w:p>
      <w:pPr>
        <w:pStyle w:val="10"/>
      </w:pPr>
      <w:r>
        <w:br w:type="page"/>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652"/>
        <w:gridCol w:w="1041"/>
        <w:gridCol w:w="518"/>
        <w:gridCol w:w="1147"/>
        <w:gridCol w:w="2282"/>
        <w:gridCol w:w="481"/>
        <w:gridCol w:w="546"/>
        <w:gridCol w:w="518"/>
        <w:gridCol w:w="460"/>
        <w:gridCol w:w="489"/>
        <w:gridCol w:w="764"/>
        <w:gridCol w:w="534"/>
        <w:gridCol w:w="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4"/>
              <w:keepNext w:val="0"/>
              <w:keepLines w:val="0"/>
              <w:widowControl/>
              <w:suppressLineNumbers w:val="0"/>
              <w:jc w:val="center"/>
              <w:textAlignment w:val="center"/>
              <w:rPr>
                <w:rFonts w:hint="default" w:ascii="宋体" w:hAnsi="宋体" w:eastAsia="宋体" w:cs="宋体"/>
                <w:b/>
                <w:bCs/>
                <w:i w:val="0"/>
                <w:iCs w:val="0"/>
                <w:color w:val="000000"/>
                <w:sz w:val="38"/>
                <w:szCs w:val="38"/>
                <w:u w:val="none"/>
                <w:lang w:val="en-US"/>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耕地土壤污染预警专项经费（基本运转支出）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许昌市农业农村局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许昌市农村能源管理工作站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9.05</w:t>
            </w:r>
          </w:p>
        </w:tc>
        <w:tc>
          <w:tcPr>
            <w:tcW w:w="0" w:type="auto"/>
            <w:tcBorders>
              <w:top w:val="nil"/>
              <w:left w:val="nil"/>
              <w:bottom w:val="nil"/>
              <w:right w:val="nil"/>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按照单位预算编制和资金管理办法的要求，进行项目评审，立项等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严格按照国库集中支付制度有关规定支付资金，未出现违规将资金用作他用的情况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严格按下达预算的科目和项目执行，未出现截留，挤占，挪用和擅自调整的情况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完成2023年度许昌市级耕地污染预警监测100个点位的土壤样品采集、制备、测试分析工作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已完成100个点位的土壤样品采集、制备、测试分析工作。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耕地土壤污染防治预警监测经费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9.05万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布设耕地土壤污染防治预警检测点位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采集、分析土壤样品数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耕地土壤污染防治预警监测年度报告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监测准确率（符合相关技术规定要求）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耕地土壤监测覆盖率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项目开工时间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w:t>
            </w: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年6月30日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w:t>
            </w: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年11月30日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农民对耕地土壤环境污染防治重视程度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政府对耕地土壤环境质量安全状况掌握情况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逐步掌握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项目实施区域农户满意度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4"/>
              <w:rPr>
                <w:rFonts w:hint="eastAsia" w:ascii="宋体" w:hAnsi="宋体" w:eastAsia="宋体" w:cs="宋体"/>
                <w:i w:val="0"/>
                <w:iCs w:val="0"/>
                <w:color w:val="000000"/>
                <w:sz w:val="22"/>
                <w:szCs w:val="22"/>
                <w:u w:val="none"/>
              </w:rPr>
            </w:pPr>
          </w:p>
        </w:tc>
      </w:tr>
    </w:tbl>
    <w:p>
      <w:pPr>
        <w:pStyle w:val="14"/>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r>
        <w:br w:type="page"/>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625"/>
        <w:gridCol w:w="1214"/>
        <w:gridCol w:w="790"/>
        <w:gridCol w:w="759"/>
        <w:gridCol w:w="2623"/>
        <w:gridCol w:w="789"/>
        <w:gridCol w:w="515"/>
        <w:gridCol w:w="515"/>
        <w:gridCol w:w="453"/>
        <w:gridCol w:w="750"/>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4"/>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农业资源与生态保护（结转上级资金）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许昌市农村能源管理工作站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nil"/>
              <w:left w:val="nil"/>
              <w:bottom w:val="nil"/>
              <w:right w:val="nil"/>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按照单位预算编制和资金管理办法的要求，进行项目评审，立项等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严格按照国库集中支付制度有关规定支付资金，未出现违规将资金用作他用的情况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严格按下达预算的科目和项目执行，未出现截留，挤占，挪用和擅自调整的情况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开展沼肥肥效田间试验，获取监测、检测数据，总结沼肥施用方法。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已完成10个沼肥、土壤、农产品采集样品检测。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农业资源与生态保护经费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沼肥、土壤、农产品采集样品检测完成数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取得“三品一标”农产品认证增长率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项目区农作物产能增长率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果菜茶有机肥替代化肥长效机制建设完备性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有机肥使用增长率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项目实施区域农户满意度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eastAsia" w:ascii="宋体" w:hAnsi="宋体" w:eastAsia="宋体" w:cs="宋体"/>
                <w:i w:val="0"/>
                <w:iCs w:val="0"/>
                <w:color w:val="000000"/>
                <w:sz w:val="18"/>
                <w:szCs w:val="18"/>
                <w:u w:val="none"/>
              </w:rPr>
            </w:pPr>
          </w:p>
        </w:tc>
      </w:tr>
    </w:tbl>
    <w:p>
      <w:pPr>
        <w:pStyle w:val="10"/>
      </w:pPr>
      <w:r>
        <w:br w:type="page"/>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5"/>
        <w:gridCol w:w="403"/>
        <w:gridCol w:w="1319"/>
        <w:gridCol w:w="905"/>
        <w:gridCol w:w="1721"/>
        <w:gridCol w:w="1043"/>
        <w:gridCol w:w="905"/>
        <w:gridCol w:w="676"/>
        <w:gridCol w:w="630"/>
        <w:gridCol w:w="2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b/>
                <w:color w:val="000000"/>
                <w:kern w:val="2"/>
                <w:sz w:val="40"/>
                <w:szCs w:val="24"/>
                <w:rtl w:val="0"/>
                <w:lang w:val="en-US" w:eastAsia="zh-CN" w:bidi="ar-SA"/>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6"/>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农作物病虫害防治（上级配套支出）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许昌市农业农村局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许昌市植保植检站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8"/>
                <w:sz w:val="18"/>
                <w:szCs w:val="18"/>
                <w:lang w:val="en-US" w:eastAsia="zh-CN" w:bidi="en-AU"/>
              </w:rPr>
              <w:t xml:space="preserve"> </w:t>
            </w:r>
            <w:r>
              <w:rPr>
                <w:rStyle w:val="19"/>
                <w:sz w:val="18"/>
                <w:szCs w:val="18"/>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绩效管理情况合理合规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6"/>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通过使用防治资金，用于支持组织实施重大病虫疫情监测预警与统防统治，最大限度挽回因病虫危害造成的粮食减产。</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6"/>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通过使用防治资金，用于支持组织实施重大病虫疫情监测预警与统防统治，最大限度挽回因病虫危害造成的粮食减产。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农作物病虫害防治成本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重大病虫监测与防控面积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≥6.67万亩次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3.12万亩次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6.67万亩次为全市100资金年度指标值，我单位承担30万资金，年度指标值为≥2万亩次。我单位实际完成3.12万亩次。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用于农作物病虫害测报防治相关支出的比例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病虫草害防控效果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有效遏制暴发流行成灾，减少病虫粮食损失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小麦单产减幅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资金使用无重大违纪问题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病虫害造成的产量损失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减轻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指导服务对象满意度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6"/>
              <w:jc w:val="center"/>
              <w:rPr>
                <w:rFonts w:hint="eastAsia" w:ascii="宋体" w:hAnsi="宋体" w:eastAsia="宋体" w:cs="宋体"/>
                <w:i w:val="0"/>
                <w:iCs w:val="0"/>
                <w:color w:val="000000"/>
                <w:sz w:val="18"/>
                <w:szCs w:val="18"/>
                <w:u w:val="none"/>
              </w:rPr>
            </w:pPr>
          </w:p>
        </w:tc>
      </w:tr>
    </w:tbl>
    <w:p>
      <w:pPr>
        <w:pStyle w:val="10"/>
      </w:pPr>
      <w:r>
        <w:br w:type="page"/>
      </w:r>
    </w:p>
    <w:tbl>
      <w:tblPr>
        <w:tblStyle w:val="11"/>
        <w:tblW w:w="0" w:type="auto"/>
        <w:jc w:val="center"/>
        <w:shd w:val="clear" w:color="auto" w:fill="auto"/>
        <w:tblLayout w:type="fixed"/>
        <w:tblCellMar>
          <w:top w:w="0" w:type="dxa"/>
          <w:left w:w="20" w:type="dxa"/>
          <w:bottom w:w="0" w:type="dxa"/>
          <w:right w:w="20" w:type="dxa"/>
        </w:tblCellMar>
      </w:tblPr>
      <w:tblGrid>
        <w:gridCol w:w="376"/>
        <w:gridCol w:w="376"/>
        <w:gridCol w:w="933"/>
        <w:gridCol w:w="1481"/>
        <w:gridCol w:w="811"/>
        <w:gridCol w:w="811"/>
        <w:gridCol w:w="822"/>
        <w:gridCol w:w="307"/>
        <w:gridCol w:w="1307"/>
        <w:gridCol w:w="574"/>
        <w:gridCol w:w="574"/>
        <w:gridCol w:w="960"/>
        <w:gridCol w:w="574"/>
      </w:tblGrid>
      <w:tr>
        <w:tblPrEx>
          <w:tblCellMar>
            <w:top w:w="0" w:type="dxa"/>
            <w:left w:w="20" w:type="dxa"/>
            <w:bottom w:w="0" w:type="dxa"/>
            <w:right w:w="20" w:type="dxa"/>
          </w:tblCellMar>
        </w:tblPrEx>
        <w:trPr>
          <w:trHeight w:val="652" w:hRule="exact"/>
          <w:jc w:val="center"/>
        </w:trPr>
        <w:tc>
          <w:tcPr>
            <w:tcW w:w="9906" w:type="dxa"/>
            <w:gridSpan w:val="13"/>
            <w:tcBorders>
              <w:bottom w:val="single" w:color="000000" w:sz="4" w:space="0"/>
            </w:tcBorders>
            <w:shd w:val="clear" w:color="auto" w:fill="auto"/>
            <w:vAlign w:val="center"/>
          </w:tcPr>
          <w:p>
            <w:pPr>
              <w:pStyle w:val="10"/>
              <w:snapToGrid w:val="0"/>
              <w:spacing w:before="0" w:beforeAutospacing="0" w:after="0" w:afterAutospacing="0" w:line="240" w:lineRule="auto"/>
              <w:jc w:val="center"/>
            </w:pPr>
            <w:r>
              <w:rPr>
                <w:rFonts w:ascii="宋体" w:hAnsi="宋体" w:eastAsia="宋体" w:cs="宋体"/>
                <w:b/>
                <w:color w:val="000000"/>
                <w:kern w:val="2"/>
                <w:sz w:val="40"/>
                <w:szCs w:val="24"/>
                <w:rtl w:val="0"/>
                <w:lang w:val="en-US" w:eastAsia="zh-CN" w:bidi="ar-SA"/>
              </w:rPr>
              <w:t>单位项目自评表</w:t>
            </w:r>
          </w:p>
        </w:tc>
      </w:tr>
      <w:tr>
        <w:tblPrEx>
          <w:shd w:val="clear" w:color="auto" w:fill="auto"/>
          <w:tblCellMar>
            <w:top w:w="0" w:type="dxa"/>
            <w:left w:w="20" w:type="dxa"/>
            <w:bottom w:w="0" w:type="dxa"/>
            <w:right w:w="20" w:type="dxa"/>
          </w:tblCellMar>
        </w:tblPrEx>
        <w:trPr>
          <w:trHeight w:val="435" w:hRule="exact"/>
          <w:jc w:val="center"/>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项目名称</w:t>
            </w:r>
          </w:p>
        </w:tc>
        <w:tc>
          <w:tcPr>
            <w:tcW w:w="915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动物疫情监测补助</w:t>
            </w:r>
          </w:p>
        </w:tc>
      </w:tr>
      <w:tr>
        <w:tblPrEx>
          <w:shd w:val="clear" w:color="auto" w:fill="auto"/>
          <w:tblCellMar>
            <w:top w:w="0" w:type="dxa"/>
            <w:left w:w="20" w:type="dxa"/>
            <w:bottom w:w="0" w:type="dxa"/>
            <w:right w:w="20" w:type="dxa"/>
          </w:tblCellMar>
        </w:tblPrEx>
        <w:trPr>
          <w:trHeight w:val="384" w:hRule="exact"/>
          <w:jc w:val="center"/>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主管部门</w:t>
            </w:r>
          </w:p>
        </w:tc>
        <w:tc>
          <w:tcPr>
            <w:tcW w:w="4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许昌市农业农村局</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实施单位</w:t>
            </w:r>
          </w:p>
        </w:tc>
        <w:tc>
          <w:tcPr>
            <w:tcW w:w="39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许昌市动物疫病预防控制中心</w:t>
            </w:r>
          </w:p>
        </w:tc>
      </w:tr>
      <w:tr>
        <w:tblPrEx>
          <w:shd w:val="clear" w:color="auto" w:fill="auto"/>
          <w:tblCellMar>
            <w:top w:w="0" w:type="dxa"/>
            <w:left w:w="20" w:type="dxa"/>
            <w:bottom w:w="0" w:type="dxa"/>
            <w:right w:w="20" w:type="dxa"/>
          </w:tblCellMar>
        </w:tblPrEx>
        <w:trPr>
          <w:trHeight w:val="422" w:hRule="exact"/>
          <w:jc w:val="center"/>
        </w:trPr>
        <w:tc>
          <w:tcPr>
            <w:tcW w:w="7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项目资金（万元）</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年初预算数</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全年预算数</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全年执行数</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分值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执行率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得分</w:t>
            </w:r>
          </w:p>
        </w:tc>
      </w:tr>
      <w:tr>
        <w:tblPrEx>
          <w:shd w:val="clear" w:color="auto" w:fill="auto"/>
          <w:tblCellMar>
            <w:top w:w="0" w:type="dxa"/>
            <w:left w:w="20" w:type="dxa"/>
            <w:bottom w:w="0" w:type="dxa"/>
            <w:right w:w="20" w:type="dxa"/>
          </w:tblCellMar>
        </w:tblPrEx>
        <w:trPr>
          <w:trHeight w:val="322"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年度资金总额（万元）：</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25</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25</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25</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92</w:t>
            </w:r>
          </w:p>
        </w:tc>
      </w:tr>
      <w:tr>
        <w:tblPrEx>
          <w:shd w:val="clear" w:color="auto" w:fill="auto"/>
          <w:tblCellMar>
            <w:top w:w="0" w:type="dxa"/>
            <w:left w:w="20" w:type="dxa"/>
            <w:bottom w:w="0" w:type="dxa"/>
            <w:right w:w="20" w:type="dxa"/>
          </w:tblCellMar>
        </w:tblPrEx>
        <w:trPr>
          <w:trHeight w:val="322"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政府性预算资金</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25</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25</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25</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r>
      <w:tr>
        <w:tblPrEx>
          <w:shd w:val="clear" w:color="auto" w:fill="auto"/>
          <w:tblCellMar>
            <w:top w:w="0" w:type="dxa"/>
            <w:left w:w="20" w:type="dxa"/>
            <w:bottom w:w="0" w:type="dxa"/>
            <w:right w:w="20" w:type="dxa"/>
          </w:tblCellMar>
        </w:tblPrEx>
        <w:trPr>
          <w:trHeight w:val="322"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财政专户管理资金</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r>
      <w:tr>
        <w:tblPrEx>
          <w:shd w:val="clear" w:color="auto" w:fill="auto"/>
          <w:tblCellMar>
            <w:top w:w="0" w:type="dxa"/>
            <w:left w:w="20" w:type="dxa"/>
            <w:bottom w:w="0" w:type="dxa"/>
            <w:right w:w="20" w:type="dxa"/>
          </w:tblCellMar>
        </w:tblPrEx>
        <w:trPr>
          <w:trHeight w:val="370"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单位资金</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w:t>
            </w:r>
          </w:p>
        </w:tc>
      </w:tr>
      <w:tr>
        <w:tblPrEx>
          <w:shd w:val="clear" w:color="auto" w:fill="auto"/>
          <w:tblCellMar>
            <w:top w:w="0" w:type="dxa"/>
            <w:left w:w="20" w:type="dxa"/>
            <w:bottom w:w="0" w:type="dxa"/>
            <w:right w:w="20" w:type="dxa"/>
          </w:tblCellMar>
        </w:tblPrEx>
        <w:trPr>
          <w:trHeight w:val="564" w:hRule="exact"/>
          <w:jc w:val="center"/>
        </w:trPr>
        <w:tc>
          <w:tcPr>
            <w:tcW w:w="7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资金管理情况</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 xml:space="preserve"> 情况说明</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分值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得分</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存在问题和改进措施</w:t>
            </w:r>
          </w:p>
        </w:tc>
      </w:tr>
      <w:tr>
        <w:tblPrEx>
          <w:shd w:val="clear" w:color="auto" w:fill="auto"/>
          <w:tblCellMar>
            <w:top w:w="0" w:type="dxa"/>
            <w:left w:w="20" w:type="dxa"/>
            <w:bottom w:w="0" w:type="dxa"/>
            <w:right w:w="20" w:type="dxa"/>
          </w:tblCellMar>
        </w:tblPrEx>
        <w:trPr>
          <w:trHeight w:val="447"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安排科学性</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科学</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p>
        </w:tc>
      </w:tr>
      <w:tr>
        <w:tblPrEx>
          <w:shd w:val="clear" w:color="auto" w:fill="auto"/>
          <w:tblCellMar>
            <w:top w:w="0" w:type="dxa"/>
            <w:left w:w="20" w:type="dxa"/>
            <w:bottom w:w="0" w:type="dxa"/>
            <w:right w:w="20" w:type="dxa"/>
          </w:tblCellMar>
        </w:tblPrEx>
        <w:trPr>
          <w:trHeight w:val="435"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拨付合规性</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合规</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p>
        </w:tc>
      </w:tr>
      <w:tr>
        <w:tblPrEx>
          <w:shd w:val="clear" w:color="auto" w:fill="auto"/>
          <w:tblCellMar>
            <w:top w:w="0" w:type="dxa"/>
            <w:left w:w="20" w:type="dxa"/>
            <w:bottom w:w="0" w:type="dxa"/>
            <w:right w:w="20" w:type="dxa"/>
          </w:tblCellMar>
        </w:tblPrEx>
        <w:trPr>
          <w:trHeight w:val="384"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使用规范性</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规范</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p>
        </w:tc>
      </w:tr>
      <w:tr>
        <w:tblPrEx>
          <w:shd w:val="clear" w:color="auto" w:fill="auto"/>
          <w:tblCellMar>
            <w:top w:w="0" w:type="dxa"/>
            <w:left w:w="20" w:type="dxa"/>
            <w:bottom w:w="0" w:type="dxa"/>
            <w:right w:w="20" w:type="dxa"/>
          </w:tblCellMar>
        </w:tblPrEx>
        <w:trPr>
          <w:trHeight w:val="409" w:hRule="exact"/>
          <w:jc w:val="center"/>
        </w:trPr>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预算绩效管理情况</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left"/>
              <w:rPr>
                <w:sz w:val="18"/>
                <w:szCs w:val="18"/>
              </w:rPr>
            </w:pPr>
            <w:r>
              <w:rPr>
                <w:rFonts w:ascii="宋体" w:hAnsi="宋体" w:eastAsia="宋体" w:cs="宋体"/>
                <w:b w:val="0"/>
                <w:i w:val="0"/>
                <w:color w:val="000000"/>
                <w:sz w:val="18"/>
                <w:szCs w:val="18"/>
              </w:rPr>
              <w:t>良好</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5</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p>
        </w:tc>
      </w:tr>
      <w:tr>
        <w:tblPrEx>
          <w:shd w:val="clear" w:color="auto" w:fill="auto"/>
          <w:tblCellMar>
            <w:top w:w="0" w:type="dxa"/>
            <w:left w:w="20" w:type="dxa"/>
            <w:bottom w:w="0" w:type="dxa"/>
            <w:right w:w="20" w:type="dxa"/>
          </w:tblCellMar>
        </w:tblPrEx>
        <w:trPr>
          <w:trHeight w:val="569" w:hRule="exact"/>
          <w:jc w:val="center"/>
        </w:trPr>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年度总体目标</w:t>
            </w:r>
          </w:p>
        </w:tc>
        <w:tc>
          <w:tcPr>
            <w:tcW w:w="44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预期目标</w:t>
            </w:r>
          </w:p>
        </w:tc>
        <w:tc>
          <w:tcPr>
            <w:tcW w:w="51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实际完成情况</w:t>
            </w:r>
          </w:p>
        </w:tc>
      </w:tr>
      <w:tr>
        <w:tblPrEx>
          <w:shd w:val="clear" w:color="auto" w:fill="auto"/>
          <w:tblCellMar>
            <w:top w:w="0" w:type="dxa"/>
            <w:left w:w="20" w:type="dxa"/>
            <w:bottom w:w="0" w:type="dxa"/>
            <w:right w:w="20" w:type="dxa"/>
          </w:tblCellMar>
        </w:tblPrEx>
        <w:trPr>
          <w:trHeight w:val="635"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44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目标1：对全市重大动物疫情进行监测</w:t>
            </w:r>
          </w:p>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 xml:space="preserve"> 目标2：对全市流行病进行调查</w:t>
            </w:r>
          </w:p>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 xml:space="preserve"> </w:t>
            </w:r>
          </w:p>
        </w:tc>
        <w:tc>
          <w:tcPr>
            <w:tcW w:w="51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口蹄疫等主要动物疫病监测检验≧3770项次；使口蹄疫、高致病性禽流感、布病等优先防治病种疫情保持平稳。</w:t>
            </w:r>
          </w:p>
        </w:tc>
      </w:tr>
      <w:tr>
        <w:tblPrEx>
          <w:shd w:val="clear" w:color="auto" w:fill="auto"/>
          <w:tblCellMar>
            <w:top w:w="0" w:type="dxa"/>
            <w:left w:w="20" w:type="dxa"/>
            <w:bottom w:w="0" w:type="dxa"/>
            <w:right w:w="20" w:type="dxa"/>
          </w:tblCellMar>
        </w:tblPrEx>
        <w:trPr>
          <w:trHeight w:val="565" w:hRule="exact"/>
          <w:jc w:val="center"/>
        </w:trPr>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绩效指标</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一级指标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二级指标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三级指标</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年度指标值</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实际完成值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分值</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得分</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偏差度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偏差原因分析及改进措施</w:t>
            </w:r>
          </w:p>
        </w:tc>
      </w:tr>
      <w:tr>
        <w:tblPrEx>
          <w:shd w:val="clear" w:color="auto" w:fill="auto"/>
          <w:tblCellMar>
            <w:top w:w="0" w:type="dxa"/>
            <w:left w:w="20" w:type="dxa"/>
            <w:bottom w:w="0" w:type="dxa"/>
            <w:right w:w="20" w:type="dxa"/>
          </w:tblCellMar>
        </w:tblPrEx>
        <w:trPr>
          <w:trHeight w:val="996"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成本指标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rPr>
                <w:sz w:val="18"/>
                <w:szCs w:val="18"/>
              </w:rPr>
            </w:pPr>
            <w:r>
              <w:rPr>
                <w:rFonts w:ascii="宋体" w:hAnsi="宋体" w:eastAsia="宋体" w:cs="宋体"/>
                <w:b w:val="0"/>
                <w:i w:val="0"/>
                <w:color w:val="000000"/>
                <w:sz w:val="18"/>
                <w:szCs w:val="18"/>
              </w:rPr>
              <w:t>经济成本指标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动物疫情监测补助经费</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≤25万元</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1.42万元</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2</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0.8</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款项拨付较晚，没能及时支付，次年3月已支付完成</w:t>
            </w:r>
          </w:p>
        </w:tc>
      </w:tr>
      <w:tr>
        <w:tblPrEx>
          <w:shd w:val="clear" w:color="auto" w:fill="auto"/>
          <w:tblCellMar>
            <w:top w:w="0" w:type="dxa"/>
            <w:left w:w="20" w:type="dxa"/>
            <w:bottom w:w="0" w:type="dxa"/>
            <w:right w:w="20" w:type="dxa"/>
          </w:tblCellMar>
        </w:tblPrEx>
        <w:trPr>
          <w:trHeight w:val="397"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产出指标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数量指标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重大动物疫情监测完成数量</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≥4270</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4270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30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30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472"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质量指标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依法对重大动物疫病处置率</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≥100%</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297"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时效指标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537"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效益指标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经济效益指标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582"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社会效益指标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资金使用无重大违规违纪现象</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30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30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632"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生态效益指标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840"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满意度指标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服务对象满意度指标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养殖场户满意度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≥40个</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40个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20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20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0.00%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r>
        <w:tblPrEx>
          <w:shd w:val="clear" w:color="auto" w:fill="auto"/>
          <w:tblCellMar>
            <w:top w:w="0" w:type="dxa"/>
            <w:left w:w="20" w:type="dxa"/>
            <w:bottom w:w="0" w:type="dxa"/>
            <w:right w:w="20" w:type="dxa"/>
          </w:tblCellMar>
        </w:tblPrEx>
        <w:trPr>
          <w:trHeight w:val="404" w:hRule="exac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55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总分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100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r>
              <w:rPr>
                <w:rFonts w:ascii="宋体" w:hAnsi="宋体" w:eastAsia="宋体" w:cs="宋体"/>
                <w:b w:val="0"/>
                <w:i w:val="0"/>
                <w:color w:val="000000"/>
                <w:sz w:val="18"/>
                <w:szCs w:val="18"/>
              </w:rPr>
              <w:t>92</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snapToGrid w:val="0"/>
              <w:spacing w:before="0" w:beforeAutospacing="0" w:after="0" w:afterAutospacing="0" w:line="240" w:lineRule="auto"/>
              <w:jc w:val="center"/>
              <w:rPr>
                <w:sz w:val="18"/>
                <w:szCs w:val="18"/>
              </w:rPr>
            </w:pPr>
          </w:p>
        </w:tc>
      </w:tr>
    </w:tbl>
    <w:p>
      <w:pPr>
        <w:pStyle w:val="10"/>
      </w:pPr>
      <w:r>
        <w:br w:type="page"/>
      </w:r>
    </w:p>
    <w:tbl>
      <w:tblPr>
        <w:tblStyle w:val="11"/>
        <w:tblW w:w="5000" w:type="pct"/>
        <w:tblInd w:w="0" w:type="dxa"/>
        <w:shd w:val="clear" w:color="auto" w:fill="auto"/>
        <w:tblLayout w:type="autofit"/>
        <w:tblCellMar>
          <w:top w:w="0" w:type="dxa"/>
          <w:left w:w="0" w:type="dxa"/>
          <w:bottom w:w="0" w:type="dxa"/>
          <w:right w:w="0" w:type="dxa"/>
        </w:tblCellMar>
      </w:tblPr>
      <w:tblGrid>
        <w:gridCol w:w="530"/>
        <w:gridCol w:w="468"/>
        <w:gridCol w:w="1047"/>
        <w:gridCol w:w="796"/>
        <w:gridCol w:w="1030"/>
        <w:gridCol w:w="2301"/>
        <w:gridCol w:w="86"/>
        <w:gridCol w:w="593"/>
        <w:gridCol w:w="381"/>
        <w:gridCol w:w="443"/>
        <w:gridCol w:w="419"/>
        <w:gridCol w:w="863"/>
        <w:gridCol w:w="773"/>
        <w:gridCol w:w="746"/>
      </w:tblGrid>
      <w:tr>
        <w:tblPrEx>
          <w:tblCellMar>
            <w:top w:w="0" w:type="dxa"/>
            <w:left w:w="0" w:type="dxa"/>
            <w:bottom w:w="0" w:type="dxa"/>
            <w:right w:w="0" w:type="dxa"/>
          </w:tblCellMar>
        </w:tblPrEx>
        <w:trPr>
          <w:trHeight w:val="566" w:hRule="exact"/>
        </w:trPr>
        <w:tc>
          <w:tcPr>
            <w:tcW w:w="0" w:type="auto"/>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2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0" w:type="auto"/>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提前下达2023年中央财政农业相关转移支付资金（动物防疫等补助经费）（上级提前下达） </w:t>
            </w:r>
          </w:p>
        </w:tc>
      </w:tr>
      <w:tr>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0" w:type="auto"/>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许昌市农业农村局</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0" w:type="auto"/>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许昌市动物卫生监督所</w:t>
            </w:r>
          </w:p>
        </w:tc>
      </w:tr>
      <w:tr>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科学安排并控制预算数额，完成年度总体目标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项目开始执行时间较晚，应尽早开始执行项目</w:t>
            </w: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严格安全财务管理制度，规范资金合规拨付</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资金使用规范，符合国家财经法规和财务管理及专项资金管理办法的规定</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完成设定的绩效目标，项目有序开展</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项目开始执行时间较晚，应尽早开始执行项目</w:t>
            </w:r>
          </w:p>
        </w:tc>
      </w:tr>
      <w:tr>
        <w:tblPrEx>
          <w:shd w:val="clear" w:color="auto" w:fill="auto"/>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0" w:type="auto"/>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tblPrEx>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宋体" w:hAnsi="宋体" w:eastAsia="宋体" w:cs="宋体"/>
                <w:color w:val="000000"/>
                <w:sz w:val="18"/>
                <w:rtl w:val="0"/>
              </w:rPr>
            </w:pP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开展强制免疫、强制扑杀和养殖环节病死猪无害化处理</w:t>
            </w:r>
          </w:p>
        </w:tc>
        <w:tc>
          <w:tcPr>
            <w:tcW w:w="0" w:type="auto"/>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完成开展强制免疫、强制扑杀和养殖环节病死猪无害化处理设置的目标</w:t>
            </w:r>
          </w:p>
        </w:tc>
      </w:tr>
      <w:tr>
        <w:tblPrEx>
          <w:shd w:val="clear" w:color="auto" w:fill="auto"/>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宋体" w:hAnsi="宋体" w:eastAsia="宋体" w:cs="宋体"/>
                <w:color w:val="000000"/>
                <w:sz w:val="18"/>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本项目经济成本总额度控制</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5.00万元</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强制免疫病重应免畜禽的免疫密度</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依法对重大动物疫情处置率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中央财政补助经费使用率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中央财政补助经费使用时效性</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本项目2023年12月31日前完成</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项目开始执行时间较晚，应尽早开始执行项目</w:t>
            </w:r>
          </w:p>
        </w:tc>
      </w:tr>
      <w:tr>
        <w:tblPrEx>
          <w:shd w:val="clear" w:color="auto" w:fill="auto"/>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宋体" w:hAnsi="宋体" w:eastAsia="宋体" w:cs="宋体"/>
                <w:color w:val="000000"/>
                <w:sz w:val="18"/>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67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口蹄疫、高致病性禽流感、布病等优先防治病种防治工作</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疫情保持平稳</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大规模随意抛弃病死猪事件</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不发生</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接受强制免疫养殖户满意度</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96</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5" w:hRule="exact"/>
        </w:trPr>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20"/>
              <w:widowControl w:val="0"/>
              <w:ind w:left="0" w:right="0"/>
              <w:contextualSpacing w:val="0"/>
              <w:rPr>
                <w:rFonts w:ascii="Arial" w:hAnsi="Arial" w:eastAsia="Arial" w:cs="Arial"/>
                <w:color w:val="000000"/>
                <w:sz w:val="24"/>
                <w:rtl w:val="0"/>
              </w:rPr>
            </w:pPr>
          </w:p>
        </w:tc>
      </w:tr>
    </w:tbl>
    <w:p>
      <w:pPr>
        <w:pStyle w:val="10"/>
      </w:pPr>
      <w:r>
        <w:br w:type="page"/>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0"/>
        <w:gridCol w:w="773"/>
        <w:gridCol w:w="1478"/>
        <w:gridCol w:w="1020"/>
        <w:gridCol w:w="982"/>
        <w:gridCol w:w="810"/>
        <w:gridCol w:w="54"/>
        <w:gridCol w:w="770"/>
        <w:gridCol w:w="433"/>
        <w:gridCol w:w="439"/>
        <w:gridCol w:w="365"/>
        <w:gridCol w:w="736"/>
        <w:gridCol w:w="866"/>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21"/>
              <w:spacing w:beforeLines="0" w:afterLines="0" w:line="465" w:lineRule="exact"/>
              <w:ind w:left="20"/>
              <w:jc w:val="center"/>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b/>
                <w:sz w:val="40"/>
                <w:szCs w:val="40"/>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项目名称</w:t>
            </w:r>
          </w:p>
        </w:tc>
        <w:tc>
          <w:tcPr>
            <w:tcW w:w="0" w:type="auto"/>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奶牛品种登记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农业农村局</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实施单位</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许昌市畜牧技术推广站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年初预算数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执行率 %</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2"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得分</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安排科学性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拨付合规性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使用规范性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预算绩效管理情况</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优</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预期目标</w:t>
            </w:r>
          </w:p>
        </w:tc>
        <w:tc>
          <w:tcPr>
            <w:tcW w:w="0" w:type="auto"/>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sz w:val="18"/>
                <w:szCs w:val="18"/>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开展奶牛品种登记</w:t>
            </w:r>
          </w:p>
        </w:tc>
        <w:tc>
          <w:tcPr>
            <w:tcW w:w="0" w:type="auto"/>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完成年初奶牛品种登记1000头任务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年度指标值</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偏差度 %</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sz w:val="18"/>
                <w:szCs w:val="18"/>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奶牛品种登记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1200头</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1441</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无</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完成比例120.08%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奶牛品种登记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≥1200头</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1441</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无</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登记信息准确率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无</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生鲜乳供应能力</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提升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both"/>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无</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支持奶业发展服务养殖场满意度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无</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line="225" w:lineRule="exact"/>
              <w:ind w:left="2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21"/>
              <w:spacing w:beforeLines="0" w:afterLines="0"/>
              <w:jc w:val="center"/>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21"/>
              <w:spacing w:beforeLines="0" w:afterLines="0"/>
              <w:rPr>
                <w:rFonts w:hint="eastAsia" w:asciiTheme="minorEastAsia" w:hAnsiTheme="minorEastAsia" w:eastAsiaTheme="minorEastAsia" w:cstheme="minorEastAsia"/>
                <w:color w:val="auto"/>
                <w:sz w:val="24"/>
                <w:szCs w:val="24"/>
              </w:rPr>
            </w:pPr>
          </w:p>
        </w:tc>
      </w:tr>
    </w:tbl>
    <w:p>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823"/>
        <w:gridCol w:w="1599"/>
        <w:gridCol w:w="471"/>
        <w:gridCol w:w="431"/>
        <w:gridCol w:w="1604"/>
        <w:gridCol w:w="1211"/>
        <w:gridCol w:w="688"/>
        <w:gridCol w:w="689"/>
        <w:gridCol w:w="568"/>
        <w:gridCol w:w="938"/>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农产品质量安全检测专项经费（结转本级资金）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许昌市农产品质量安全检测检验中心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w:t>
            </w:r>
          </w:p>
        </w:tc>
        <w:tc>
          <w:tcPr>
            <w:tcW w:w="0" w:type="auto"/>
            <w:tcBorders>
              <w:top w:val="nil"/>
              <w:left w:val="nil"/>
              <w:bottom w:val="nil"/>
              <w:right w:val="nil"/>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预算绩效管理科学规范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市"双安双创”和国家对食用农产品监测的相关要求，2022年开展全市农产品质量安全例行监测和专项监测，监测农产品（蔬菜、水果、食用菌、小麦、玉米、花生等）样品数940份，每份样品检测约50余项污染物参数（包括：农药残留、生物毒素含量等）。</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市"双安双创”和国家对食用农产品监测的相关要求，2022年开展全市农产品质量安全例行监测和专项监测，监测农产品（蔬菜、水果、食用菌、小麦、玉米、花生等）样品数940份，每份样品检测约50余项污染物参数（包括：农药残留、生物毒素含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项目实施所产生的直接经济成本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82855.80元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监测农产品（蔬菜。水果、食用菌）份数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抽取农产品样品的科学性、合理性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2023年3月31日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社会公众对农产品质量安全重视度逐步提升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服务对象（受检单位）生态意识逐步提升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服务对象（受检单位）满意度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2"/>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r>
        <w:br w:type="page"/>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zg904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FBEE"/>
    <w:multiLevelType w:val="multilevel"/>
    <w:tmpl w:val="AFFCFBE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5FD70F61"/>
    <w:rsid w:val="6FFFFFCC"/>
    <w:rsid w:val="7FFF0CF8"/>
    <w:rsid w:val="976F4FC0"/>
    <w:rsid w:val="9FFFBE7A"/>
    <w:rsid w:val="FFFFB41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21933314-83a6-4f0c-9907-8846267fa52e"/>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Normal Table_4ae1150a-4904-408b-8ffb-e8e1e3a604f8"/>
    <w:semiHidden/>
    <w:qFormat/>
    <w:uiPriority w:val="0"/>
    <w:tblPr>
      <w:tblCellMar>
        <w:top w:w="0" w:type="dxa"/>
        <w:left w:w="108" w:type="dxa"/>
        <w:bottom w:w="0" w:type="dxa"/>
        <w:right w:w="108" w:type="dxa"/>
      </w:tblCellMar>
    </w:tblPr>
  </w:style>
  <w:style w:type="paragraph" w:customStyle="1" w:styleId="12">
    <w:name w:val="Normal_a8d683cd-86a4-4102-ac26-7b6001f71c5a"/>
    <w:qFormat/>
    <w:uiPriority w:val="0"/>
    <w:pPr>
      <w:widowControl w:val="0"/>
      <w:jc w:val="both"/>
    </w:pPr>
    <w:rPr>
      <w:rFonts w:ascii="Calibri" w:hAnsi="Calibri" w:eastAsia="宋体" w:cs="Times New Roman"/>
      <w:kern w:val="2"/>
      <w:sz w:val="21"/>
      <w:szCs w:val="24"/>
      <w:lang w:val="en-US" w:eastAsia="zh-CN" w:bidi="ar-SA"/>
    </w:rPr>
  </w:style>
  <w:style w:type="table" w:customStyle="1" w:styleId="13">
    <w:name w:val="普通表格1"/>
    <w:semiHidden/>
    <w:qFormat/>
    <w:uiPriority w:val="0"/>
    <w:tblPr>
      <w:tblCellMar>
        <w:top w:w="0" w:type="dxa"/>
        <w:left w:w="108" w:type="dxa"/>
        <w:bottom w:w="0" w:type="dxa"/>
        <w:right w:w="108" w:type="dxa"/>
      </w:tblCellMar>
    </w:tblPr>
  </w:style>
  <w:style w:type="paragraph" w:customStyle="1" w:styleId="14">
    <w:name w:val="Normal_b1b996be-3be2-4ec8-af53-6e8d9fada608"/>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5">
    <w:name w:val="Normal Table_2c6648c6-d7f6-4676-83eb-571f73098728"/>
    <w:semiHidden/>
    <w:qFormat/>
    <w:uiPriority w:val="0"/>
    <w:tblPr>
      <w:tblCellMar>
        <w:top w:w="0" w:type="dxa"/>
        <w:left w:w="108" w:type="dxa"/>
        <w:bottom w:w="0" w:type="dxa"/>
        <w:right w:w="108" w:type="dxa"/>
      </w:tblCellMar>
    </w:tblPr>
  </w:style>
  <w:style w:type="paragraph" w:customStyle="1" w:styleId="16">
    <w:name w:val="Normal_49020889-ac03-41b8-89f2-0a211d536383"/>
    <w:qFormat/>
    <w:uiPriority w:val="0"/>
    <w:pPr>
      <w:widowControl w:val="0"/>
      <w:jc w:val="both"/>
    </w:pPr>
    <w:rPr>
      <w:rFonts w:ascii="Calibri" w:hAnsi="Calibri" w:eastAsia="宋体" w:cs="Times New Roman"/>
      <w:kern w:val="2"/>
      <w:sz w:val="21"/>
      <w:szCs w:val="24"/>
      <w:lang w:val="en-US" w:eastAsia="zh-CN" w:bidi="ar-SA"/>
    </w:rPr>
  </w:style>
  <w:style w:type="character" w:customStyle="1" w:styleId="17">
    <w:name w:val="默认段落字体1"/>
    <w:semiHidden/>
    <w:qFormat/>
    <w:uiPriority w:val="0"/>
  </w:style>
  <w:style w:type="character" w:customStyle="1" w:styleId="18">
    <w:name w:val="font21"/>
    <w:basedOn w:val="17"/>
    <w:qFormat/>
    <w:uiPriority w:val="0"/>
    <w:rPr>
      <w:rFonts w:hint="eastAsia" w:ascii="宋体" w:hAnsi="宋体" w:eastAsia="宋体" w:cs="宋体"/>
      <w:color w:val="000000"/>
      <w:sz w:val="24"/>
      <w:szCs w:val="24"/>
      <w:u w:val="none"/>
    </w:rPr>
  </w:style>
  <w:style w:type="character" w:customStyle="1" w:styleId="19">
    <w:name w:val="font31"/>
    <w:basedOn w:val="17"/>
    <w:qFormat/>
    <w:uiPriority w:val="0"/>
    <w:rPr>
      <w:rFonts w:hint="eastAsia" w:ascii="宋体" w:hAnsi="宋体" w:eastAsia="宋体" w:cs="宋体"/>
      <w:color w:val="000000"/>
      <w:sz w:val="24"/>
      <w:szCs w:val="24"/>
      <w:u w:val="none"/>
    </w:rPr>
  </w:style>
  <w:style w:type="paragraph" w:customStyle="1" w:styleId="20">
    <w:name w:val="Normal_e3bcb009-4015-46dc-b808-344f73e5abd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Normal_8d525685-aaab-42f9-9519-aa6c4c14009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Normal_0048c9ee-8908-4720-80a7-cbcb003e5c05"/>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0</TotalTime>
  <ScaleCrop>false</ScaleCrop>
  <LinksUpToDate>false</LinksUpToDate>
  <CharactersWithSpaces>19464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being</cp:lastModifiedBy>
  <dcterms:modified xsi:type="dcterms:W3CDTF">2024-09-20T17:00:30Z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