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许昌市军队离退休干部第二休养所单位决算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许昌市军队离退休干部第二休养所概况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许昌市军队离退休干部第二休养所概况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承担安置军队离退休干部并为其服务的工作。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许昌市军队离退休干部第二休养所内设机构4个,包括：财务科、办公室、党建科、后勤科。。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从决算单位构成看，许昌市军队离退休干部第二休养所单位决算包括：本级决算（1个）。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许昌市军队离退休干部第二休养所。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单位：许昌市军队离退休干部第二休养所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1,133.21</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0.73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56.91</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1,184.88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5.27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1,190.12</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1,190.87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0.75</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1,190.87</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1,190.87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单位：许昌市军队离退休干部第二休养所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1,190.12</w:t>
            </w:r>
          </w:p>
        </w:tc>
        <w:tc>
          <w:tcPr>
            <w:tcW w:w="1440" w:type="dxa"/>
            <w:vAlign w:val="center"/>
          </w:tcPr>
          <w:p>
            <w:pPr>
              <w:jc w:val="right"/>
            </w:pPr>
            <w:r>
              <w:rPr>
                <w:rFonts w:ascii="宋体" w:hAnsi="宋体" w:eastAsia="宋体" w:cs="宋体"/>
                <w:b/>
                <w:i w:val="0"/>
                <w:color w:val="000000"/>
                <w:sz w:val="17"/>
              </w:rPr>
              <w:t>1,133.21</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56.91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0.73</w:t>
            </w:r>
          </w:p>
        </w:tc>
        <w:tc>
          <w:tcPr>
            <w:tcW w:w="1440" w:type="dxa"/>
            <w:vAlign w:val="center"/>
          </w:tcPr>
          <w:p>
            <w:pPr>
              <w:jc w:val="right"/>
            </w:pPr>
            <w:r>
              <w:rPr>
                <w:rFonts w:ascii="宋体" w:hAnsi="宋体" w:eastAsia="宋体" w:cs="宋体"/>
                <w:b w:val="0"/>
                <w:i w:val="0"/>
                <w:color w:val="000000"/>
                <w:sz w:val="17"/>
              </w:rPr>
              <w:t>0.73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0.73</w:t>
            </w:r>
          </w:p>
        </w:tc>
        <w:tc>
          <w:tcPr>
            <w:tcW w:w="1440" w:type="dxa"/>
            <w:vAlign w:val="center"/>
          </w:tcPr>
          <w:p>
            <w:pPr>
              <w:jc w:val="right"/>
            </w:pPr>
            <w:r>
              <w:rPr>
                <w:rFonts w:ascii="宋体" w:hAnsi="宋体" w:eastAsia="宋体" w:cs="宋体"/>
                <w:b w:val="0"/>
                <w:i w:val="0"/>
                <w:color w:val="000000"/>
                <w:sz w:val="17"/>
              </w:rPr>
              <w:t>0.73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0.73</w:t>
            </w:r>
          </w:p>
        </w:tc>
        <w:tc>
          <w:tcPr>
            <w:tcW w:w="1440" w:type="dxa"/>
            <w:vAlign w:val="center"/>
          </w:tcPr>
          <w:p>
            <w:pPr>
              <w:jc w:val="right"/>
            </w:pPr>
            <w:r>
              <w:rPr>
                <w:rFonts w:ascii="宋体" w:hAnsi="宋体" w:eastAsia="宋体" w:cs="宋体"/>
                <w:b w:val="0"/>
                <w:i w:val="0"/>
                <w:color w:val="000000"/>
                <w:sz w:val="17"/>
              </w:rPr>
              <w:t>0.73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1,184.13</w:t>
            </w:r>
          </w:p>
        </w:tc>
        <w:tc>
          <w:tcPr>
            <w:tcW w:w="1440" w:type="dxa"/>
            <w:vAlign w:val="center"/>
          </w:tcPr>
          <w:p>
            <w:pPr>
              <w:jc w:val="right"/>
            </w:pPr>
            <w:r>
              <w:rPr>
                <w:rFonts w:ascii="宋体" w:hAnsi="宋体" w:eastAsia="宋体" w:cs="宋体"/>
                <w:b w:val="0"/>
                <w:i w:val="0"/>
                <w:color w:val="000000"/>
                <w:sz w:val="17"/>
              </w:rPr>
              <w:t>1,127.22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56.91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6.03</w:t>
            </w:r>
          </w:p>
        </w:tc>
        <w:tc>
          <w:tcPr>
            <w:tcW w:w="1440" w:type="dxa"/>
            <w:vAlign w:val="center"/>
          </w:tcPr>
          <w:p>
            <w:pPr>
              <w:jc w:val="right"/>
            </w:pPr>
            <w:r>
              <w:rPr>
                <w:rFonts w:ascii="宋体" w:hAnsi="宋体" w:eastAsia="宋体" w:cs="宋体"/>
                <w:b w:val="0"/>
                <w:i w:val="0"/>
                <w:color w:val="000000"/>
                <w:sz w:val="17"/>
              </w:rPr>
              <w:t>6.03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6.03</w:t>
            </w:r>
          </w:p>
        </w:tc>
        <w:tc>
          <w:tcPr>
            <w:tcW w:w="1440" w:type="dxa"/>
            <w:vAlign w:val="center"/>
          </w:tcPr>
          <w:p>
            <w:pPr>
              <w:jc w:val="right"/>
            </w:pPr>
            <w:r>
              <w:rPr>
                <w:rFonts w:ascii="宋体" w:hAnsi="宋体" w:eastAsia="宋体" w:cs="宋体"/>
                <w:b w:val="0"/>
                <w:i w:val="0"/>
                <w:color w:val="000000"/>
                <w:sz w:val="17"/>
              </w:rPr>
              <w:t>6.03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w:t>
            </w:r>
          </w:p>
        </w:tc>
        <w:tc>
          <w:tcPr>
            <w:tcW w:w="3140" w:type="dxa"/>
            <w:vAlign w:val="center"/>
          </w:tcPr>
          <w:p>
            <w:pPr>
              <w:jc w:val="left"/>
            </w:pPr>
            <w:r>
              <w:rPr>
                <w:rFonts w:ascii="宋体" w:hAnsi="宋体" w:eastAsia="宋体" w:cs="宋体"/>
                <w:b w:val="0"/>
                <w:i w:val="0"/>
                <w:color w:val="000000"/>
                <w:sz w:val="17"/>
              </w:rPr>
              <w:t>退役安置</w:t>
            </w:r>
          </w:p>
        </w:tc>
        <w:tc>
          <w:tcPr>
            <w:tcW w:w="1440" w:type="dxa"/>
            <w:vAlign w:val="center"/>
          </w:tcPr>
          <w:p>
            <w:pPr>
              <w:jc w:val="right"/>
            </w:pPr>
            <w:r>
              <w:rPr>
                <w:rFonts w:ascii="宋体" w:hAnsi="宋体" w:eastAsia="宋体" w:cs="宋体"/>
                <w:b w:val="0"/>
                <w:i w:val="0"/>
                <w:color w:val="000000"/>
                <w:sz w:val="17"/>
              </w:rPr>
              <w:t>1,178.10</w:t>
            </w:r>
          </w:p>
        </w:tc>
        <w:tc>
          <w:tcPr>
            <w:tcW w:w="1440" w:type="dxa"/>
            <w:vAlign w:val="center"/>
          </w:tcPr>
          <w:p>
            <w:pPr>
              <w:jc w:val="right"/>
            </w:pPr>
            <w:r>
              <w:rPr>
                <w:rFonts w:ascii="宋体" w:hAnsi="宋体" w:eastAsia="宋体" w:cs="宋体"/>
                <w:b w:val="0"/>
                <w:i w:val="0"/>
                <w:color w:val="000000"/>
                <w:sz w:val="17"/>
              </w:rPr>
              <w:t>1,121.19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56.91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2080903</w:t>
            </w:r>
          </w:p>
        </w:tc>
        <w:tc>
          <w:tcPr>
            <w:tcW w:w="3140" w:type="dxa"/>
            <w:vAlign w:val="center"/>
          </w:tcPr>
          <w:p>
            <w:pPr>
              <w:jc w:val="left"/>
            </w:pPr>
            <w:r>
              <w:rPr>
                <w:rFonts w:ascii="宋体" w:hAnsi="宋体" w:eastAsia="宋体" w:cs="宋体"/>
                <w:b w:val="0"/>
                <w:i w:val="0"/>
                <w:color w:val="000000"/>
                <w:sz w:val="17"/>
              </w:rPr>
              <w:t>军队移交政府离退休干部管理机构</w:t>
            </w:r>
          </w:p>
        </w:tc>
        <w:tc>
          <w:tcPr>
            <w:tcW w:w="1440" w:type="dxa"/>
            <w:vAlign w:val="center"/>
          </w:tcPr>
          <w:p>
            <w:pPr>
              <w:jc w:val="right"/>
            </w:pPr>
            <w:r>
              <w:rPr>
                <w:rFonts w:ascii="宋体" w:hAnsi="宋体" w:eastAsia="宋体" w:cs="宋体"/>
                <w:b w:val="0"/>
                <w:i w:val="0"/>
                <w:color w:val="000000"/>
                <w:sz w:val="17"/>
              </w:rPr>
              <w:t>1,178.10</w:t>
            </w:r>
          </w:p>
        </w:tc>
        <w:tc>
          <w:tcPr>
            <w:tcW w:w="1440" w:type="dxa"/>
            <w:vAlign w:val="center"/>
          </w:tcPr>
          <w:p>
            <w:pPr>
              <w:jc w:val="right"/>
            </w:pPr>
            <w:r>
              <w:rPr>
                <w:rFonts w:ascii="宋体" w:hAnsi="宋体" w:eastAsia="宋体" w:cs="宋体"/>
                <w:b w:val="0"/>
                <w:i w:val="0"/>
                <w:color w:val="000000"/>
                <w:sz w:val="17"/>
              </w:rPr>
              <w:t>1,121.19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56.91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5.27</w:t>
            </w:r>
          </w:p>
        </w:tc>
        <w:tc>
          <w:tcPr>
            <w:tcW w:w="1440" w:type="dxa"/>
            <w:vAlign w:val="center"/>
          </w:tcPr>
          <w:p>
            <w:pPr>
              <w:jc w:val="right"/>
            </w:pPr>
            <w:r>
              <w:rPr>
                <w:rFonts w:ascii="宋体" w:hAnsi="宋体" w:eastAsia="宋体" w:cs="宋体"/>
                <w:b w:val="0"/>
                <w:i w:val="0"/>
                <w:color w:val="000000"/>
                <w:sz w:val="17"/>
              </w:rPr>
              <w:t>5.27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5.27</w:t>
            </w:r>
          </w:p>
        </w:tc>
        <w:tc>
          <w:tcPr>
            <w:tcW w:w="1440" w:type="dxa"/>
            <w:vAlign w:val="center"/>
          </w:tcPr>
          <w:p>
            <w:pPr>
              <w:jc w:val="right"/>
            </w:pPr>
            <w:r>
              <w:rPr>
                <w:rFonts w:ascii="宋体" w:hAnsi="宋体" w:eastAsia="宋体" w:cs="宋体"/>
                <w:b w:val="0"/>
                <w:i w:val="0"/>
                <w:color w:val="000000"/>
                <w:sz w:val="17"/>
              </w:rPr>
              <w:t>5.27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5.27</w:t>
            </w:r>
          </w:p>
        </w:tc>
        <w:tc>
          <w:tcPr>
            <w:tcW w:w="1440" w:type="dxa"/>
            <w:vAlign w:val="center"/>
          </w:tcPr>
          <w:p>
            <w:pPr>
              <w:jc w:val="right"/>
            </w:pPr>
            <w:r>
              <w:rPr>
                <w:rFonts w:ascii="宋体" w:hAnsi="宋体" w:eastAsia="宋体" w:cs="宋体"/>
                <w:b w:val="0"/>
                <w:i w:val="0"/>
                <w:color w:val="000000"/>
                <w:sz w:val="17"/>
              </w:rPr>
              <w:t>5.27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单位：许昌市军队离退休干部第二休养所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1,190.87</w:t>
            </w:r>
          </w:p>
        </w:tc>
        <w:tc>
          <w:tcPr>
            <w:tcW w:w="1600" w:type="dxa"/>
            <w:vAlign w:val="center"/>
          </w:tcPr>
          <w:p>
            <w:pPr>
              <w:jc w:val="right"/>
            </w:pPr>
            <w:r>
              <w:rPr>
                <w:rFonts w:ascii="宋体" w:hAnsi="宋体" w:eastAsia="宋体" w:cs="宋体"/>
                <w:b/>
                <w:i w:val="0"/>
                <w:color w:val="000000"/>
                <w:sz w:val="19"/>
              </w:rPr>
              <w:t>281.26</w:t>
            </w:r>
          </w:p>
        </w:tc>
        <w:tc>
          <w:tcPr>
            <w:tcW w:w="1600" w:type="dxa"/>
            <w:vAlign w:val="center"/>
          </w:tcPr>
          <w:p>
            <w:pPr>
              <w:jc w:val="right"/>
            </w:pPr>
            <w:r>
              <w:rPr>
                <w:rFonts w:ascii="宋体" w:hAnsi="宋体" w:eastAsia="宋体" w:cs="宋体"/>
                <w:b/>
                <w:i w:val="0"/>
                <w:color w:val="000000"/>
                <w:sz w:val="19"/>
              </w:rPr>
              <w:t>909.62</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0.73</w:t>
            </w:r>
          </w:p>
        </w:tc>
        <w:tc>
          <w:tcPr>
            <w:tcW w:w="1600" w:type="dxa"/>
            <w:vAlign w:val="center"/>
          </w:tcPr>
          <w:p>
            <w:pPr>
              <w:jc w:val="right"/>
            </w:pPr>
            <w:r>
              <w:rPr>
                <w:rFonts w:ascii="宋体" w:hAnsi="宋体" w:eastAsia="宋体" w:cs="宋体"/>
                <w:b w:val="0"/>
                <w:i w:val="0"/>
                <w:color w:val="000000"/>
                <w:sz w:val="19"/>
              </w:rPr>
              <w:t>0.73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0.73</w:t>
            </w:r>
          </w:p>
        </w:tc>
        <w:tc>
          <w:tcPr>
            <w:tcW w:w="1600" w:type="dxa"/>
            <w:vAlign w:val="center"/>
          </w:tcPr>
          <w:p>
            <w:pPr>
              <w:jc w:val="right"/>
            </w:pPr>
            <w:r>
              <w:rPr>
                <w:rFonts w:ascii="宋体" w:hAnsi="宋体" w:eastAsia="宋体" w:cs="宋体"/>
                <w:b w:val="0"/>
                <w:i w:val="0"/>
                <w:color w:val="000000"/>
                <w:sz w:val="19"/>
              </w:rPr>
              <w:t>0.73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0.73</w:t>
            </w:r>
          </w:p>
        </w:tc>
        <w:tc>
          <w:tcPr>
            <w:tcW w:w="1600" w:type="dxa"/>
            <w:vAlign w:val="center"/>
          </w:tcPr>
          <w:p>
            <w:pPr>
              <w:jc w:val="right"/>
            </w:pPr>
            <w:r>
              <w:rPr>
                <w:rFonts w:ascii="宋体" w:hAnsi="宋体" w:eastAsia="宋体" w:cs="宋体"/>
                <w:b w:val="0"/>
                <w:i w:val="0"/>
                <w:color w:val="000000"/>
                <w:sz w:val="19"/>
              </w:rPr>
              <w:t>0.73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1,184.88</w:t>
            </w:r>
          </w:p>
        </w:tc>
        <w:tc>
          <w:tcPr>
            <w:tcW w:w="1600" w:type="dxa"/>
            <w:vAlign w:val="center"/>
          </w:tcPr>
          <w:p>
            <w:pPr>
              <w:jc w:val="right"/>
            </w:pPr>
            <w:r>
              <w:rPr>
                <w:rFonts w:ascii="宋体" w:hAnsi="宋体" w:eastAsia="宋体" w:cs="宋体"/>
                <w:b w:val="0"/>
                <w:i w:val="0"/>
                <w:color w:val="000000"/>
                <w:sz w:val="19"/>
              </w:rPr>
              <w:t>275.26</w:t>
            </w:r>
          </w:p>
        </w:tc>
        <w:tc>
          <w:tcPr>
            <w:tcW w:w="1600" w:type="dxa"/>
            <w:vAlign w:val="center"/>
          </w:tcPr>
          <w:p>
            <w:pPr>
              <w:jc w:val="right"/>
            </w:pPr>
            <w:r>
              <w:rPr>
                <w:rFonts w:ascii="宋体" w:hAnsi="宋体" w:eastAsia="宋体" w:cs="宋体"/>
                <w:b w:val="0"/>
                <w:i w:val="0"/>
                <w:color w:val="000000"/>
                <w:sz w:val="19"/>
              </w:rPr>
              <w:t>909.62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6.03</w:t>
            </w:r>
          </w:p>
        </w:tc>
        <w:tc>
          <w:tcPr>
            <w:tcW w:w="1600" w:type="dxa"/>
            <w:vAlign w:val="center"/>
          </w:tcPr>
          <w:p>
            <w:pPr>
              <w:jc w:val="right"/>
            </w:pPr>
            <w:r>
              <w:rPr>
                <w:rFonts w:ascii="宋体" w:hAnsi="宋体" w:eastAsia="宋体" w:cs="宋体"/>
                <w:b w:val="0"/>
                <w:i w:val="0"/>
                <w:color w:val="000000"/>
                <w:sz w:val="19"/>
              </w:rPr>
              <w:t>6.03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6.03</w:t>
            </w:r>
          </w:p>
        </w:tc>
        <w:tc>
          <w:tcPr>
            <w:tcW w:w="1600" w:type="dxa"/>
            <w:vAlign w:val="center"/>
          </w:tcPr>
          <w:p>
            <w:pPr>
              <w:jc w:val="right"/>
            </w:pPr>
            <w:r>
              <w:rPr>
                <w:rFonts w:ascii="宋体" w:hAnsi="宋体" w:eastAsia="宋体" w:cs="宋体"/>
                <w:b w:val="0"/>
                <w:i w:val="0"/>
                <w:color w:val="000000"/>
                <w:sz w:val="19"/>
              </w:rPr>
              <w:t>6.03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w:t>
            </w:r>
          </w:p>
        </w:tc>
        <w:tc>
          <w:tcPr>
            <w:tcW w:w="3480" w:type="dxa"/>
            <w:vAlign w:val="center"/>
          </w:tcPr>
          <w:p>
            <w:pPr>
              <w:jc w:val="left"/>
            </w:pPr>
            <w:r>
              <w:rPr>
                <w:rFonts w:ascii="宋体" w:hAnsi="宋体" w:eastAsia="宋体" w:cs="宋体"/>
                <w:b w:val="0"/>
                <w:i w:val="0"/>
                <w:color w:val="000000"/>
                <w:sz w:val="19"/>
              </w:rPr>
              <w:t>退役安置</w:t>
            </w:r>
          </w:p>
        </w:tc>
        <w:tc>
          <w:tcPr>
            <w:tcW w:w="1600" w:type="dxa"/>
            <w:vAlign w:val="center"/>
          </w:tcPr>
          <w:p>
            <w:pPr>
              <w:jc w:val="right"/>
            </w:pPr>
            <w:r>
              <w:rPr>
                <w:rFonts w:ascii="宋体" w:hAnsi="宋体" w:eastAsia="宋体" w:cs="宋体"/>
                <w:b w:val="0"/>
                <w:i w:val="0"/>
                <w:color w:val="000000"/>
                <w:sz w:val="19"/>
              </w:rPr>
              <w:t>1,178.85</w:t>
            </w:r>
          </w:p>
        </w:tc>
        <w:tc>
          <w:tcPr>
            <w:tcW w:w="1600" w:type="dxa"/>
            <w:vAlign w:val="center"/>
          </w:tcPr>
          <w:p>
            <w:pPr>
              <w:jc w:val="right"/>
            </w:pPr>
            <w:r>
              <w:rPr>
                <w:rFonts w:ascii="宋体" w:hAnsi="宋体" w:eastAsia="宋体" w:cs="宋体"/>
                <w:b w:val="0"/>
                <w:i w:val="0"/>
                <w:color w:val="000000"/>
                <w:sz w:val="19"/>
              </w:rPr>
              <w:t>269.23</w:t>
            </w:r>
          </w:p>
        </w:tc>
        <w:tc>
          <w:tcPr>
            <w:tcW w:w="1600" w:type="dxa"/>
            <w:vAlign w:val="center"/>
          </w:tcPr>
          <w:p>
            <w:pPr>
              <w:jc w:val="right"/>
            </w:pPr>
            <w:r>
              <w:rPr>
                <w:rFonts w:ascii="宋体" w:hAnsi="宋体" w:eastAsia="宋体" w:cs="宋体"/>
                <w:b w:val="0"/>
                <w:i w:val="0"/>
                <w:color w:val="000000"/>
                <w:sz w:val="19"/>
              </w:rPr>
              <w:t>909.62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2080903</w:t>
            </w:r>
          </w:p>
        </w:tc>
        <w:tc>
          <w:tcPr>
            <w:tcW w:w="3480" w:type="dxa"/>
            <w:vAlign w:val="center"/>
          </w:tcPr>
          <w:p>
            <w:pPr>
              <w:jc w:val="left"/>
            </w:pPr>
            <w:r>
              <w:rPr>
                <w:rFonts w:ascii="宋体" w:hAnsi="宋体" w:eastAsia="宋体" w:cs="宋体"/>
                <w:b w:val="0"/>
                <w:i w:val="0"/>
                <w:color w:val="000000"/>
                <w:sz w:val="19"/>
              </w:rPr>
              <w:t>军队移交政府离退休干部管理机构</w:t>
            </w:r>
          </w:p>
        </w:tc>
        <w:tc>
          <w:tcPr>
            <w:tcW w:w="1600" w:type="dxa"/>
            <w:vAlign w:val="center"/>
          </w:tcPr>
          <w:p>
            <w:pPr>
              <w:jc w:val="right"/>
            </w:pPr>
            <w:r>
              <w:rPr>
                <w:rFonts w:ascii="宋体" w:hAnsi="宋体" w:eastAsia="宋体" w:cs="宋体"/>
                <w:b w:val="0"/>
                <w:i w:val="0"/>
                <w:color w:val="000000"/>
                <w:sz w:val="19"/>
              </w:rPr>
              <w:t>1,178.85</w:t>
            </w:r>
          </w:p>
        </w:tc>
        <w:tc>
          <w:tcPr>
            <w:tcW w:w="1600" w:type="dxa"/>
            <w:vAlign w:val="center"/>
          </w:tcPr>
          <w:p>
            <w:pPr>
              <w:jc w:val="right"/>
            </w:pPr>
            <w:r>
              <w:rPr>
                <w:rFonts w:ascii="宋体" w:hAnsi="宋体" w:eastAsia="宋体" w:cs="宋体"/>
                <w:b w:val="0"/>
                <w:i w:val="0"/>
                <w:color w:val="000000"/>
                <w:sz w:val="19"/>
              </w:rPr>
              <w:t>269.23</w:t>
            </w:r>
          </w:p>
        </w:tc>
        <w:tc>
          <w:tcPr>
            <w:tcW w:w="1600" w:type="dxa"/>
            <w:vAlign w:val="center"/>
          </w:tcPr>
          <w:p>
            <w:pPr>
              <w:jc w:val="right"/>
            </w:pPr>
            <w:r>
              <w:rPr>
                <w:rFonts w:ascii="宋体" w:hAnsi="宋体" w:eastAsia="宋体" w:cs="宋体"/>
                <w:b w:val="0"/>
                <w:i w:val="0"/>
                <w:color w:val="000000"/>
                <w:sz w:val="19"/>
              </w:rPr>
              <w:t>909.62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5.27</w:t>
            </w:r>
          </w:p>
        </w:tc>
        <w:tc>
          <w:tcPr>
            <w:tcW w:w="1600" w:type="dxa"/>
            <w:vAlign w:val="center"/>
          </w:tcPr>
          <w:p>
            <w:pPr>
              <w:jc w:val="right"/>
            </w:pPr>
            <w:r>
              <w:rPr>
                <w:rFonts w:ascii="宋体" w:hAnsi="宋体" w:eastAsia="宋体" w:cs="宋体"/>
                <w:b w:val="0"/>
                <w:i w:val="0"/>
                <w:color w:val="000000"/>
                <w:sz w:val="19"/>
              </w:rPr>
              <w:t>5.27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5.27</w:t>
            </w:r>
          </w:p>
        </w:tc>
        <w:tc>
          <w:tcPr>
            <w:tcW w:w="1600" w:type="dxa"/>
            <w:vAlign w:val="center"/>
          </w:tcPr>
          <w:p>
            <w:pPr>
              <w:jc w:val="right"/>
            </w:pPr>
            <w:r>
              <w:rPr>
                <w:rFonts w:ascii="宋体" w:hAnsi="宋体" w:eastAsia="宋体" w:cs="宋体"/>
                <w:b w:val="0"/>
                <w:i w:val="0"/>
                <w:color w:val="000000"/>
                <w:sz w:val="19"/>
              </w:rPr>
              <w:t>5.27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5.27</w:t>
            </w:r>
          </w:p>
        </w:tc>
        <w:tc>
          <w:tcPr>
            <w:tcW w:w="1600" w:type="dxa"/>
            <w:vAlign w:val="center"/>
          </w:tcPr>
          <w:p>
            <w:pPr>
              <w:jc w:val="right"/>
            </w:pPr>
            <w:r>
              <w:rPr>
                <w:rFonts w:ascii="宋体" w:hAnsi="宋体" w:eastAsia="宋体" w:cs="宋体"/>
                <w:b w:val="0"/>
                <w:i w:val="0"/>
                <w:color w:val="000000"/>
                <w:sz w:val="19"/>
              </w:rPr>
              <w:t>5.27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单位：许昌市军队离退休干部第二休养所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1,133.21</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0.73</w:t>
            </w:r>
          </w:p>
        </w:tc>
        <w:tc>
          <w:tcPr>
            <w:tcW w:w="1420" w:type="dxa"/>
            <w:vAlign w:val="center"/>
          </w:tcPr>
          <w:p>
            <w:pPr>
              <w:jc w:val="right"/>
            </w:pPr>
            <w:r>
              <w:rPr>
                <w:rFonts w:ascii="宋体" w:hAnsi="宋体" w:eastAsia="宋体" w:cs="宋体"/>
                <w:b w:val="0"/>
                <w:i w:val="0"/>
                <w:color w:val="000000"/>
                <w:sz w:val="18"/>
              </w:rPr>
              <w:t>0.73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1,127.21</w:t>
            </w:r>
          </w:p>
        </w:tc>
        <w:tc>
          <w:tcPr>
            <w:tcW w:w="1420" w:type="dxa"/>
            <w:vAlign w:val="center"/>
          </w:tcPr>
          <w:p>
            <w:pPr>
              <w:jc w:val="right"/>
            </w:pPr>
            <w:r>
              <w:rPr>
                <w:rFonts w:ascii="宋体" w:hAnsi="宋体" w:eastAsia="宋体" w:cs="宋体"/>
                <w:b w:val="0"/>
                <w:i w:val="0"/>
                <w:color w:val="000000"/>
                <w:sz w:val="18"/>
              </w:rPr>
              <w:t>1,127.21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5.27</w:t>
            </w:r>
          </w:p>
        </w:tc>
        <w:tc>
          <w:tcPr>
            <w:tcW w:w="1420" w:type="dxa"/>
            <w:vAlign w:val="center"/>
          </w:tcPr>
          <w:p>
            <w:pPr>
              <w:jc w:val="right"/>
            </w:pPr>
            <w:r>
              <w:rPr>
                <w:rFonts w:ascii="宋体" w:hAnsi="宋体" w:eastAsia="宋体" w:cs="宋体"/>
                <w:b w:val="0"/>
                <w:i w:val="0"/>
                <w:color w:val="000000"/>
                <w:sz w:val="18"/>
              </w:rPr>
              <w:t>5.27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1,133.21</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1,133.21</w:t>
            </w:r>
          </w:p>
        </w:tc>
        <w:tc>
          <w:tcPr>
            <w:tcW w:w="1420" w:type="dxa"/>
            <w:vAlign w:val="center"/>
          </w:tcPr>
          <w:p>
            <w:pPr>
              <w:jc w:val="right"/>
            </w:pPr>
            <w:r>
              <w:rPr>
                <w:rFonts w:ascii="宋体" w:hAnsi="宋体" w:eastAsia="宋体" w:cs="宋体"/>
                <w:b w:val="0"/>
                <w:i w:val="0"/>
                <w:color w:val="000000"/>
                <w:sz w:val="18"/>
              </w:rPr>
              <w:t>1,133.21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1,133.21</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1,133.21</w:t>
            </w:r>
          </w:p>
        </w:tc>
        <w:tc>
          <w:tcPr>
            <w:tcW w:w="1420" w:type="dxa"/>
            <w:vAlign w:val="center"/>
          </w:tcPr>
          <w:p>
            <w:pPr>
              <w:jc w:val="right"/>
            </w:pPr>
            <w:r>
              <w:rPr>
                <w:rFonts w:ascii="宋体" w:hAnsi="宋体" w:eastAsia="宋体" w:cs="宋体"/>
                <w:b w:val="0"/>
                <w:i w:val="0"/>
                <w:color w:val="000000"/>
                <w:sz w:val="18"/>
              </w:rPr>
              <w:t>1,133.21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单位：许昌市军队离退休干部第二休养所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1,133.21</w:t>
            </w:r>
          </w:p>
        </w:tc>
        <w:tc>
          <w:tcPr>
            <w:tcW w:w="2700" w:type="dxa"/>
            <w:vAlign w:val="center"/>
          </w:tcPr>
          <w:p>
            <w:pPr>
              <w:jc w:val="right"/>
            </w:pPr>
            <w:r>
              <w:rPr>
                <w:rFonts w:ascii="宋体" w:hAnsi="宋体" w:eastAsia="宋体" w:cs="宋体"/>
                <w:b/>
                <w:i w:val="0"/>
                <w:color w:val="000000"/>
                <w:sz w:val="25"/>
              </w:rPr>
              <w:t>223.60</w:t>
            </w:r>
          </w:p>
        </w:tc>
        <w:tc>
          <w:tcPr>
            <w:tcW w:w="2658" w:type="dxa"/>
            <w:vAlign w:val="center"/>
          </w:tcPr>
          <w:p>
            <w:pPr>
              <w:jc w:val="right"/>
            </w:pPr>
            <w:r>
              <w:rPr>
                <w:rFonts w:ascii="宋体" w:hAnsi="宋体" w:eastAsia="宋体" w:cs="宋体"/>
                <w:b/>
                <w:i w:val="0"/>
                <w:color w:val="000000"/>
                <w:sz w:val="25"/>
              </w:rPr>
              <w:t>909.62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0.73</w:t>
            </w:r>
          </w:p>
        </w:tc>
        <w:tc>
          <w:tcPr>
            <w:tcW w:w="2700" w:type="dxa"/>
            <w:vAlign w:val="center"/>
          </w:tcPr>
          <w:p>
            <w:pPr>
              <w:jc w:val="right"/>
            </w:pPr>
            <w:r>
              <w:rPr>
                <w:rFonts w:ascii="宋体" w:hAnsi="宋体" w:eastAsia="宋体" w:cs="宋体"/>
                <w:b w:val="0"/>
                <w:i w:val="0"/>
                <w:color w:val="000000"/>
                <w:sz w:val="25"/>
              </w:rPr>
              <w:t>0.73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0.73</w:t>
            </w:r>
          </w:p>
        </w:tc>
        <w:tc>
          <w:tcPr>
            <w:tcW w:w="2700" w:type="dxa"/>
            <w:vAlign w:val="center"/>
          </w:tcPr>
          <w:p>
            <w:pPr>
              <w:jc w:val="right"/>
            </w:pPr>
            <w:r>
              <w:rPr>
                <w:rFonts w:ascii="宋体" w:hAnsi="宋体" w:eastAsia="宋体" w:cs="宋体"/>
                <w:b w:val="0"/>
                <w:i w:val="0"/>
                <w:color w:val="000000"/>
                <w:sz w:val="25"/>
              </w:rPr>
              <w:t>0.73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0.73</w:t>
            </w:r>
          </w:p>
        </w:tc>
        <w:tc>
          <w:tcPr>
            <w:tcW w:w="2700" w:type="dxa"/>
            <w:vAlign w:val="center"/>
          </w:tcPr>
          <w:p>
            <w:pPr>
              <w:jc w:val="right"/>
            </w:pPr>
            <w:r>
              <w:rPr>
                <w:rFonts w:ascii="宋体" w:hAnsi="宋体" w:eastAsia="宋体" w:cs="宋体"/>
                <w:b w:val="0"/>
                <w:i w:val="0"/>
                <w:color w:val="000000"/>
                <w:sz w:val="25"/>
              </w:rPr>
              <w:t>0.73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1,127.22</w:t>
            </w:r>
          </w:p>
        </w:tc>
        <w:tc>
          <w:tcPr>
            <w:tcW w:w="2700" w:type="dxa"/>
            <w:vAlign w:val="center"/>
          </w:tcPr>
          <w:p>
            <w:pPr>
              <w:jc w:val="right"/>
            </w:pPr>
            <w:r>
              <w:rPr>
                <w:rFonts w:ascii="宋体" w:hAnsi="宋体" w:eastAsia="宋体" w:cs="宋体"/>
                <w:b w:val="0"/>
                <w:i w:val="0"/>
                <w:color w:val="000000"/>
                <w:sz w:val="25"/>
              </w:rPr>
              <w:t>217.60</w:t>
            </w:r>
          </w:p>
        </w:tc>
        <w:tc>
          <w:tcPr>
            <w:tcW w:w="2658" w:type="dxa"/>
            <w:vAlign w:val="center"/>
          </w:tcPr>
          <w:p>
            <w:pPr>
              <w:jc w:val="right"/>
            </w:pPr>
            <w:r>
              <w:rPr>
                <w:rFonts w:ascii="宋体" w:hAnsi="宋体" w:eastAsia="宋体" w:cs="宋体"/>
                <w:b w:val="0"/>
                <w:i w:val="0"/>
                <w:color w:val="000000"/>
                <w:sz w:val="25"/>
              </w:rPr>
              <w:t>909.62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6.03</w:t>
            </w:r>
          </w:p>
        </w:tc>
        <w:tc>
          <w:tcPr>
            <w:tcW w:w="2700" w:type="dxa"/>
            <w:vAlign w:val="center"/>
          </w:tcPr>
          <w:p>
            <w:pPr>
              <w:jc w:val="right"/>
            </w:pPr>
            <w:r>
              <w:rPr>
                <w:rFonts w:ascii="宋体" w:hAnsi="宋体" w:eastAsia="宋体" w:cs="宋体"/>
                <w:b w:val="0"/>
                <w:i w:val="0"/>
                <w:color w:val="000000"/>
                <w:sz w:val="25"/>
              </w:rPr>
              <w:t>6.03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6.03</w:t>
            </w:r>
          </w:p>
        </w:tc>
        <w:tc>
          <w:tcPr>
            <w:tcW w:w="2700" w:type="dxa"/>
            <w:vAlign w:val="center"/>
          </w:tcPr>
          <w:p>
            <w:pPr>
              <w:jc w:val="right"/>
            </w:pPr>
            <w:r>
              <w:rPr>
                <w:rFonts w:ascii="宋体" w:hAnsi="宋体" w:eastAsia="宋体" w:cs="宋体"/>
                <w:b w:val="0"/>
                <w:i w:val="0"/>
                <w:color w:val="000000"/>
                <w:sz w:val="25"/>
              </w:rPr>
              <w:t>6.03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w:t>
            </w:r>
          </w:p>
        </w:tc>
        <w:tc>
          <w:tcPr>
            <w:tcW w:w="4700" w:type="dxa"/>
            <w:vAlign w:val="center"/>
          </w:tcPr>
          <w:p>
            <w:pPr>
              <w:jc w:val="left"/>
            </w:pPr>
            <w:r>
              <w:rPr>
                <w:rFonts w:ascii="宋体" w:hAnsi="宋体" w:eastAsia="宋体" w:cs="宋体"/>
                <w:b w:val="0"/>
                <w:i w:val="0"/>
                <w:color w:val="000000"/>
                <w:sz w:val="25"/>
              </w:rPr>
              <w:t>退役安置</w:t>
            </w:r>
          </w:p>
        </w:tc>
        <w:tc>
          <w:tcPr>
            <w:tcW w:w="2700" w:type="dxa"/>
            <w:vAlign w:val="center"/>
          </w:tcPr>
          <w:p>
            <w:pPr>
              <w:jc w:val="right"/>
            </w:pPr>
            <w:r>
              <w:rPr>
                <w:rFonts w:ascii="宋体" w:hAnsi="宋体" w:eastAsia="宋体" w:cs="宋体"/>
                <w:b w:val="0"/>
                <w:i w:val="0"/>
                <w:color w:val="000000"/>
                <w:sz w:val="25"/>
              </w:rPr>
              <w:t>1,121.19</w:t>
            </w:r>
          </w:p>
        </w:tc>
        <w:tc>
          <w:tcPr>
            <w:tcW w:w="2700" w:type="dxa"/>
            <w:vAlign w:val="center"/>
          </w:tcPr>
          <w:p>
            <w:pPr>
              <w:jc w:val="right"/>
            </w:pPr>
            <w:r>
              <w:rPr>
                <w:rFonts w:ascii="宋体" w:hAnsi="宋体" w:eastAsia="宋体" w:cs="宋体"/>
                <w:b w:val="0"/>
                <w:i w:val="0"/>
                <w:color w:val="000000"/>
                <w:sz w:val="25"/>
              </w:rPr>
              <w:t>211.57</w:t>
            </w:r>
          </w:p>
        </w:tc>
        <w:tc>
          <w:tcPr>
            <w:tcW w:w="2658" w:type="dxa"/>
            <w:vAlign w:val="center"/>
          </w:tcPr>
          <w:p>
            <w:pPr>
              <w:jc w:val="right"/>
            </w:pPr>
            <w:r>
              <w:rPr>
                <w:rFonts w:ascii="宋体" w:hAnsi="宋体" w:eastAsia="宋体" w:cs="宋体"/>
                <w:b w:val="0"/>
                <w:i w:val="0"/>
                <w:color w:val="000000"/>
                <w:sz w:val="25"/>
              </w:rPr>
              <w:t>909.62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2080903</w:t>
            </w:r>
          </w:p>
        </w:tc>
        <w:tc>
          <w:tcPr>
            <w:tcW w:w="4700" w:type="dxa"/>
            <w:vAlign w:val="center"/>
          </w:tcPr>
          <w:p>
            <w:pPr>
              <w:jc w:val="left"/>
            </w:pPr>
            <w:r>
              <w:rPr>
                <w:rFonts w:ascii="宋体" w:hAnsi="宋体" w:eastAsia="宋体" w:cs="宋体"/>
                <w:b w:val="0"/>
                <w:i w:val="0"/>
                <w:color w:val="000000"/>
                <w:sz w:val="25"/>
              </w:rPr>
              <w:t>军队移交政府离退休干部管理机构</w:t>
            </w:r>
          </w:p>
        </w:tc>
        <w:tc>
          <w:tcPr>
            <w:tcW w:w="2700" w:type="dxa"/>
            <w:vAlign w:val="center"/>
          </w:tcPr>
          <w:p>
            <w:pPr>
              <w:jc w:val="right"/>
            </w:pPr>
            <w:r>
              <w:rPr>
                <w:rFonts w:ascii="宋体" w:hAnsi="宋体" w:eastAsia="宋体" w:cs="宋体"/>
                <w:b w:val="0"/>
                <w:i w:val="0"/>
                <w:color w:val="000000"/>
                <w:sz w:val="25"/>
              </w:rPr>
              <w:t>1,121.19</w:t>
            </w:r>
          </w:p>
        </w:tc>
        <w:tc>
          <w:tcPr>
            <w:tcW w:w="2700" w:type="dxa"/>
            <w:vAlign w:val="center"/>
          </w:tcPr>
          <w:p>
            <w:pPr>
              <w:jc w:val="right"/>
            </w:pPr>
            <w:r>
              <w:rPr>
                <w:rFonts w:ascii="宋体" w:hAnsi="宋体" w:eastAsia="宋体" w:cs="宋体"/>
                <w:b w:val="0"/>
                <w:i w:val="0"/>
                <w:color w:val="000000"/>
                <w:sz w:val="25"/>
              </w:rPr>
              <w:t>211.57</w:t>
            </w:r>
          </w:p>
        </w:tc>
        <w:tc>
          <w:tcPr>
            <w:tcW w:w="2658" w:type="dxa"/>
            <w:vAlign w:val="center"/>
          </w:tcPr>
          <w:p>
            <w:pPr>
              <w:jc w:val="right"/>
            </w:pPr>
            <w:r>
              <w:rPr>
                <w:rFonts w:ascii="宋体" w:hAnsi="宋体" w:eastAsia="宋体" w:cs="宋体"/>
                <w:b w:val="0"/>
                <w:i w:val="0"/>
                <w:color w:val="000000"/>
                <w:sz w:val="25"/>
              </w:rPr>
              <w:t>909.62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5.27</w:t>
            </w:r>
          </w:p>
        </w:tc>
        <w:tc>
          <w:tcPr>
            <w:tcW w:w="2700" w:type="dxa"/>
            <w:vAlign w:val="center"/>
          </w:tcPr>
          <w:p>
            <w:pPr>
              <w:jc w:val="right"/>
            </w:pPr>
            <w:r>
              <w:rPr>
                <w:rFonts w:ascii="宋体" w:hAnsi="宋体" w:eastAsia="宋体" w:cs="宋体"/>
                <w:b w:val="0"/>
                <w:i w:val="0"/>
                <w:color w:val="000000"/>
                <w:sz w:val="25"/>
              </w:rPr>
              <w:t>5.27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5.27</w:t>
            </w:r>
          </w:p>
        </w:tc>
        <w:tc>
          <w:tcPr>
            <w:tcW w:w="2700" w:type="dxa"/>
            <w:vAlign w:val="center"/>
          </w:tcPr>
          <w:p>
            <w:pPr>
              <w:jc w:val="right"/>
            </w:pPr>
            <w:r>
              <w:rPr>
                <w:rFonts w:ascii="宋体" w:hAnsi="宋体" w:eastAsia="宋体" w:cs="宋体"/>
                <w:b w:val="0"/>
                <w:i w:val="0"/>
                <w:color w:val="000000"/>
                <w:sz w:val="25"/>
              </w:rPr>
              <w:t>5.27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5.27</w:t>
            </w:r>
          </w:p>
        </w:tc>
        <w:tc>
          <w:tcPr>
            <w:tcW w:w="2700" w:type="dxa"/>
            <w:vAlign w:val="center"/>
          </w:tcPr>
          <w:p>
            <w:pPr>
              <w:jc w:val="right"/>
            </w:pPr>
            <w:r>
              <w:rPr>
                <w:rFonts w:ascii="宋体" w:hAnsi="宋体" w:eastAsia="宋体" w:cs="宋体"/>
                <w:b w:val="0"/>
                <w:i w:val="0"/>
                <w:color w:val="000000"/>
                <w:sz w:val="25"/>
              </w:rPr>
              <w:t>5.27</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单位：许昌市军队离退休干部第二休养所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1.85</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0.73</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1.12</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0.66</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0.01</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221.02</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11.77</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197.95</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6.03</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5.27</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0.73</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222.86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0.73</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单位：许昌市军队离退休干部第二休养所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单位：许昌市军队离退休干部第二休养所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单位：许昌市军队离退休干部第二休养所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1.29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1.22</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1.22</w:t>
            </w:r>
          </w:p>
        </w:tc>
        <w:tc>
          <w:tcPr>
            <w:tcW w:w="1160" w:type="dxa"/>
            <w:vAlign w:val="center"/>
          </w:tcPr>
          <w:p>
            <w:pPr>
              <w:jc w:val="right"/>
            </w:pPr>
            <w:r>
              <w:rPr>
                <w:rFonts w:ascii="宋体" w:hAnsi="宋体" w:eastAsia="宋体" w:cs="宋体"/>
                <w:b w:val="0"/>
                <w:i w:val="0"/>
                <w:color w:val="000000"/>
                <w:sz w:val="17"/>
              </w:rPr>
              <w:t>0.07</w:t>
            </w:r>
          </w:p>
        </w:tc>
        <w:tc>
          <w:tcPr>
            <w:tcW w:w="1160" w:type="dxa"/>
            <w:vAlign w:val="center"/>
          </w:tcPr>
          <w:p>
            <w:pPr>
              <w:jc w:val="right"/>
            </w:pPr>
            <w:r>
              <w:rPr>
                <w:rFonts w:ascii="宋体" w:hAnsi="宋体" w:eastAsia="宋体" w:cs="宋体"/>
                <w:b w:val="0"/>
                <w:i w:val="0"/>
                <w:color w:val="000000"/>
                <w:sz w:val="17"/>
              </w:rPr>
              <w:t>1.29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1.22</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1.22</w:t>
            </w:r>
          </w:p>
        </w:tc>
        <w:tc>
          <w:tcPr>
            <w:tcW w:w="1198" w:type="dxa"/>
            <w:vAlign w:val="center"/>
          </w:tcPr>
          <w:p>
            <w:pPr>
              <w:jc w:val="right"/>
            </w:pPr>
            <w:r>
              <w:rPr>
                <w:rFonts w:ascii="宋体" w:hAnsi="宋体" w:eastAsia="宋体" w:cs="宋体"/>
                <w:b w:val="0"/>
                <w:i w:val="0"/>
                <w:color w:val="000000"/>
                <w:sz w:val="17"/>
              </w:rPr>
              <w:t>0.07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2023年度收、支总计均为1190.87万元。与上年度相比，收、支总计各减少81.09万元，下降6.38%。主要原因是当年去世军休人员较去年减少。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1190.12万元，其中：财政拨款收入1133.21万元，占95.22%；上级补助收入0.00万元，占0.00%；事业收入0.00万元，占0.00%；经营收入0.00万元，占0.00%；附属单位上缴收入0.00万元，占0.00%；其他收入56.91万元，占4.78%。</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2023年度支出合计1190.87万元，其中：基本支出281.26万元，占23.62%；项目支出909.62万元，占76.38%；上缴上级支出0.00万元，占0.00%；经营支出0.00万元，占0.00%；对附属单位补助支出0.00万元，占0.00%。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2023年度财政拨款收、支总计均为1133.21万元。与上年度相比，财政拨款收、支总计各减少74.83万元，下降6.19%。主要原因是当年去世军休人员较去年减少。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2023年度一般公共预算财政拨款支出1133.21万元，占支出合计的95.16%。与上年度相比，一般公共预算财政拨款支出减少74.83万元，下降6.19%。主要原因是当年去世军休人员较去年减少。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2023年度一般公共预算财政拨款支出1133.21万元，主要用于以下方面：一般公共服务支出（类）0.73万元，占0.06%；社会保障和就业支出（类）1127.21万元，占99.47%；卫生健康支出（类）5.27万元，占0.47%。</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2023年度一般公共预算财政拨款支出年初预算为1133.21万元，支出决算为1133.21万元，完成年初预算的100.00%。其中：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年初预算数为0.73万元，决算数0.73万元,完成年初预算的100.00%，决算数与年初预算数不存在差异。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2.社会保障和就业支出（类）抚恤（款）死亡抚恤（项）</w:t>
      </w:r>
      <w:r>
        <w:rPr>
          <w:rFonts w:hint="default" w:ascii="仿宋" w:hAnsi="仿宋" w:eastAsia="仿宋" w:cs="仿宋"/>
          <w:kern w:val="2"/>
          <w:sz w:val="32"/>
          <w:szCs w:val="32"/>
          <w:lang w:val="en-US" w:eastAsia="zh-CN"/>
        </w:rPr>
        <w:t>年初预算数为0.00万元，决算数6.03万元,决算数与年初预算数存在差异的主要原因是上级下达资金未列入单位预算。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3.社会保障和就业支出（类）退役安置（款）军队移交政府离退休干部管理机构（项）</w:t>
      </w:r>
      <w:r>
        <w:rPr>
          <w:rFonts w:hint="default" w:ascii="仿宋" w:hAnsi="仿宋" w:eastAsia="仿宋" w:cs="仿宋"/>
          <w:kern w:val="2"/>
          <w:sz w:val="32"/>
          <w:szCs w:val="32"/>
          <w:lang w:val="en-US" w:eastAsia="zh-CN"/>
        </w:rPr>
        <w:t>年初预算数为236.84万元，决算数1121.19万元,完成年初预算的473.40%，决算数与年初预算数存在差异的主要原因是上级下达资金未列入单位预算。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年初预算数为4.07万元，决算数5.27万元,完成年初预算的129.48%，决算数与年初预算数存在差异的主要原因是上级下达资金未列入单位预算。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highlight w:val="none"/>
          <w:lang w:val="en-US" w:eastAsia="zh-CN"/>
        </w:rPr>
      </w:pPr>
      <w:r>
        <w:rPr>
          <w:rFonts w:hint="eastAsia" w:ascii="仿宋" w:hAnsi="仿宋" w:eastAsia="仿宋" w:cs="仿宋"/>
          <w:color w:val="auto"/>
          <w:kern w:val="0"/>
          <w:sz w:val="32"/>
          <w:szCs w:val="32"/>
          <w:highlight w:val="none"/>
          <w:lang w:val="en-US" w:eastAsia="zh-CN"/>
        </w:rPr>
        <w:t>2023年度一般公共预算财政拨款基本支出223.60万元。其中：人员经费222.86万元，主要包括：机关事业单位基本养老保险缴费、职工基本医疗保险缴费、公务员医疗补助缴费、其他社会保障缴费、离休费、退休费、抚恤金、医疗费补助。公用经费0.73万元，主要包括：工会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2023年度“三公”经费财政拨款支出预算为1.29万元，支出决算为1.29万元，完成预算的100.00%。2023年度“三公”经费支出决算数与预算数无差异。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w:t>
      </w:r>
      <w:r>
        <w:rPr>
          <w:rFonts w:hint="eastAsia" w:ascii="仿宋" w:hAnsi="仿宋" w:eastAsia="仿宋" w:cs="仿宋"/>
          <w:color w:val="auto"/>
          <w:kern w:val="0"/>
          <w:sz w:val="32"/>
          <w:szCs w:val="32"/>
          <w:lang w:val="en-US" w:eastAsia="zh-CN"/>
        </w:rPr>
        <w:t>万元，占0.00%；</w:t>
      </w:r>
      <w:r>
        <w:rPr>
          <w:rFonts w:hint="eastAsia" w:ascii="仿宋" w:hAnsi="仿宋" w:eastAsia="仿宋" w:cs="仿宋"/>
          <w:kern w:val="0"/>
          <w:sz w:val="32"/>
          <w:szCs w:val="32"/>
          <w:lang w:val="en-US" w:eastAsia="zh-CN"/>
        </w:rPr>
        <w:t>公务用车购置及运行费支出决算1.22万元,完成预算的100.00%，占94.57%；公务接待费支出决算0.07万元，完成预算的100.00%，占5.43%。具体情况如下：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预算为1.22万元，支出决算为1.22万元，完成预算的100.00%。决算数与预算数无差异。其中：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1.22万元。主要用于军休人员服务。2023年期末，单位开支财政拨款的公务用车保有量为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预算为0.07万元，支出决算为0.07万元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主要用于军休人员开展门球比赛。</w:t>
      </w:r>
      <w:r>
        <w:rPr>
          <w:rFonts w:hint="eastAsia" w:ascii="仿宋" w:hAnsi="仿宋" w:eastAsia="仿宋" w:cs="仿宋"/>
          <w:kern w:val="0"/>
          <w:sz w:val="32"/>
          <w:szCs w:val="32"/>
          <w:lang w:val="en-US" w:eastAsia="zh-CN"/>
        </w:rPr>
        <w:t>2023年共接待国内来访团组1个、来宾10人次（不包括陪同人员）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w:t>
      </w:r>
      <w:r>
        <w:rPr>
          <w:rFonts w:hint="eastAsia" w:ascii="仿宋" w:hAnsi="仿宋" w:eastAsia="仿宋" w:cs="仿宋"/>
          <w:kern w:val="0"/>
          <w:sz w:val="32"/>
          <w:szCs w:val="32"/>
          <w:highlight w:val="none"/>
          <w:lang w:val="en-US" w:eastAsia="zh-CN"/>
        </w:rPr>
        <w:t>特种专业技术用车</w:t>
      </w:r>
      <w:r>
        <w:rPr>
          <w:rFonts w:hint="eastAsia" w:ascii="仿宋" w:hAnsi="仿宋" w:eastAsia="仿宋" w:cs="仿宋"/>
          <w:color w:val="auto"/>
          <w:kern w:val="0"/>
          <w:sz w:val="32"/>
          <w:szCs w:val="32"/>
          <w:highlight w:val="none"/>
          <w:lang w:val="en-US" w:eastAsia="zh-CN"/>
        </w:rPr>
        <w:t>0辆、</w:t>
      </w:r>
      <w:r>
        <w:rPr>
          <w:rFonts w:hint="eastAsia" w:ascii="仿宋" w:hAnsi="仿宋" w:eastAsia="仿宋" w:cs="仿宋"/>
          <w:kern w:val="0"/>
          <w:sz w:val="32"/>
          <w:szCs w:val="32"/>
          <w:highlight w:val="none"/>
          <w:lang w:val="en-US" w:eastAsia="zh-CN"/>
        </w:rPr>
        <w:t>离退</w:t>
      </w:r>
      <w:r>
        <w:rPr>
          <w:rFonts w:hint="eastAsia" w:ascii="仿宋" w:hAnsi="仿宋" w:eastAsia="仿宋" w:cs="仿宋"/>
          <w:kern w:val="0"/>
          <w:sz w:val="32"/>
          <w:szCs w:val="32"/>
          <w:lang w:val="en-US" w:eastAsia="zh-CN"/>
        </w:rPr>
        <w:t>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涉及预算资金1190.87万元。自评得分为98.72分，等级为“优”。从单位整体自评情况来看，整体绩效自评情况优。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基于项目预期目标的实现程度，我单位对2023年度单位预算项目支出（含单位参与分配的转移支付项目）开展绩效自评，涉及项目5个，项目金额1101.4万元。其中：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（1）提前下达2022年退役安置补助经费管理机构，自评得分为100分，等级为“优”，安排科学、拨付合规，使用规范，维护服务管理机构正常运转。</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（2）提前下达2023年退役安置补助经费，自评得分为98.72分，等级为“优”，安排科学、拨付合规，使用规范，提高接收军队离退休干部及其家属保障待遇，维护服务管理机构正常运转。</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（3）提前下达2022年退役安置补助经费离退休费，自评得分为100分，等级为“优”，安排科学、拨付合规，使用规范，提高接收军队离退休干部及其家属保障待遇。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（4）提前下达2022年退役安置补助经费军休经费，自评得分为100分，等级为“优”，安排科学、拨付合规，使用规范，提高接收军队离退休干部及其家属保障待遇。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（5）2022年退役安置补助经费预算，自评得分为100分，等级为“优”，安排科学、拨付合规，使用规范，提高接收军队离退休干部及其家属保障待遇，维护服务管理机构正常运转。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从项目绩效自评情况来看，整体绩效自评情况优,针对以上问题，将采取部分整改措施，如完善项目管理制度，规范项目管理流程；加强预算执行和绩效管理监督力度，及时汇总反馈，提高工作质量。</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15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1"/>
        <w:gridCol w:w="1428"/>
        <w:gridCol w:w="1042"/>
        <w:gridCol w:w="868"/>
        <w:gridCol w:w="2344"/>
        <w:gridCol w:w="1497"/>
        <w:gridCol w:w="1905"/>
        <w:gridCol w:w="863"/>
        <w:gridCol w:w="798"/>
        <w:gridCol w:w="1026"/>
        <w:gridCol w:w="1042"/>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47" w:type="dxa"/>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cs="宋体"/>
                <w:b/>
                <w:bCs/>
                <w:i w:val="0"/>
                <w:iCs w:val="0"/>
                <w:color w:val="000000"/>
                <w:kern w:val="0"/>
                <w:sz w:val="38"/>
                <w:szCs w:val="38"/>
                <w:u w:val="none"/>
                <w:lang w:val="en-US" w:eastAsia="zh-CN" w:bidi="en-AU"/>
              </w:rPr>
              <w:t>单位</w:t>
            </w:r>
            <w:r>
              <w:rPr>
                <w:rFonts w:ascii="宋体" w:hAnsi="宋体" w:eastAsia="宋体" w:cs="宋体"/>
                <w:b/>
                <w:bCs/>
                <w:i w:val="0"/>
                <w:iCs w:val="0"/>
                <w:color w:val="000000"/>
                <w:kern w:val="0"/>
                <w:sz w:val="38"/>
                <w:szCs w:val="38"/>
                <w:u w:val="none"/>
                <w:lang w:val="en-US" w:eastAsia="zh-CN" w:bidi="en-AU"/>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1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1113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许昌市军队离退休干部第二休养所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33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1190.87</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1190.87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1080.38</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90.72</w:t>
            </w:r>
            <w:r>
              <w:rPr>
                <w:rFonts w:ascii="宋体" w:hAnsi="宋体" w:eastAsia="宋体" w:cs="宋体"/>
                <w:i w:val="0"/>
                <w:iCs w:val="0"/>
                <w:color w:val="000000"/>
                <w:kern w:val="0"/>
                <w:sz w:val="18"/>
                <w:szCs w:val="18"/>
                <w:u w:val="none"/>
                <w:lang w:val="en-US" w:eastAsia="zh-CN" w:bidi="en-AU"/>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en-AU"/>
              </w:rPr>
              <w:t>8.</w:t>
            </w:r>
            <w:r>
              <w:rPr>
                <w:rFonts w:hint="eastAsia" w:ascii="宋体" w:hAnsi="宋体" w:cs="宋体"/>
                <w:i w:val="0"/>
                <w:iCs w:val="0"/>
                <w:color w:val="000000"/>
                <w:kern w:val="0"/>
                <w:sz w:val="18"/>
                <w:szCs w:val="18"/>
                <w:u w:val="none"/>
                <w:lang w:val="en-US" w:eastAsia="zh-CN" w:bidi="en-AU"/>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1190.87</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1190.87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1080.38</w:t>
            </w: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90.72</w:t>
            </w:r>
            <w:r>
              <w:rPr>
                <w:rFonts w:ascii="宋体" w:hAnsi="宋体" w:eastAsia="宋体" w:cs="宋体"/>
                <w:i w:val="0"/>
                <w:iCs w:val="0"/>
                <w:color w:val="000000"/>
                <w:kern w:val="0"/>
                <w:sz w:val="18"/>
                <w:szCs w:val="18"/>
                <w:u w:val="none"/>
                <w:lang w:val="en-US" w:eastAsia="zh-CN" w:bidi="en-AU"/>
              </w:rPr>
              <w:t>%</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6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718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729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718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拨付各项军休经费，提高接收军队离退休干部及其家属保障待遇，维护服务管理机构正常运转。</w:t>
            </w:r>
          </w:p>
        </w:tc>
        <w:tc>
          <w:tcPr>
            <w:tcW w:w="729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拨付各项军休经费，提高接收军队离退休干部及其家属保障待遇，维护服务管理机构正常运转。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470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729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4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关于提前下达2022年退役安置补助经费</w:t>
            </w:r>
          </w:p>
        </w:tc>
        <w:tc>
          <w:tcPr>
            <w:tcW w:w="470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拨付各项军休经费，提高接收军队离退休干部及其家属保障待遇，维护服务管理机构正常运转。</w:t>
            </w:r>
          </w:p>
        </w:tc>
        <w:tc>
          <w:tcPr>
            <w:tcW w:w="729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通过下拨军队离退休人员经费，提高1984年以来接收军队离退休干部以及家属、遗属，和无军籍职工各项待遇，维护服务管理机构正常运转。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军休二所军队离退休人员和无军籍职工</w:t>
            </w:r>
            <w:r>
              <w:rPr>
                <w:rFonts w:hint="eastAsia" w:ascii="宋体" w:hAnsi="宋体" w:cs="宋体"/>
                <w:i w:val="0"/>
                <w:iCs w:val="0"/>
                <w:color w:val="000000"/>
                <w:kern w:val="0"/>
                <w:sz w:val="18"/>
                <w:szCs w:val="18"/>
                <w:u w:val="none"/>
                <w:lang w:val="en-US" w:eastAsia="zh-CN" w:bidi="en-AU"/>
              </w:rPr>
              <w:t>、管理机构</w:t>
            </w:r>
            <w:r>
              <w:rPr>
                <w:rFonts w:ascii="宋体" w:hAnsi="宋体" w:eastAsia="宋体" w:cs="宋体"/>
                <w:i w:val="0"/>
                <w:iCs w:val="0"/>
                <w:color w:val="000000"/>
                <w:kern w:val="0"/>
                <w:sz w:val="18"/>
                <w:szCs w:val="18"/>
                <w:u w:val="none"/>
                <w:lang w:val="en-US" w:eastAsia="zh-CN" w:bidi="en-AU"/>
              </w:rPr>
              <w:t>经费</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1190.87</w:t>
            </w:r>
            <w:r>
              <w:rPr>
                <w:rFonts w:ascii="宋体" w:hAnsi="宋体" w:eastAsia="宋体" w:cs="宋体"/>
                <w:i w:val="0"/>
                <w:iCs w:val="0"/>
                <w:color w:val="000000"/>
                <w:kern w:val="0"/>
                <w:sz w:val="18"/>
                <w:szCs w:val="18"/>
                <w:u w:val="none"/>
                <w:lang w:val="en-US" w:eastAsia="zh-CN" w:bidi="en-AU"/>
              </w:rPr>
              <w:t>万元</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1080.38</w:t>
            </w:r>
            <w:r>
              <w:rPr>
                <w:rFonts w:ascii="宋体" w:hAnsi="宋体" w:eastAsia="宋体" w:cs="宋体"/>
                <w:i w:val="0"/>
                <w:iCs w:val="0"/>
                <w:color w:val="000000"/>
                <w:kern w:val="0"/>
                <w:sz w:val="18"/>
                <w:szCs w:val="18"/>
                <w:u w:val="none"/>
                <w:lang w:val="en-US" w:eastAsia="zh-CN" w:bidi="en-AU"/>
              </w:rPr>
              <w:t>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0.00</w:t>
            </w:r>
            <w:r>
              <w:rPr>
                <w:rFonts w:ascii="宋体" w:hAnsi="宋体" w:eastAsia="宋体" w:cs="宋体"/>
                <w:i w:val="0"/>
                <w:iCs w:val="0"/>
                <w:color w:val="000000"/>
                <w:kern w:val="0"/>
                <w:sz w:val="18"/>
                <w:szCs w:val="18"/>
                <w:u w:val="none"/>
                <w:lang w:val="en-US" w:eastAsia="zh-CN" w:bidi="en-AU"/>
              </w:rPr>
              <w:t>%</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按照部门预算编制和资金管理办法的要求，做好预算编制、指标安排等工作。</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98"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98"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严格按照下达预算的科目和项目执行，专款专用。</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98"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2344"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该资金已纳入绩效管理，科学合理确定绩效目标，开展绩效监控。</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98" w:type="dxa"/>
            <w:tcBorders>
              <w:top w:val="single" w:color="000000" w:sz="4" w:space="0"/>
              <w:left w:val="single" w:color="000000" w:sz="4" w:space="0"/>
              <w:bottom w:val="nil"/>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703" w:type="dxa"/>
            <w:gridSpan w:val="2"/>
            <w:tcBorders>
              <w:top w:val="single" w:color="000000" w:sz="4" w:space="0"/>
              <w:left w:val="single" w:color="000000" w:sz="4" w:space="0"/>
              <w:bottom w:val="nil"/>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910" w:type="dxa"/>
            <w:gridSpan w:val="2"/>
            <w:vMerge w:val="restart"/>
            <w:tcBorders>
              <w:top w:val="single" w:color="000000" w:sz="4" w:space="0"/>
              <w:left w:val="single" w:color="000000" w:sz="4" w:space="0"/>
              <w:bottom w:val="single" w:color="000000" w:sz="4" w:space="0"/>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资金按规定足额拨付率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10" w:type="dxa"/>
            <w:gridSpan w:val="2"/>
            <w:vMerge w:val="continue"/>
            <w:tcBorders>
              <w:top w:val="single" w:color="000000" w:sz="4" w:space="0"/>
              <w:left w:val="single" w:color="000000" w:sz="4" w:space="0"/>
              <w:bottom w:val="single" w:color="000000" w:sz="4" w:space="0"/>
              <w:right w:val="nil"/>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拨付资金时间节点</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2022年12月底</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2344" w:type="dxa"/>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补助军队离退休干部人数</w:t>
            </w:r>
          </w:p>
        </w:tc>
        <w:tc>
          <w:tcPr>
            <w:tcW w:w="1497" w:type="dxa"/>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≥100人</w:t>
            </w:r>
          </w:p>
        </w:tc>
        <w:tc>
          <w:tcPr>
            <w:tcW w:w="1905" w:type="dxa"/>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100人</w:t>
            </w:r>
          </w:p>
        </w:tc>
        <w:tc>
          <w:tcPr>
            <w:tcW w:w="863" w:type="dxa"/>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798" w:type="dxa"/>
            <w:tcBorders>
              <w:top w:val="nil"/>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703" w:type="dxa"/>
            <w:gridSpan w:val="2"/>
            <w:tcBorders>
              <w:top w:val="nil"/>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落实军队离退休人员和无军籍职工各项待遇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有效落实</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军队离退休人员和无军籍职工满意度</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08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98.72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2"/>
        <w:sectPr>
          <w:pgSz w:w="16838" w:h="11906" w:orient="landscape"/>
          <w:pgMar w:top="720" w:right="720" w:bottom="720" w:left="720" w:header="851" w:footer="992" w:gutter="0"/>
          <w:cols w:space="720" w:num="1"/>
          <w:docGrid w:type="lines" w:linePitch="312" w:charSpace="0"/>
        </w:sectPr>
      </w:pPr>
    </w:p>
    <w:tbl>
      <w:tblPr>
        <w:tblStyle w:val="11"/>
        <w:tblW w:w="15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1076"/>
        <w:gridCol w:w="1315"/>
        <w:gridCol w:w="1209"/>
        <w:gridCol w:w="973"/>
        <w:gridCol w:w="1864"/>
        <w:gridCol w:w="1207"/>
        <w:gridCol w:w="878"/>
        <w:gridCol w:w="1133"/>
        <w:gridCol w:w="919"/>
        <w:gridCol w:w="1065"/>
        <w:gridCol w:w="1119"/>
        <w:gridCol w:w="222"/>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5165" w:type="dxa"/>
            <w:gridSpan w:val="14"/>
            <w:tcBorders>
              <w:top w:val="nil"/>
              <w:left w:val="nil"/>
              <w:bottom w:val="nil"/>
              <w:right w:val="nil"/>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13173"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提前下达2022年退役安置补助经费管理机构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536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许昌市退役军人事务局</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572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许昌市军队离退休干部第二休养所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0.32</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0.32</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0.32</w:t>
            </w:r>
          </w:p>
        </w:tc>
        <w:tc>
          <w:tcPr>
            <w:tcW w:w="1065" w:type="dxa"/>
            <w:tcBorders>
              <w:top w:val="nil"/>
              <w:left w:val="nil"/>
              <w:bottom w:val="nil"/>
              <w:right w:val="nil"/>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0.32</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0.32</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按照部门预算编制和资金管理办法的要求，做好预算编制、指标安排等工作。</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严格按照下达预算的科目和项目执行，专款专用。</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该资金已纳入绩效管理，科学合理确定绩效目标，开展绩效监控。</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643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781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643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通过发放离退休费以及军工各项待遇，维护服务管理机构正常运转，保持军休人员队伍基本稳定</w:t>
            </w:r>
          </w:p>
        </w:tc>
        <w:tc>
          <w:tcPr>
            <w:tcW w:w="781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通过发放离退休费以及军工各项待遇，维护了服务管理机构正常运转，保持了军休人员队伍基本稳定。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退役安置（管理机构）补助经费</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0.32万元</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0.32万元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工作人员及军休人员人数</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≤80人</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80人</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发放资金符合相关政策规定比率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军休人员退休费按时发放率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军休人员各项待遇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保障落实</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军休人员满意率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r>
    </w:tbl>
    <w:p>
      <w:pPr>
        <w:pStyle w:val="12"/>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r>
        <w:rPr>
          <w:rFonts w:ascii="宋体" w:hAnsi="宋体" w:eastAsia="宋体" w:cs="宋体"/>
          <w:b/>
          <w:bCs/>
          <w:i w:val="0"/>
          <w:iCs w:val="0"/>
          <w:color w:val="000000"/>
          <w:kern w:val="0"/>
          <w:sz w:val="38"/>
          <w:szCs w:val="38"/>
          <w:u w:val="none"/>
          <w:lang w:val="en-US" w:eastAsia="zh-CN" w:bidi="en-AU"/>
        </w:rPr>
        <w:br w:type="page"/>
      </w:r>
    </w:p>
    <w:tbl>
      <w:tblPr>
        <w:tblStyle w:val="11"/>
        <w:tblW w:w="15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1076"/>
        <w:gridCol w:w="1315"/>
        <w:gridCol w:w="1209"/>
        <w:gridCol w:w="973"/>
        <w:gridCol w:w="1864"/>
        <w:gridCol w:w="1207"/>
        <w:gridCol w:w="878"/>
        <w:gridCol w:w="1133"/>
        <w:gridCol w:w="919"/>
        <w:gridCol w:w="1065"/>
        <w:gridCol w:w="1119"/>
        <w:gridCol w:w="222"/>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5165" w:type="dxa"/>
            <w:gridSpan w:val="14"/>
            <w:tcBorders>
              <w:top w:val="nil"/>
              <w:left w:val="nil"/>
              <w:bottom w:val="nil"/>
              <w:right w:val="nil"/>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13173"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提前下达2023年退役安置补助经费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536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许昌市退役军人事务局</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572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许昌市军队离退休干部第二休养所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864.56</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864.56</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754.07</w:t>
            </w:r>
          </w:p>
        </w:tc>
        <w:tc>
          <w:tcPr>
            <w:tcW w:w="1065" w:type="dxa"/>
            <w:tcBorders>
              <w:top w:val="nil"/>
              <w:left w:val="nil"/>
              <w:bottom w:val="nil"/>
              <w:right w:val="nil"/>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87.22</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864.56</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864.56</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754.07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87.22</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按照部门预算编制和资金管理办法的要求，做好预算编制、指标安排等工作。</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严格按照下达预算的科目和项目执行，专款专用。</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该资金已纳入绩效管理，科学合理确定绩效目标，开展绩效监控。</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643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781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643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通过拨付军休机构管理人员绩效工资等资金，保障落实军休服务管理机构人员和无军籍职工各项待遇，维护军休机构的正常运转。</w:t>
            </w:r>
          </w:p>
        </w:tc>
        <w:tc>
          <w:tcPr>
            <w:tcW w:w="781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已经通过拨付军休机构管理人员绩效工资等资金，保障落实军休服务管理机构人员和无军籍职工各项待遇，维护军休机构的正常运转。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离退休人员补助经费和离退休干部管理机构补助经费</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864.56万元</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754.07万元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在职离退休人员和接收军队离退休人数（含无军籍职工）</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&gt;80人</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80人</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按政策标准足额发放比率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资金拨付使用时间节点</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100 %</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军休服务管理机构人员和无军籍职工各项待遇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军休服务管理机构人员和无军籍职工满意度</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98.72</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r>
    </w:tbl>
    <w:p>
      <w:pPr>
        <w:pStyle w:val="12"/>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r>
        <w:rPr>
          <w:rFonts w:ascii="宋体" w:hAnsi="宋体" w:eastAsia="宋体" w:cs="宋体"/>
          <w:b/>
          <w:bCs/>
          <w:i w:val="0"/>
          <w:iCs w:val="0"/>
          <w:color w:val="000000"/>
          <w:kern w:val="0"/>
          <w:sz w:val="38"/>
          <w:szCs w:val="38"/>
          <w:u w:val="none"/>
          <w:lang w:val="en-US" w:eastAsia="zh-CN" w:bidi="en-AU"/>
        </w:rPr>
        <w:br w:type="page"/>
      </w:r>
    </w:p>
    <w:tbl>
      <w:tblPr>
        <w:tblStyle w:val="11"/>
        <w:tblW w:w="15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1076"/>
        <w:gridCol w:w="1315"/>
        <w:gridCol w:w="1209"/>
        <w:gridCol w:w="973"/>
        <w:gridCol w:w="1864"/>
        <w:gridCol w:w="1207"/>
        <w:gridCol w:w="878"/>
        <w:gridCol w:w="1133"/>
        <w:gridCol w:w="919"/>
        <w:gridCol w:w="1065"/>
        <w:gridCol w:w="1119"/>
        <w:gridCol w:w="222"/>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5165" w:type="dxa"/>
            <w:gridSpan w:val="14"/>
            <w:tcBorders>
              <w:top w:val="nil"/>
              <w:left w:val="nil"/>
              <w:bottom w:val="nil"/>
              <w:right w:val="nil"/>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13173"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提前下达2022年退役安置补助经费离退休费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536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许昌市退役军人事务局</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572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许昌市军队离退休干部第二休养所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107.38</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107.38</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107.38</w:t>
            </w:r>
          </w:p>
        </w:tc>
        <w:tc>
          <w:tcPr>
            <w:tcW w:w="1065" w:type="dxa"/>
            <w:tcBorders>
              <w:top w:val="nil"/>
              <w:left w:val="nil"/>
              <w:bottom w:val="nil"/>
              <w:right w:val="nil"/>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107.38</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107.38</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107.38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按照部门预算编制和资金管理办法的要求，做好预算编制、指标安排等工作。</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严格按照下达预算的科目和项目执行，专款专用。</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该资金已纳入绩效管理，科学合理确定绩效目标，开展绩效监控。</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643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781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643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通过发放离退休费以及军工各项待遇，维护服务管理机构正常运转，保持军休人员队伍基本稳定</w:t>
            </w:r>
          </w:p>
        </w:tc>
        <w:tc>
          <w:tcPr>
            <w:tcW w:w="781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通过发放离退休费以及军工各项待遇，维护了服务管理机构正常运转，保持了军休人员队伍基本稳定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退役安置（离退休）补助经费</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107.4万元</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107.4万元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工作人员及军休人员人数</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≤80人</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80人</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发放资金符合相关政策规定比率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军休人员退休费按时发放率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军休人员各项待遇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落实保障</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军休人员满意率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r>
    </w:tbl>
    <w:p>
      <w:pPr>
        <w:pStyle w:val="12"/>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r>
        <w:rPr>
          <w:rFonts w:ascii="宋体" w:hAnsi="宋体" w:eastAsia="宋体" w:cs="宋体"/>
          <w:b/>
          <w:bCs/>
          <w:i w:val="0"/>
          <w:iCs w:val="0"/>
          <w:color w:val="000000"/>
          <w:kern w:val="0"/>
          <w:sz w:val="38"/>
          <w:szCs w:val="38"/>
          <w:u w:val="none"/>
          <w:lang w:val="en-US" w:eastAsia="zh-CN" w:bidi="en-AU"/>
        </w:rPr>
        <w:br w:type="page"/>
      </w:r>
    </w:p>
    <w:tbl>
      <w:tblPr>
        <w:tblStyle w:val="11"/>
        <w:tblW w:w="15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1076"/>
        <w:gridCol w:w="1315"/>
        <w:gridCol w:w="1209"/>
        <w:gridCol w:w="973"/>
        <w:gridCol w:w="1864"/>
        <w:gridCol w:w="1207"/>
        <w:gridCol w:w="878"/>
        <w:gridCol w:w="1133"/>
        <w:gridCol w:w="919"/>
        <w:gridCol w:w="1065"/>
        <w:gridCol w:w="1119"/>
        <w:gridCol w:w="222"/>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5165" w:type="dxa"/>
            <w:gridSpan w:val="14"/>
            <w:tcBorders>
              <w:top w:val="nil"/>
              <w:left w:val="nil"/>
              <w:bottom w:val="nil"/>
              <w:right w:val="nil"/>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13173"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提前下达2022年退役安置补助经费军休经费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536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许昌市退役军人事务局</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572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许昌市军队离退休干部第二休养所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24.94</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24.94</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24.94</w:t>
            </w:r>
          </w:p>
        </w:tc>
        <w:tc>
          <w:tcPr>
            <w:tcW w:w="1065" w:type="dxa"/>
            <w:tcBorders>
              <w:top w:val="nil"/>
              <w:left w:val="nil"/>
              <w:bottom w:val="nil"/>
              <w:right w:val="nil"/>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24.94</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24.94</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按照部门预算编制和资金管理办法的要求，做好预算编制、指标安排等工作。</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严格按照下达预算的科目和项目执行，专款专用。</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该资金已纳入绩效管理，科学合理确定绩效目标，开展绩效监控。</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643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781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643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通过发放离退休费以及军工各项待遇，维护服务管理机构正常运转，保持军休人员队伍基本稳定</w:t>
            </w:r>
          </w:p>
        </w:tc>
        <w:tc>
          <w:tcPr>
            <w:tcW w:w="781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已经通过发放离退休费以及军工各项待遇，维护服务管理机构正常运转，保持军休人员队伍基本稳定。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退役安置（军休经费）补助经费</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24.9万元</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24.9万元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工作人员及军休人员人数</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≤80人</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80人</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发放资金符合相关政策规定比率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军休人员退休费按时发放率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军休人员各项待遇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保障落实</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军休人员满意度</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pPr>
              <w:pStyle w:val="12"/>
              <w:rPr>
                <w:rFonts w:hint="eastAsia" w:ascii="宋体" w:hAnsi="宋体" w:eastAsia="宋体" w:cs="宋体"/>
                <w:i w:val="0"/>
                <w:iCs w:val="0"/>
                <w:color w:val="000000"/>
                <w:sz w:val="22"/>
                <w:szCs w:val="22"/>
                <w:u w:val="none"/>
              </w:rPr>
            </w:pPr>
          </w:p>
        </w:tc>
      </w:tr>
    </w:tbl>
    <w:p>
      <w:pPr>
        <w:pStyle w:val="12"/>
        <w:keepNext w:val="0"/>
        <w:keepLines w:val="0"/>
        <w:widowControl/>
        <w:suppressLineNumbers w:val="0"/>
        <w:jc w:val="center"/>
        <w:textAlignment w:val="center"/>
        <w:rPr>
          <w:rFonts w:ascii="宋体" w:hAnsi="宋体" w:eastAsia="宋体" w:cs="宋体"/>
          <w:b/>
          <w:bCs/>
          <w:i w:val="0"/>
          <w:iCs w:val="0"/>
          <w:color w:val="000000"/>
          <w:kern w:val="0"/>
          <w:sz w:val="38"/>
          <w:szCs w:val="38"/>
          <w:u w:val="none"/>
          <w:lang w:val="en-US" w:eastAsia="zh-CN" w:bidi="en-AU"/>
        </w:rPr>
      </w:pPr>
      <w:r>
        <w:rPr>
          <w:rFonts w:ascii="宋体" w:hAnsi="宋体" w:eastAsia="宋体" w:cs="宋体"/>
          <w:b/>
          <w:bCs/>
          <w:i w:val="0"/>
          <w:iCs w:val="0"/>
          <w:color w:val="000000"/>
          <w:kern w:val="0"/>
          <w:sz w:val="38"/>
          <w:szCs w:val="38"/>
          <w:u w:val="none"/>
          <w:lang w:val="en-US" w:eastAsia="zh-CN" w:bidi="en-AU"/>
        </w:rPr>
        <w:br w:type="page"/>
      </w:r>
      <w:bookmarkStart w:id="0" w:name="_GoBack"/>
      <w:bookmarkEnd w:id="0"/>
    </w:p>
    <w:tbl>
      <w:tblPr>
        <w:tblStyle w:val="11"/>
        <w:tblW w:w="15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1076"/>
        <w:gridCol w:w="1315"/>
        <w:gridCol w:w="1209"/>
        <w:gridCol w:w="973"/>
        <w:gridCol w:w="1864"/>
        <w:gridCol w:w="1207"/>
        <w:gridCol w:w="878"/>
        <w:gridCol w:w="1133"/>
        <w:gridCol w:w="919"/>
        <w:gridCol w:w="1065"/>
        <w:gridCol w:w="1119"/>
        <w:gridCol w:w="1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5165" w:type="dxa"/>
            <w:gridSpan w:val="13"/>
            <w:tcBorders>
              <w:top w:val="nil"/>
              <w:left w:val="nil"/>
              <w:bottom w:val="nil"/>
              <w:right w:val="nil"/>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13173"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2022年退役安置补助经费预算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536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许昌市退役军人事务局</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572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许昌市军队离退休干部第二休养所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104.2</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104.2</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104.2</w:t>
            </w:r>
          </w:p>
        </w:tc>
        <w:tc>
          <w:tcPr>
            <w:tcW w:w="1065" w:type="dxa"/>
            <w:tcBorders>
              <w:top w:val="nil"/>
              <w:left w:val="nil"/>
              <w:bottom w:val="nil"/>
              <w:right w:val="nil"/>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104.2</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104.2</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104.2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459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按照部门预算编制和资金管理办法的要求，做好预算编制、指标安排等工作。</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严格按照下达预算的科目和项目执行，专款专用。</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9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40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该资金已纳入绩效管理，科学合理确定绩效目标，开展绩效监控。</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4594"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643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781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643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通过发放离退休费以及军工各项待遇，维护服务管理机构正常运转，保持军休人员队伍基本稳定</w:t>
            </w:r>
          </w:p>
        </w:tc>
        <w:tc>
          <w:tcPr>
            <w:tcW w:w="781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已经通过发放离退休费以及军工各项待遇，维护服务管理机构正常运转，保持军休人员队伍基本稳定。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2022年退役安置补助经费</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104.2万元</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104.2万元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工作人员及军休人员人数</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≤80人</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80人</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发放资金符合相关政策规定比率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军休人员退休费按时发放率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军休人员各项待遇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保障落实</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2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军休人员满意率</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2"/>
              <w:jc w:val="center"/>
              <w:rPr>
                <w:rFonts w:hint="eastAsia" w:ascii="宋体" w:hAnsi="宋体" w:eastAsia="宋体" w:cs="宋体"/>
                <w:i w:val="0"/>
                <w:iCs w:val="0"/>
                <w:color w:val="000000"/>
                <w:sz w:val="18"/>
                <w:szCs w:val="18"/>
                <w:u w:val="none"/>
              </w:rPr>
            </w:pPr>
          </w:p>
        </w:tc>
      </w:tr>
    </w:tbl>
    <w:p>
      <w:pPr>
        <w:pStyle w:val="12"/>
        <w:sectPr>
          <w:pgSz w:w="16838" w:h="11906" w:orient="landscape"/>
          <w:pgMar w:top="720" w:right="720" w:bottom="720" w:left="72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UAAAACACHTuJAuXW5UtAAAAAF&#10;AQAADwAAAAAAAAABACAAAAA4AAAAZHJzL2Rvd25yZXYueG1sUEsBAhQAFAAAAAgAh07iQBb1t5wC&#10;AgAACgQAAA4AAAAAAAAAAQAgAAAANQEAAGRycy9lMm9Eb2MueG1sUEsBAhQACgAAAAAAh07iQAAA&#10;AAAAAAAAAAAAAAQAAAAAAAAAAAAQAAAAFgAAAGRycy9QSwECFAAKAAAAAACHTuJAAAAAAAAAAAAA&#10;AAAABgAAAAAAAAAAABAAAABjAwAAX3JlbHMvUEsFBgAAAAAGAAYAWQEAAKk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B9DE93"/>
    <w:multiLevelType w:val="multilevel"/>
    <w:tmpl w:val="50B9DE93"/>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4EBFB29B"/>
    <w:rsid w:val="7D3C5BC9"/>
    <w:rsid w:val="7FDB85B8"/>
    <w:rsid w:val="FBDA8AA8"/>
    <w:rsid w:val="FFF56A9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73542e7a-56dc-448d-90f8-574f6a72fc5a"/>
    <w:next w:val="2"/>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paragraph" w:customStyle="1" w:styleId="12">
    <w:name w:val="Normal_95e7e13b-a99f-4033-9d8c-a662c002bce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6694</Words>
  <Characters>19242</Characters>
  <Lines>1</Lines>
  <Paragraphs>1</Paragraphs>
  <TotalTime>15</TotalTime>
  <ScaleCrop>false</ScaleCrop>
  <LinksUpToDate>false</LinksUpToDate>
  <CharactersWithSpaces>19487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2023-05-06T02:54:00Z</dcterms:created>
  <dc:creator>HSX</dc:creator>
  <cp:lastModifiedBy>huanghe</cp:lastModifiedBy>
  <dcterms:modified xsi:type="dcterms:W3CDTF">2024-10-08T11:39:06Z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