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许昌市信访网络中心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许昌市信访网络中心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许昌市信访网络中心概况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承担信访信息系统的运行维护工作，负责市信访局内、外门户网站的建设及运行维护等。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许昌市信访网络中心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许昌市信访网络中心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1.许昌市信访网络中心。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34.51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30.36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1.70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0.88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34.51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34.51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34.51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34.51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34.51</w:t>
            </w:r>
          </w:p>
        </w:tc>
        <w:tc>
          <w:tcPr>
            <w:tcW w:w="1440" w:type="dxa"/>
            <w:tcBorders/>
            <w:vAlign w:val="center"/>
          </w:tcPr>
          <w:p>
            <w:pPr>
              <w:jc w:val="right"/>
            </w:pPr>
            <w:r>
              <w:rPr>
                <w:rFonts w:ascii="宋体" w:eastAsia="宋体" w:hAnsi="宋体" w:cs="宋体"/>
                <w:b/>
                <w:i w:val="0"/>
                <w:color w:val="000000"/>
                <w:sz w:val="17"/>
              </w:rPr>
              <w:t xml:space="preserve">34.51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30.36</w:t>
            </w:r>
          </w:p>
        </w:tc>
        <w:tc>
          <w:tcPr>
            <w:tcW w:w="1440" w:type="dxa"/>
            <w:tcBorders/>
            <w:vAlign w:val="center"/>
          </w:tcPr>
          <w:p>
            <w:pPr>
              <w:jc w:val="right"/>
            </w:pPr>
            <w:r>
              <w:rPr>
                <w:rFonts w:ascii="宋体" w:eastAsia="宋体" w:hAnsi="宋体" w:cs="宋体"/>
                <w:b w:val="0"/>
                <w:i w:val="0"/>
                <w:color w:val="000000"/>
                <w:sz w:val="17"/>
              </w:rPr>
              <w:t xml:space="preserve">30.36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政府办公厅（室）及相关机构事务</w:t>
            </w:r>
          </w:p>
        </w:tc>
        <w:tc>
          <w:tcPr>
            <w:tcW w:w="1440" w:type="dxa"/>
            <w:tcBorders/>
            <w:vAlign w:val="center"/>
          </w:tcPr>
          <w:p>
            <w:pPr>
              <w:jc w:val="right"/>
            </w:pPr>
            <w:r>
              <w:rPr>
                <w:rFonts w:ascii="宋体" w:eastAsia="宋体" w:hAnsi="宋体" w:cs="宋体"/>
                <w:b w:val="0"/>
                <w:i w:val="0"/>
                <w:color w:val="000000"/>
                <w:sz w:val="17"/>
              </w:rPr>
              <w:t xml:space="preserve">27.94</w:t>
            </w:r>
          </w:p>
        </w:tc>
        <w:tc>
          <w:tcPr>
            <w:tcW w:w="1440" w:type="dxa"/>
            <w:tcBorders/>
            <w:vAlign w:val="center"/>
          </w:tcPr>
          <w:p>
            <w:pPr>
              <w:jc w:val="right"/>
            </w:pPr>
            <w:r>
              <w:rPr>
                <w:rFonts w:ascii="宋体" w:eastAsia="宋体" w:hAnsi="宋体" w:cs="宋体"/>
                <w:b w:val="0"/>
                <w:i w:val="0"/>
                <w:color w:val="000000"/>
                <w:sz w:val="17"/>
              </w:rPr>
              <w:t xml:space="preserve">27.94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27.94</w:t>
            </w:r>
          </w:p>
        </w:tc>
        <w:tc>
          <w:tcPr>
            <w:tcW w:w="1440" w:type="dxa"/>
            <w:tcBorders/>
            <w:vAlign w:val="center"/>
          </w:tcPr>
          <w:p>
            <w:pPr>
              <w:jc w:val="right"/>
            </w:pPr>
            <w:r>
              <w:rPr>
                <w:rFonts w:ascii="宋体" w:eastAsia="宋体" w:hAnsi="宋体" w:cs="宋体"/>
                <w:b w:val="0"/>
                <w:i w:val="0"/>
                <w:color w:val="000000"/>
                <w:sz w:val="17"/>
              </w:rPr>
              <w:t xml:space="preserve">27.94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0.15</w:t>
            </w:r>
          </w:p>
        </w:tc>
        <w:tc>
          <w:tcPr>
            <w:tcW w:w="1440" w:type="dxa"/>
            <w:tcBorders/>
            <w:vAlign w:val="center"/>
          </w:tcPr>
          <w:p>
            <w:pPr>
              <w:jc w:val="right"/>
            </w:pPr>
            <w:r>
              <w:rPr>
                <w:rFonts w:ascii="宋体" w:eastAsia="宋体" w:hAnsi="宋体" w:cs="宋体"/>
                <w:b w:val="0"/>
                <w:i w:val="0"/>
                <w:color w:val="000000"/>
                <w:sz w:val="17"/>
              </w:rPr>
              <w:t xml:space="preserve">0.15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0.15</w:t>
            </w:r>
          </w:p>
        </w:tc>
        <w:tc>
          <w:tcPr>
            <w:tcW w:w="1440" w:type="dxa"/>
            <w:tcBorders/>
            <w:vAlign w:val="center"/>
          </w:tcPr>
          <w:p>
            <w:pPr>
              <w:jc w:val="right"/>
            </w:pPr>
            <w:r>
              <w:rPr>
                <w:rFonts w:ascii="宋体" w:eastAsia="宋体" w:hAnsi="宋体" w:cs="宋体"/>
                <w:b w:val="0"/>
                <w:i w:val="0"/>
                <w:color w:val="000000"/>
                <w:sz w:val="17"/>
              </w:rPr>
              <w:t xml:space="preserve">0.15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2.26</w:t>
            </w:r>
          </w:p>
        </w:tc>
        <w:tc>
          <w:tcPr>
            <w:tcW w:w="1440" w:type="dxa"/>
            <w:tcBorders/>
            <w:vAlign w:val="center"/>
          </w:tcPr>
          <w:p>
            <w:pPr>
              <w:jc w:val="right"/>
            </w:pPr>
            <w:r>
              <w:rPr>
                <w:rFonts w:ascii="宋体" w:eastAsia="宋体" w:hAnsi="宋体" w:cs="宋体"/>
                <w:b w:val="0"/>
                <w:i w:val="0"/>
                <w:color w:val="000000"/>
                <w:sz w:val="17"/>
              </w:rPr>
              <w:t xml:space="preserve">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2.26</w:t>
            </w:r>
          </w:p>
        </w:tc>
        <w:tc>
          <w:tcPr>
            <w:tcW w:w="1440" w:type="dxa"/>
            <w:tcBorders/>
            <w:vAlign w:val="center"/>
          </w:tcPr>
          <w:p>
            <w:pPr>
              <w:jc w:val="right"/>
            </w:pPr>
            <w:r>
              <w:rPr>
                <w:rFonts w:ascii="宋体" w:eastAsia="宋体" w:hAnsi="宋体" w:cs="宋体"/>
                <w:b w:val="0"/>
                <w:i w:val="0"/>
                <w:color w:val="000000"/>
                <w:sz w:val="17"/>
              </w:rPr>
              <w:t xml:space="preserve">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1.70</w:t>
            </w:r>
          </w:p>
        </w:tc>
        <w:tc>
          <w:tcPr>
            <w:tcW w:w="1440" w:type="dxa"/>
            <w:tcBorders/>
            <w:vAlign w:val="center"/>
          </w:tcPr>
          <w:p>
            <w:pPr>
              <w:jc w:val="right"/>
            </w:pPr>
            <w:r>
              <w:rPr>
                <w:rFonts w:ascii="宋体" w:eastAsia="宋体" w:hAnsi="宋体" w:cs="宋体"/>
                <w:b w:val="0"/>
                <w:i w:val="0"/>
                <w:color w:val="000000"/>
                <w:sz w:val="17"/>
              </w:rPr>
              <w:t xml:space="preserve">1.70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1.70</w:t>
            </w:r>
          </w:p>
        </w:tc>
        <w:tc>
          <w:tcPr>
            <w:tcW w:w="1440" w:type="dxa"/>
            <w:tcBorders/>
            <w:vAlign w:val="center"/>
          </w:tcPr>
          <w:p>
            <w:pPr>
              <w:jc w:val="right"/>
            </w:pPr>
            <w:r>
              <w:rPr>
                <w:rFonts w:ascii="宋体" w:eastAsia="宋体" w:hAnsi="宋体" w:cs="宋体"/>
                <w:b w:val="0"/>
                <w:i w:val="0"/>
                <w:color w:val="000000"/>
                <w:sz w:val="17"/>
              </w:rPr>
              <w:t xml:space="preserve">1.70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1.70</w:t>
            </w:r>
          </w:p>
        </w:tc>
        <w:tc>
          <w:tcPr>
            <w:tcW w:w="1440" w:type="dxa"/>
            <w:tcBorders/>
            <w:vAlign w:val="center"/>
          </w:tcPr>
          <w:p>
            <w:pPr>
              <w:jc w:val="right"/>
            </w:pPr>
            <w:r>
              <w:rPr>
                <w:rFonts w:ascii="宋体" w:eastAsia="宋体" w:hAnsi="宋体" w:cs="宋体"/>
                <w:b w:val="0"/>
                <w:i w:val="0"/>
                <w:color w:val="000000"/>
                <w:sz w:val="17"/>
              </w:rPr>
              <w:t xml:space="preserve">1.70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1.56</w:t>
            </w:r>
          </w:p>
        </w:tc>
        <w:tc>
          <w:tcPr>
            <w:tcW w:w="1440" w:type="dxa"/>
            <w:tcBorders/>
            <w:vAlign w:val="center"/>
          </w:tcPr>
          <w:p>
            <w:pPr>
              <w:jc w:val="right"/>
            </w:pPr>
            <w:r>
              <w:rPr>
                <w:rFonts w:ascii="宋体" w:eastAsia="宋体" w:hAnsi="宋体" w:cs="宋体"/>
                <w:b w:val="0"/>
                <w:i w:val="0"/>
                <w:color w:val="000000"/>
                <w:sz w:val="17"/>
              </w:rPr>
              <w:t xml:space="preserve">1.56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1.56</w:t>
            </w:r>
          </w:p>
        </w:tc>
        <w:tc>
          <w:tcPr>
            <w:tcW w:w="1440" w:type="dxa"/>
            <w:tcBorders/>
            <w:vAlign w:val="center"/>
          </w:tcPr>
          <w:p>
            <w:pPr>
              <w:jc w:val="right"/>
            </w:pPr>
            <w:r>
              <w:rPr>
                <w:rFonts w:ascii="宋体" w:eastAsia="宋体" w:hAnsi="宋体" w:cs="宋体"/>
                <w:b w:val="0"/>
                <w:i w:val="0"/>
                <w:color w:val="000000"/>
                <w:sz w:val="17"/>
              </w:rPr>
              <w:t xml:space="preserve">1.56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1.56</w:t>
            </w:r>
          </w:p>
        </w:tc>
        <w:tc>
          <w:tcPr>
            <w:tcW w:w="1440" w:type="dxa"/>
            <w:tcBorders/>
            <w:vAlign w:val="center"/>
          </w:tcPr>
          <w:p>
            <w:pPr>
              <w:jc w:val="right"/>
            </w:pPr>
            <w:r>
              <w:rPr>
                <w:rFonts w:ascii="宋体" w:eastAsia="宋体" w:hAnsi="宋体" w:cs="宋体"/>
                <w:b w:val="0"/>
                <w:i w:val="0"/>
                <w:color w:val="000000"/>
                <w:sz w:val="17"/>
              </w:rPr>
              <w:t xml:space="preserve">1.56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34.51</w:t>
            </w:r>
          </w:p>
        </w:tc>
        <w:tc>
          <w:tcPr>
            <w:tcW w:w="1600" w:type="dxa"/>
            <w:tcBorders/>
            <w:vAlign w:val="center"/>
          </w:tcPr>
          <w:p>
            <w:pPr>
              <w:jc w:val="right"/>
            </w:pPr>
            <w:r>
              <w:rPr>
                <w:rFonts w:ascii="宋体" w:eastAsia="宋体" w:hAnsi="宋体" w:cs="宋体"/>
                <w:b/>
                <w:i w:val="0"/>
                <w:color w:val="000000"/>
                <w:sz w:val="19"/>
              </w:rPr>
              <w:t xml:space="preserve">34.51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30.36</w:t>
            </w:r>
          </w:p>
        </w:tc>
        <w:tc>
          <w:tcPr>
            <w:tcW w:w="1600" w:type="dxa"/>
            <w:tcBorders/>
            <w:vAlign w:val="center"/>
          </w:tcPr>
          <w:p>
            <w:pPr>
              <w:jc w:val="right"/>
            </w:pPr>
            <w:r>
              <w:rPr>
                <w:rFonts w:ascii="宋体" w:eastAsia="宋体" w:hAnsi="宋体" w:cs="宋体"/>
                <w:b w:val="0"/>
                <w:i w:val="0"/>
                <w:color w:val="000000"/>
                <w:sz w:val="19"/>
              </w:rPr>
              <w:t xml:space="preserve">30.36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政府办公厅（室）及相关机构事务</w:t>
            </w:r>
          </w:p>
        </w:tc>
        <w:tc>
          <w:tcPr>
            <w:tcW w:w="1600" w:type="dxa"/>
            <w:tcBorders/>
            <w:vAlign w:val="center"/>
          </w:tcPr>
          <w:p>
            <w:pPr>
              <w:jc w:val="right"/>
            </w:pPr>
            <w:r>
              <w:rPr>
                <w:rFonts w:ascii="宋体" w:eastAsia="宋体" w:hAnsi="宋体" w:cs="宋体"/>
                <w:b w:val="0"/>
                <w:i w:val="0"/>
                <w:color w:val="000000"/>
                <w:sz w:val="19"/>
              </w:rPr>
              <w:t xml:space="preserve">27.94</w:t>
            </w:r>
          </w:p>
        </w:tc>
        <w:tc>
          <w:tcPr>
            <w:tcW w:w="1600" w:type="dxa"/>
            <w:tcBorders/>
            <w:vAlign w:val="center"/>
          </w:tcPr>
          <w:p>
            <w:pPr>
              <w:jc w:val="right"/>
            </w:pPr>
            <w:r>
              <w:rPr>
                <w:rFonts w:ascii="宋体" w:eastAsia="宋体" w:hAnsi="宋体" w:cs="宋体"/>
                <w:b w:val="0"/>
                <w:i w:val="0"/>
                <w:color w:val="000000"/>
                <w:sz w:val="19"/>
              </w:rPr>
              <w:t xml:space="preserve">27.94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27.94</w:t>
            </w:r>
          </w:p>
        </w:tc>
        <w:tc>
          <w:tcPr>
            <w:tcW w:w="1600" w:type="dxa"/>
            <w:tcBorders/>
            <w:vAlign w:val="center"/>
          </w:tcPr>
          <w:p>
            <w:pPr>
              <w:jc w:val="right"/>
            </w:pPr>
            <w:r>
              <w:rPr>
                <w:rFonts w:ascii="宋体" w:eastAsia="宋体" w:hAnsi="宋体" w:cs="宋体"/>
                <w:b w:val="0"/>
                <w:i w:val="0"/>
                <w:color w:val="000000"/>
                <w:sz w:val="19"/>
              </w:rPr>
              <w:t xml:space="preserve">27.94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0.15</w:t>
            </w:r>
          </w:p>
        </w:tc>
        <w:tc>
          <w:tcPr>
            <w:tcW w:w="1600" w:type="dxa"/>
            <w:tcBorders/>
            <w:vAlign w:val="center"/>
          </w:tcPr>
          <w:p>
            <w:pPr>
              <w:jc w:val="right"/>
            </w:pPr>
            <w:r>
              <w:rPr>
                <w:rFonts w:ascii="宋体" w:eastAsia="宋体" w:hAnsi="宋体" w:cs="宋体"/>
                <w:b w:val="0"/>
                <w:i w:val="0"/>
                <w:color w:val="000000"/>
                <w:sz w:val="19"/>
              </w:rPr>
              <w:t xml:space="preserve">0.15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0.15</w:t>
            </w:r>
          </w:p>
        </w:tc>
        <w:tc>
          <w:tcPr>
            <w:tcW w:w="1600" w:type="dxa"/>
            <w:tcBorders/>
            <w:vAlign w:val="center"/>
          </w:tcPr>
          <w:p>
            <w:pPr>
              <w:jc w:val="right"/>
            </w:pPr>
            <w:r>
              <w:rPr>
                <w:rFonts w:ascii="宋体" w:eastAsia="宋体" w:hAnsi="宋体" w:cs="宋体"/>
                <w:b w:val="0"/>
                <w:i w:val="0"/>
                <w:color w:val="000000"/>
                <w:sz w:val="19"/>
              </w:rPr>
              <w:t xml:space="preserve">0.15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2.26</w:t>
            </w:r>
          </w:p>
        </w:tc>
        <w:tc>
          <w:tcPr>
            <w:tcW w:w="1600" w:type="dxa"/>
            <w:tcBorders/>
            <w:vAlign w:val="center"/>
          </w:tcPr>
          <w:p>
            <w:pPr>
              <w:jc w:val="right"/>
            </w:pPr>
            <w:r>
              <w:rPr>
                <w:rFonts w:ascii="宋体" w:eastAsia="宋体" w:hAnsi="宋体" w:cs="宋体"/>
                <w:b w:val="0"/>
                <w:i w:val="0"/>
                <w:color w:val="000000"/>
                <w:sz w:val="19"/>
              </w:rPr>
              <w:t xml:space="preserve">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2.26</w:t>
            </w:r>
          </w:p>
        </w:tc>
        <w:tc>
          <w:tcPr>
            <w:tcW w:w="1600" w:type="dxa"/>
            <w:tcBorders/>
            <w:vAlign w:val="center"/>
          </w:tcPr>
          <w:p>
            <w:pPr>
              <w:jc w:val="right"/>
            </w:pPr>
            <w:r>
              <w:rPr>
                <w:rFonts w:ascii="宋体" w:eastAsia="宋体" w:hAnsi="宋体" w:cs="宋体"/>
                <w:b w:val="0"/>
                <w:i w:val="0"/>
                <w:color w:val="000000"/>
                <w:sz w:val="19"/>
              </w:rPr>
              <w:t xml:space="preserve">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1.70</w:t>
            </w:r>
          </w:p>
        </w:tc>
        <w:tc>
          <w:tcPr>
            <w:tcW w:w="1600" w:type="dxa"/>
            <w:tcBorders/>
            <w:vAlign w:val="center"/>
          </w:tcPr>
          <w:p>
            <w:pPr>
              <w:jc w:val="right"/>
            </w:pPr>
            <w:r>
              <w:rPr>
                <w:rFonts w:ascii="宋体" w:eastAsia="宋体" w:hAnsi="宋体" w:cs="宋体"/>
                <w:b w:val="0"/>
                <w:i w:val="0"/>
                <w:color w:val="000000"/>
                <w:sz w:val="19"/>
              </w:rPr>
              <w:t xml:space="preserve">1.70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1.70</w:t>
            </w:r>
          </w:p>
        </w:tc>
        <w:tc>
          <w:tcPr>
            <w:tcW w:w="1600" w:type="dxa"/>
            <w:tcBorders/>
            <w:vAlign w:val="center"/>
          </w:tcPr>
          <w:p>
            <w:pPr>
              <w:jc w:val="right"/>
            </w:pPr>
            <w:r>
              <w:rPr>
                <w:rFonts w:ascii="宋体" w:eastAsia="宋体" w:hAnsi="宋体" w:cs="宋体"/>
                <w:b w:val="0"/>
                <w:i w:val="0"/>
                <w:color w:val="000000"/>
                <w:sz w:val="19"/>
              </w:rPr>
              <w:t xml:space="preserve">1.70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1.70</w:t>
            </w:r>
          </w:p>
        </w:tc>
        <w:tc>
          <w:tcPr>
            <w:tcW w:w="1600" w:type="dxa"/>
            <w:tcBorders/>
            <w:vAlign w:val="center"/>
          </w:tcPr>
          <w:p>
            <w:pPr>
              <w:jc w:val="right"/>
            </w:pPr>
            <w:r>
              <w:rPr>
                <w:rFonts w:ascii="宋体" w:eastAsia="宋体" w:hAnsi="宋体" w:cs="宋体"/>
                <w:b w:val="0"/>
                <w:i w:val="0"/>
                <w:color w:val="000000"/>
                <w:sz w:val="19"/>
              </w:rPr>
              <w:t xml:space="preserve">1.70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1.56</w:t>
            </w:r>
          </w:p>
        </w:tc>
        <w:tc>
          <w:tcPr>
            <w:tcW w:w="1600" w:type="dxa"/>
            <w:tcBorders/>
            <w:vAlign w:val="center"/>
          </w:tcPr>
          <w:p>
            <w:pPr>
              <w:jc w:val="right"/>
            </w:pPr>
            <w:r>
              <w:rPr>
                <w:rFonts w:ascii="宋体" w:eastAsia="宋体" w:hAnsi="宋体" w:cs="宋体"/>
                <w:b w:val="0"/>
                <w:i w:val="0"/>
                <w:color w:val="000000"/>
                <w:sz w:val="19"/>
              </w:rPr>
              <w:t xml:space="preserve">1.56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1.56</w:t>
            </w:r>
          </w:p>
        </w:tc>
        <w:tc>
          <w:tcPr>
            <w:tcW w:w="1600" w:type="dxa"/>
            <w:tcBorders/>
            <w:vAlign w:val="center"/>
          </w:tcPr>
          <w:p>
            <w:pPr>
              <w:jc w:val="right"/>
            </w:pPr>
            <w:r>
              <w:rPr>
                <w:rFonts w:ascii="宋体" w:eastAsia="宋体" w:hAnsi="宋体" w:cs="宋体"/>
                <w:b w:val="0"/>
                <w:i w:val="0"/>
                <w:color w:val="000000"/>
                <w:sz w:val="19"/>
              </w:rPr>
              <w:t xml:space="preserve">1.56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1.56</w:t>
            </w:r>
          </w:p>
        </w:tc>
        <w:tc>
          <w:tcPr>
            <w:tcW w:w="1600" w:type="dxa"/>
            <w:tcBorders/>
            <w:vAlign w:val="center"/>
          </w:tcPr>
          <w:p>
            <w:pPr>
              <w:jc w:val="right"/>
            </w:pPr>
            <w:r>
              <w:rPr>
                <w:rFonts w:ascii="宋体" w:eastAsia="宋体" w:hAnsi="宋体" w:cs="宋体"/>
                <w:b w:val="0"/>
                <w:i w:val="0"/>
                <w:color w:val="000000"/>
                <w:sz w:val="19"/>
              </w:rPr>
              <w:t xml:space="preserve">1.56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34.51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30.36</w:t>
            </w:r>
          </w:p>
        </w:tc>
        <w:tc>
          <w:tcPr>
            <w:tcW w:w="1420" w:type="dxa"/>
            <w:tcBorders/>
            <w:vAlign w:val="center"/>
          </w:tcPr>
          <w:p>
            <w:pPr>
              <w:jc w:val="right"/>
            </w:pPr>
            <w:r>
              <w:rPr>
                <w:rFonts w:ascii="宋体" w:eastAsia="宋体" w:hAnsi="宋体" w:cs="宋体"/>
                <w:b w:val="0"/>
                <w:i w:val="0"/>
                <w:color w:val="000000"/>
                <w:sz w:val="18"/>
              </w:rPr>
              <w:t xml:space="preserve">30.36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1.70</w:t>
            </w:r>
          </w:p>
        </w:tc>
        <w:tc>
          <w:tcPr>
            <w:tcW w:w="1420" w:type="dxa"/>
            <w:tcBorders/>
            <w:vAlign w:val="center"/>
          </w:tcPr>
          <w:p>
            <w:pPr>
              <w:jc w:val="right"/>
            </w:pPr>
            <w:r>
              <w:rPr>
                <w:rFonts w:ascii="宋体" w:eastAsia="宋体" w:hAnsi="宋体" w:cs="宋体"/>
                <w:b w:val="0"/>
                <w:i w:val="0"/>
                <w:color w:val="000000"/>
                <w:sz w:val="18"/>
              </w:rPr>
              <w:t xml:space="preserve">1.70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0.88</w:t>
            </w:r>
          </w:p>
        </w:tc>
        <w:tc>
          <w:tcPr>
            <w:tcW w:w="1420" w:type="dxa"/>
            <w:tcBorders/>
            <w:vAlign w:val="center"/>
          </w:tcPr>
          <w:p>
            <w:pPr>
              <w:jc w:val="right"/>
            </w:pPr>
            <w:r>
              <w:rPr>
                <w:rFonts w:ascii="宋体" w:eastAsia="宋体" w:hAnsi="宋体" w:cs="宋体"/>
                <w:b w:val="0"/>
                <w:i w:val="0"/>
                <w:color w:val="000000"/>
                <w:sz w:val="18"/>
              </w:rPr>
              <w:t xml:space="preserve">0.88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1.56</w:t>
            </w:r>
          </w:p>
        </w:tc>
        <w:tc>
          <w:tcPr>
            <w:tcW w:w="1420" w:type="dxa"/>
            <w:tcBorders/>
            <w:vAlign w:val="center"/>
          </w:tcPr>
          <w:p>
            <w:pPr>
              <w:jc w:val="right"/>
            </w:pPr>
            <w:r>
              <w:rPr>
                <w:rFonts w:ascii="宋体" w:eastAsia="宋体" w:hAnsi="宋体" w:cs="宋体"/>
                <w:b w:val="0"/>
                <w:i w:val="0"/>
                <w:color w:val="000000"/>
                <w:sz w:val="18"/>
              </w:rPr>
              <w:t xml:space="preserve">1.56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34.51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34.51</w:t>
            </w:r>
          </w:p>
        </w:tc>
        <w:tc>
          <w:tcPr>
            <w:tcW w:w="1420" w:type="dxa"/>
            <w:tcBorders/>
            <w:vAlign w:val="center"/>
          </w:tcPr>
          <w:p>
            <w:pPr>
              <w:jc w:val="right"/>
            </w:pPr>
            <w:r>
              <w:rPr>
                <w:rFonts w:ascii="宋体" w:eastAsia="宋体" w:hAnsi="宋体" w:cs="宋体"/>
                <w:b w:val="0"/>
                <w:i w:val="0"/>
                <w:color w:val="000000"/>
                <w:sz w:val="18"/>
              </w:rPr>
              <w:t xml:space="preserve">34.51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34.51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34.51</w:t>
            </w:r>
          </w:p>
        </w:tc>
        <w:tc>
          <w:tcPr>
            <w:tcW w:w="1420" w:type="dxa"/>
            <w:tcBorders/>
            <w:vAlign w:val="center"/>
          </w:tcPr>
          <w:p>
            <w:pPr>
              <w:jc w:val="right"/>
            </w:pPr>
            <w:r>
              <w:rPr>
                <w:rFonts w:ascii="宋体" w:eastAsia="宋体" w:hAnsi="宋体" w:cs="宋体"/>
                <w:b w:val="0"/>
                <w:i w:val="0"/>
                <w:color w:val="000000"/>
                <w:sz w:val="18"/>
              </w:rPr>
              <w:t xml:space="preserve">34.51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34.51</w:t>
            </w:r>
          </w:p>
        </w:tc>
        <w:tc>
          <w:tcPr>
            <w:tcW w:w="2700" w:type="dxa"/>
            <w:tcBorders/>
            <w:vAlign w:val="center"/>
          </w:tcPr>
          <w:p>
            <w:pPr>
              <w:jc w:val="right"/>
            </w:pPr>
            <w:r>
              <w:rPr>
                <w:rFonts w:ascii="宋体" w:eastAsia="宋体" w:hAnsi="宋体" w:cs="宋体"/>
                <w:b/>
                <w:i w:val="0"/>
                <w:color w:val="000000"/>
                <w:sz w:val="25"/>
              </w:rPr>
              <w:t xml:space="preserve">34.51</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30.36</w:t>
            </w:r>
          </w:p>
        </w:tc>
        <w:tc>
          <w:tcPr>
            <w:tcW w:w="2700" w:type="dxa"/>
            <w:tcBorders/>
            <w:vAlign w:val="center"/>
          </w:tcPr>
          <w:p>
            <w:pPr>
              <w:jc w:val="right"/>
            </w:pPr>
            <w:r>
              <w:rPr>
                <w:rFonts w:ascii="宋体" w:eastAsia="宋体" w:hAnsi="宋体" w:cs="宋体"/>
                <w:b w:val="0"/>
                <w:i w:val="0"/>
                <w:color w:val="000000"/>
                <w:sz w:val="25"/>
              </w:rPr>
              <w:t xml:space="preserve">30.36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政府办公厅（室）及相关机构事务</w:t>
            </w:r>
          </w:p>
        </w:tc>
        <w:tc>
          <w:tcPr>
            <w:tcW w:w="2700" w:type="dxa"/>
            <w:tcBorders/>
            <w:vAlign w:val="center"/>
          </w:tcPr>
          <w:p>
            <w:pPr>
              <w:jc w:val="right"/>
            </w:pPr>
            <w:r>
              <w:rPr>
                <w:rFonts w:ascii="宋体" w:eastAsia="宋体" w:hAnsi="宋体" w:cs="宋体"/>
                <w:b w:val="0"/>
                <w:i w:val="0"/>
                <w:color w:val="000000"/>
                <w:sz w:val="25"/>
              </w:rPr>
              <w:t xml:space="preserve">27.94</w:t>
            </w:r>
          </w:p>
        </w:tc>
        <w:tc>
          <w:tcPr>
            <w:tcW w:w="2700" w:type="dxa"/>
            <w:tcBorders/>
            <w:vAlign w:val="center"/>
          </w:tcPr>
          <w:p>
            <w:pPr>
              <w:jc w:val="right"/>
            </w:pPr>
            <w:r>
              <w:rPr>
                <w:rFonts w:ascii="宋体" w:eastAsia="宋体" w:hAnsi="宋体" w:cs="宋体"/>
                <w:b w:val="0"/>
                <w:i w:val="0"/>
                <w:color w:val="000000"/>
                <w:sz w:val="25"/>
              </w:rPr>
              <w:t xml:space="preserve">27.94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27.94</w:t>
            </w:r>
          </w:p>
        </w:tc>
        <w:tc>
          <w:tcPr>
            <w:tcW w:w="2700" w:type="dxa"/>
            <w:tcBorders/>
            <w:vAlign w:val="center"/>
          </w:tcPr>
          <w:p>
            <w:pPr>
              <w:jc w:val="right"/>
            </w:pPr>
            <w:r>
              <w:rPr>
                <w:rFonts w:ascii="宋体" w:eastAsia="宋体" w:hAnsi="宋体" w:cs="宋体"/>
                <w:b w:val="0"/>
                <w:i w:val="0"/>
                <w:color w:val="000000"/>
                <w:sz w:val="25"/>
              </w:rPr>
              <w:t xml:space="preserve">27.94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0.15</w:t>
            </w:r>
          </w:p>
        </w:tc>
        <w:tc>
          <w:tcPr>
            <w:tcW w:w="2700" w:type="dxa"/>
            <w:tcBorders/>
            <w:vAlign w:val="center"/>
          </w:tcPr>
          <w:p>
            <w:pPr>
              <w:jc w:val="right"/>
            </w:pPr>
            <w:r>
              <w:rPr>
                <w:rFonts w:ascii="宋体" w:eastAsia="宋体" w:hAnsi="宋体" w:cs="宋体"/>
                <w:b w:val="0"/>
                <w:i w:val="0"/>
                <w:color w:val="000000"/>
                <w:sz w:val="25"/>
              </w:rPr>
              <w:t xml:space="preserve">0.15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0.15</w:t>
            </w:r>
          </w:p>
        </w:tc>
        <w:tc>
          <w:tcPr>
            <w:tcW w:w="2700" w:type="dxa"/>
            <w:tcBorders/>
            <w:vAlign w:val="center"/>
          </w:tcPr>
          <w:p>
            <w:pPr>
              <w:jc w:val="right"/>
            </w:pPr>
            <w:r>
              <w:rPr>
                <w:rFonts w:ascii="宋体" w:eastAsia="宋体" w:hAnsi="宋体" w:cs="宋体"/>
                <w:b w:val="0"/>
                <w:i w:val="0"/>
                <w:color w:val="000000"/>
                <w:sz w:val="25"/>
              </w:rPr>
              <w:t xml:space="preserve">0.15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2.26</w:t>
            </w:r>
          </w:p>
        </w:tc>
        <w:tc>
          <w:tcPr>
            <w:tcW w:w="2700" w:type="dxa"/>
            <w:tcBorders/>
            <w:vAlign w:val="center"/>
          </w:tcPr>
          <w:p>
            <w:pPr>
              <w:jc w:val="right"/>
            </w:pPr>
            <w:r>
              <w:rPr>
                <w:rFonts w:ascii="宋体" w:eastAsia="宋体" w:hAnsi="宋体" w:cs="宋体"/>
                <w:b w:val="0"/>
                <w:i w:val="0"/>
                <w:color w:val="000000"/>
                <w:sz w:val="25"/>
              </w:rPr>
              <w:t xml:space="preserve">2.26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2.26</w:t>
            </w:r>
          </w:p>
        </w:tc>
        <w:tc>
          <w:tcPr>
            <w:tcW w:w="2700" w:type="dxa"/>
            <w:tcBorders/>
            <w:vAlign w:val="center"/>
          </w:tcPr>
          <w:p>
            <w:pPr>
              <w:jc w:val="right"/>
            </w:pPr>
            <w:r>
              <w:rPr>
                <w:rFonts w:ascii="宋体" w:eastAsia="宋体" w:hAnsi="宋体" w:cs="宋体"/>
                <w:b w:val="0"/>
                <w:i w:val="0"/>
                <w:color w:val="000000"/>
                <w:sz w:val="25"/>
              </w:rPr>
              <w:t xml:space="preserve">2.26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1.70</w:t>
            </w:r>
          </w:p>
        </w:tc>
        <w:tc>
          <w:tcPr>
            <w:tcW w:w="2700" w:type="dxa"/>
            <w:tcBorders/>
            <w:vAlign w:val="center"/>
          </w:tcPr>
          <w:p>
            <w:pPr>
              <w:jc w:val="right"/>
            </w:pPr>
            <w:r>
              <w:rPr>
                <w:rFonts w:ascii="宋体" w:eastAsia="宋体" w:hAnsi="宋体" w:cs="宋体"/>
                <w:b w:val="0"/>
                <w:i w:val="0"/>
                <w:color w:val="000000"/>
                <w:sz w:val="25"/>
              </w:rPr>
              <w:t xml:space="preserve">1.70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1.70</w:t>
            </w:r>
          </w:p>
        </w:tc>
        <w:tc>
          <w:tcPr>
            <w:tcW w:w="2700" w:type="dxa"/>
            <w:tcBorders/>
            <w:vAlign w:val="center"/>
          </w:tcPr>
          <w:p>
            <w:pPr>
              <w:jc w:val="right"/>
            </w:pPr>
            <w:r>
              <w:rPr>
                <w:rFonts w:ascii="宋体" w:eastAsia="宋体" w:hAnsi="宋体" w:cs="宋体"/>
                <w:b w:val="0"/>
                <w:i w:val="0"/>
                <w:color w:val="000000"/>
                <w:sz w:val="25"/>
              </w:rPr>
              <w:t xml:space="preserve">1.70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1.70</w:t>
            </w:r>
          </w:p>
        </w:tc>
        <w:tc>
          <w:tcPr>
            <w:tcW w:w="2700" w:type="dxa"/>
            <w:tcBorders/>
            <w:vAlign w:val="center"/>
          </w:tcPr>
          <w:p>
            <w:pPr>
              <w:jc w:val="right"/>
            </w:pPr>
            <w:r>
              <w:rPr>
                <w:rFonts w:ascii="宋体" w:eastAsia="宋体" w:hAnsi="宋体" w:cs="宋体"/>
                <w:b w:val="0"/>
                <w:i w:val="0"/>
                <w:color w:val="000000"/>
                <w:sz w:val="25"/>
              </w:rPr>
              <w:t xml:space="preserve">1.70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1.56</w:t>
            </w:r>
          </w:p>
        </w:tc>
        <w:tc>
          <w:tcPr>
            <w:tcW w:w="2700" w:type="dxa"/>
            <w:tcBorders/>
            <w:vAlign w:val="center"/>
          </w:tcPr>
          <w:p>
            <w:pPr>
              <w:jc w:val="right"/>
            </w:pPr>
            <w:r>
              <w:rPr>
                <w:rFonts w:ascii="宋体" w:eastAsia="宋体" w:hAnsi="宋体" w:cs="宋体"/>
                <w:b w:val="0"/>
                <w:i w:val="0"/>
                <w:color w:val="000000"/>
                <w:sz w:val="25"/>
              </w:rPr>
              <w:t xml:space="preserve">1.56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1.56</w:t>
            </w:r>
          </w:p>
        </w:tc>
        <w:tc>
          <w:tcPr>
            <w:tcW w:w="2700" w:type="dxa"/>
            <w:tcBorders/>
            <w:vAlign w:val="center"/>
          </w:tcPr>
          <w:p>
            <w:pPr>
              <w:jc w:val="right"/>
            </w:pPr>
            <w:r>
              <w:rPr>
                <w:rFonts w:ascii="宋体" w:eastAsia="宋体" w:hAnsi="宋体" w:cs="宋体"/>
                <w:b w:val="0"/>
                <w:i w:val="0"/>
                <w:color w:val="000000"/>
                <w:sz w:val="25"/>
              </w:rPr>
              <w:t xml:space="preserve">1.56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1.56</w:t>
            </w:r>
          </w:p>
        </w:tc>
        <w:tc>
          <w:tcPr>
            <w:tcW w:w="2700" w:type="dxa"/>
            <w:tcBorders/>
            <w:vAlign w:val="center"/>
          </w:tcPr>
          <w:p>
            <w:pPr>
              <w:jc w:val="right"/>
            </w:pPr>
            <w:r>
              <w:rPr>
                <w:rFonts w:ascii="宋体" w:eastAsia="宋体" w:hAnsi="宋体" w:cs="宋体"/>
                <w:b w:val="0"/>
                <w:i w:val="0"/>
                <w:color w:val="000000"/>
                <w:sz w:val="25"/>
              </w:rPr>
              <w:t xml:space="preserve">1.56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26.05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8.45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5.62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4.42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7.09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6.02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3.16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1.70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1.61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0.88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1.56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1.52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26.05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8.45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单位：许昌市信访网络中心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34.51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增加3.70万元，增长12.01%</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34.51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财政拨款收入34.51万元，占100.00%；上级补助收入0.00万元，占0.00%；事业收入0.00万元，占0.00%；经营收入0.00万元，占0.00%；附属单位上缴收入0.00万元，占0.00%；其他收入0.00万元，占0.00%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34.51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基本支出34.51万元，占100.00%；项目支出0.00万元，占0.00%；上缴上级支出0.00万元，占0.00%；经营支出0.00万元，占0.00%；对附属单位补助支出0.00万元，占0.00%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34.51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增加3.70万元，增长12.01%</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34.51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增加3.70万元，增长12.01%</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34.51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一般公共服务支出（类）30.36万元，占87.97%；社会保障和就业支出（类）1.70万元，占4.93%；卫生健康支出（类）0.88万元，占2.55%；住房保障支出（类）1.56万元，占4.55%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35.20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34.51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98.04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1.一般公共服务支出（类）政府办公厅（室）及相关机构事务（款）事业运行（项）</w:t>
      </w:r>
      <w:r>
        <w:rPr>
          <w:rFonts w:ascii="仿宋" w:eastAsia="仿宋" w:hAnsi="仿宋" w:cs="仿宋" w:hint="default"/>
          <w:kern w:val="2"/>
          <w:sz w:val="32"/>
          <w:szCs w:val="32"/>
          <w:lang w:val="en-US" w:eastAsia="zh-CN"/>
        </w:rPr>
        <w:t xml:space="preserve">年初预算数为30.66万元，决算数27.94万元,完成年初预算的91.13%，决算数与年初预算数存在差异的主要原因是年中调离一人，工资减少。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年初预算数为0.15万元，决算数0.15万元,完成年初预算的100.00%，决算数与年初预算数不存在差异。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年初预算数为0.00万元，决算数2.26万元,决算数与年初预算数存在差异的主要原因是根据业务需要，年中相应调剂安排财政拨款预算。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年初预算数为1.82万元，决算数1.70万元,完成年初预算的93.41%，决算数与年初预算数存在差异的主要原因是社保基数调整人员调离，导致实际缴纳费用减少。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年初预算数为0.88万元，决算数0.88万元,完成年初预算的100.00%，决算数与年初预算数不存在差异。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年初预算数为1.68万元，决算数1.56万元,完成年初预算的92.86%，决算数与年初预算数存在差异的主要原因是公积金基数调整人员调离，导致实际缴纳费用减少。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34.51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其中：人员经费26.05万元，主要包括：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公用经费8.45万元，主要包括：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0.00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34.51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对本单位整体绩效目标和项目支出绩效目标进行了自评。一是单位整体绩效自评情况，我单位本着清晰明确可量化、可实现的原则，切实结合我单位工作实际，使单位整体绩效评价指标具有较强的针对性，充分体现出我单位的工作的性质、工作内容和特点。根据绩效评价结果来看，绩效指标设定较为科学、合理，体现了针对性和可实现性。我单位严格按照单位预算和有关财务规定，合理列收（支）项目，重大和特殊事项做好事前市场调整。依据调查结论制定工作方案和支出金额，阻绝浪费和不合理支出</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c500e1db-1464-4316-98fe-b48d04e4f4b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94"/>
        <w:gridCol w:w="969"/>
        <w:gridCol w:w="711"/>
        <w:gridCol w:w="591"/>
        <w:gridCol w:w="1595"/>
        <w:gridCol w:w="1020"/>
        <w:gridCol w:w="1296"/>
        <w:gridCol w:w="585"/>
        <w:gridCol w:w="576"/>
        <w:gridCol w:w="696"/>
        <w:gridCol w:w="708"/>
        <w:gridCol w:w="114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w:t>
            </w:r>
            <w:r>
              <w:rPr>
                <w:rFonts w:ascii="宋体" w:eastAsia="宋体" w:hAnsi="宋体" w:cs="宋体" w:hint="eastAsia"/>
                <w:i w:val="0"/>
                <w:iCs w:val="0"/>
                <w:color w:val="000000"/>
                <w:kern w:val="0"/>
                <w:sz w:val="18"/>
                <w:szCs w:val="18"/>
                <w:u w:val="none"/>
                <w:lang w:val="en-US" w:eastAsia="zh-CN"/>
              </w:rPr>
              <w:t xml:space="preserve">网络中心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35.20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34.51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34.51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98.04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35.20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34.51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34.51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98.04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1、强化源头预防，灵通信息预警；</w:t>
            </w:r>
            <w:r>
              <w:rPr/>
              <w:br/>
            </w:r>
            <w:r>
              <w:rPr>
                <w:rFonts w:ascii="宋体" w:eastAsia="宋体" w:hAnsi="宋体" w:cs="宋体"/>
                <w:i w:val="0"/>
                <w:iCs w:val="0"/>
                <w:color w:val="000000"/>
                <w:kern w:val="0"/>
                <w:sz w:val="18"/>
                <w:szCs w:val="18"/>
                <w:u w:val="none"/>
                <w:lang w:val="en-US" w:eastAsia="zh-CN"/>
              </w:rPr>
              <w:t xml:space="preserve">2、认真分析研判，强力督查督办；</w:t>
            </w:r>
            <w:r>
              <w:rPr/>
              <w:br/>
            </w:r>
            <w:r>
              <w:rPr>
                <w:rFonts w:ascii="宋体" w:eastAsia="宋体" w:hAnsi="宋体" w:cs="宋体"/>
                <w:i w:val="0"/>
                <w:iCs w:val="0"/>
                <w:color w:val="000000"/>
                <w:kern w:val="0"/>
                <w:sz w:val="18"/>
                <w:szCs w:val="18"/>
                <w:u w:val="none"/>
                <w:lang w:val="en-US" w:eastAsia="zh-CN"/>
              </w:rPr>
              <w:t xml:space="preserve">3、做好敏感时段维稳工作，完成驻京、驻郑信访保障任务；</w:t>
            </w:r>
            <w:r>
              <w:rPr/>
              <w:br/>
            </w:r>
            <w:r>
              <w:rPr>
                <w:rFonts w:ascii="宋体" w:eastAsia="宋体" w:hAnsi="宋体" w:cs="宋体"/>
                <w:i w:val="0"/>
                <w:iCs w:val="0"/>
                <w:color w:val="000000"/>
                <w:kern w:val="0"/>
                <w:sz w:val="18"/>
                <w:szCs w:val="18"/>
                <w:u w:val="none"/>
                <w:lang w:val="en-US" w:eastAsia="zh-CN"/>
              </w:rPr>
              <w:t xml:space="preserve">4、为党委政府决策和信访工作水平的提升提供支撑。</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按照序时进度推进，取得预期效果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落实政策，化解矛盾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认真分析研判，强力督查督办，确保案结事了，息诉罢访</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按照序时进度推进，取得预期效果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0.00</w:t>
            </w: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both"/>
              <w:textAlignment w:val="center"/>
              <w:rPr>
                <w:rFonts w:ascii="宋体" w:eastAsia="宋体" w:hAnsi="宋体" w:cs="宋体"/>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总体工作完成率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年度工作目标实现率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cae3575-9b1e-46ba-b4c5-08b18237b94a"/>
              <w:rPr>
                <w:rFonts w:ascii="宋体" w:eastAsia="宋体" w:hAnsi="宋体" w:cs="宋体" w:hint="eastAsia"/>
                <w:i w:val="0"/>
                <w:iCs w:val="0"/>
                <w:color w:val="000000"/>
                <w:sz w:val="18"/>
                <w:szCs w:val="18"/>
                <w:u w:val="none"/>
              </w:rPr>
            </w:pPr>
          </w:p>
        </w:tc>
      </w:tr>
    </w:tbl>
    <w:p>
      <w:pPr>
        <w:pStyle w:val="Normal_bcae3575-9b1e-46ba-b4c5-08b18237b94a"/>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cae3575-9b1e-46ba-b4c5-08b18237b94a">
    <w:name w:val="Normal_bcae3575-9b1e-46ba-b4c5-08b18237b94a"/>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c500e1db-1464-4316-98fe-b48d04e4f4ba">
    <w:name w:val="Normal Table_c500e1db-1464-4316-98fe-b48d04e4f4ba"/>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