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许昌市信访工作站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许昌市信访工作站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许昌市信访工作站概况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我市赴外地人员的劝返、协调等工作。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许昌市信访工作站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许昌市信访工作站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1.许昌市信访工作站。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187.42</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157.67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9.60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10.29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9.86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187.42</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187.42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187.42</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187.42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187.42</w:t>
            </w:r>
          </w:p>
        </w:tc>
        <w:tc>
          <w:tcPr>
            <w:tcW w:w="1440" w:type="dxa"/>
            <w:tcBorders/>
            <w:vAlign w:val="center"/>
          </w:tcPr>
          <w:p>
            <w:pPr>
              <w:jc w:val="right"/>
            </w:pPr>
            <w:r>
              <w:rPr>
                <w:rFonts w:ascii="宋体" w:eastAsia="宋体" w:hAnsi="宋体" w:cs="宋体"/>
                <w:b/>
                <w:i w:val="0"/>
                <w:color w:val="000000"/>
                <w:sz w:val="17"/>
              </w:rPr>
              <w:t xml:space="preserve">187.42</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157.67</w:t>
            </w:r>
          </w:p>
        </w:tc>
        <w:tc>
          <w:tcPr>
            <w:tcW w:w="1440" w:type="dxa"/>
            <w:tcBorders/>
            <w:vAlign w:val="center"/>
          </w:tcPr>
          <w:p>
            <w:pPr>
              <w:jc w:val="right"/>
            </w:pPr>
            <w:r>
              <w:rPr>
                <w:rFonts w:ascii="宋体" w:eastAsia="宋体" w:hAnsi="宋体" w:cs="宋体"/>
                <w:b w:val="0"/>
                <w:i w:val="0"/>
                <w:color w:val="000000"/>
                <w:sz w:val="17"/>
              </w:rPr>
              <w:t xml:space="preserve">157.67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150.02</w:t>
            </w:r>
          </w:p>
        </w:tc>
        <w:tc>
          <w:tcPr>
            <w:tcW w:w="1440" w:type="dxa"/>
            <w:tcBorders/>
            <w:vAlign w:val="center"/>
          </w:tcPr>
          <w:p>
            <w:pPr>
              <w:jc w:val="right"/>
            </w:pPr>
            <w:r>
              <w:rPr>
                <w:rFonts w:ascii="宋体" w:eastAsia="宋体" w:hAnsi="宋体" w:cs="宋体"/>
                <w:b w:val="0"/>
                <w:i w:val="0"/>
                <w:color w:val="000000"/>
                <w:sz w:val="17"/>
              </w:rPr>
              <w:t xml:space="preserve">150.02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150.02</w:t>
            </w:r>
          </w:p>
        </w:tc>
        <w:tc>
          <w:tcPr>
            <w:tcW w:w="1440" w:type="dxa"/>
            <w:tcBorders/>
            <w:vAlign w:val="center"/>
          </w:tcPr>
          <w:p>
            <w:pPr>
              <w:jc w:val="right"/>
            </w:pPr>
            <w:r>
              <w:rPr>
                <w:rFonts w:ascii="宋体" w:eastAsia="宋体" w:hAnsi="宋体" w:cs="宋体"/>
                <w:b w:val="0"/>
                <w:i w:val="0"/>
                <w:color w:val="000000"/>
                <w:sz w:val="17"/>
              </w:rPr>
              <w:t xml:space="preserve">150.02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0.86</w:t>
            </w:r>
          </w:p>
        </w:tc>
        <w:tc>
          <w:tcPr>
            <w:tcW w:w="1440" w:type="dxa"/>
            <w:tcBorders/>
            <w:vAlign w:val="center"/>
          </w:tcPr>
          <w:p>
            <w:pPr>
              <w:jc w:val="right"/>
            </w:pPr>
            <w:r>
              <w:rPr>
                <w:rFonts w:ascii="宋体" w:eastAsia="宋体" w:hAnsi="宋体" w:cs="宋体"/>
                <w:b w:val="0"/>
                <w:i w:val="0"/>
                <w:color w:val="000000"/>
                <w:sz w:val="17"/>
              </w:rPr>
              <w:t xml:space="preserve">0.86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0.86</w:t>
            </w:r>
          </w:p>
        </w:tc>
        <w:tc>
          <w:tcPr>
            <w:tcW w:w="1440" w:type="dxa"/>
            <w:tcBorders/>
            <w:vAlign w:val="center"/>
          </w:tcPr>
          <w:p>
            <w:pPr>
              <w:jc w:val="right"/>
            </w:pPr>
            <w:r>
              <w:rPr>
                <w:rFonts w:ascii="宋体" w:eastAsia="宋体" w:hAnsi="宋体" w:cs="宋体"/>
                <w:b w:val="0"/>
                <w:i w:val="0"/>
                <w:color w:val="000000"/>
                <w:sz w:val="17"/>
              </w:rPr>
              <w:t xml:space="preserve">0.86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6.79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9.60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10.29</w:t>
            </w:r>
          </w:p>
        </w:tc>
        <w:tc>
          <w:tcPr>
            <w:tcW w:w="1440" w:type="dxa"/>
            <w:tcBorders/>
            <w:vAlign w:val="center"/>
          </w:tcPr>
          <w:p>
            <w:pPr>
              <w:jc w:val="right"/>
            </w:pPr>
            <w:r>
              <w:rPr>
                <w:rFonts w:ascii="宋体" w:eastAsia="宋体" w:hAnsi="宋体" w:cs="宋体"/>
                <w:b w:val="0"/>
                <w:i w:val="0"/>
                <w:color w:val="000000"/>
                <w:sz w:val="17"/>
              </w:rPr>
              <w:t xml:space="preserve">10.29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10.29</w:t>
            </w:r>
          </w:p>
        </w:tc>
        <w:tc>
          <w:tcPr>
            <w:tcW w:w="1440" w:type="dxa"/>
            <w:tcBorders/>
            <w:vAlign w:val="center"/>
          </w:tcPr>
          <w:p>
            <w:pPr>
              <w:jc w:val="right"/>
            </w:pPr>
            <w:r>
              <w:rPr>
                <w:rFonts w:ascii="宋体" w:eastAsia="宋体" w:hAnsi="宋体" w:cs="宋体"/>
                <w:b w:val="0"/>
                <w:i w:val="0"/>
                <w:color w:val="000000"/>
                <w:sz w:val="17"/>
              </w:rPr>
              <w:t xml:space="preserve">10.29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5.29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9.86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187.42</w:t>
            </w:r>
          </w:p>
        </w:tc>
        <w:tc>
          <w:tcPr>
            <w:tcW w:w="1600" w:type="dxa"/>
            <w:tcBorders/>
            <w:vAlign w:val="center"/>
          </w:tcPr>
          <w:p>
            <w:pPr>
              <w:jc w:val="right"/>
            </w:pPr>
            <w:r>
              <w:rPr>
                <w:rFonts w:ascii="宋体" w:eastAsia="宋体" w:hAnsi="宋体" w:cs="宋体"/>
                <w:b/>
                <w:i w:val="0"/>
                <w:color w:val="000000"/>
                <w:sz w:val="19"/>
              </w:rPr>
              <w:t xml:space="preserve">187.42</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157.67</w:t>
            </w:r>
          </w:p>
        </w:tc>
        <w:tc>
          <w:tcPr>
            <w:tcW w:w="1600" w:type="dxa"/>
            <w:tcBorders/>
            <w:vAlign w:val="center"/>
          </w:tcPr>
          <w:p>
            <w:pPr>
              <w:jc w:val="right"/>
            </w:pPr>
            <w:r>
              <w:rPr>
                <w:rFonts w:ascii="宋体" w:eastAsia="宋体" w:hAnsi="宋体" w:cs="宋体"/>
                <w:b w:val="0"/>
                <w:i w:val="0"/>
                <w:color w:val="000000"/>
                <w:sz w:val="19"/>
              </w:rPr>
              <w:t xml:space="preserve">157.67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150.02</w:t>
            </w:r>
          </w:p>
        </w:tc>
        <w:tc>
          <w:tcPr>
            <w:tcW w:w="1600" w:type="dxa"/>
            <w:tcBorders/>
            <w:vAlign w:val="center"/>
          </w:tcPr>
          <w:p>
            <w:pPr>
              <w:jc w:val="right"/>
            </w:pPr>
            <w:r>
              <w:rPr>
                <w:rFonts w:ascii="宋体" w:eastAsia="宋体" w:hAnsi="宋体" w:cs="宋体"/>
                <w:b w:val="0"/>
                <w:i w:val="0"/>
                <w:color w:val="000000"/>
                <w:sz w:val="19"/>
              </w:rPr>
              <w:t xml:space="preserve">150.02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150.02</w:t>
            </w:r>
          </w:p>
        </w:tc>
        <w:tc>
          <w:tcPr>
            <w:tcW w:w="1600" w:type="dxa"/>
            <w:tcBorders/>
            <w:vAlign w:val="center"/>
          </w:tcPr>
          <w:p>
            <w:pPr>
              <w:jc w:val="right"/>
            </w:pPr>
            <w:r>
              <w:rPr>
                <w:rFonts w:ascii="宋体" w:eastAsia="宋体" w:hAnsi="宋体" w:cs="宋体"/>
                <w:b w:val="0"/>
                <w:i w:val="0"/>
                <w:color w:val="000000"/>
                <w:sz w:val="19"/>
              </w:rPr>
              <w:t xml:space="preserve">150.02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0.86</w:t>
            </w:r>
          </w:p>
        </w:tc>
        <w:tc>
          <w:tcPr>
            <w:tcW w:w="1600" w:type="dxa"/>
            <w:tcBorders/>
            <w:vAlign w:val="center"/>
          </w:tcPr>
          <w:p>
            <w:pPr>
              <w:jc w:val="right"/>
            </w:pPr>
            <w:r>
              <w:rPr>
                <w:rFonts w:ascii="宋体" w:eastAsia="宋体" w:hAnsi="宋体" w:cs="宋体"/>
                <w:b w:val="0"/>
                <w:i w:val="0"/>
                <w:color w:val="000000"/>
                <w:sz w:val="19"/>
              </w:rPr>
              <w:t xml:space="preserve">0.86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0.86</w:t>
            </w:r>
          </w:p>
        </w:tc>
        <w:tc>
          <w:tcPr>
            <w:tcW w:w="1600" w:type="dxa"/>
            <w:tcBorders/>
            <w:vAlign w:val="center"/>
          </w:tcPr>
          <w:p>
            <w:pPr>
              <w:jc w:val="right"/>
            </w:pPr>
            <w:r>
              <w:rPr>
                <w:rFonts w:ascii="宋体" w:eastAsia="宋体" w:hAnsi="宋体" w:cs="宋体"/>
                <w:b w:val="0"/>
                <w:i w:val="0"/>
                <w:color w:val="000000"/>
                <w:sz w:val="19"/>
              </w:rPr>
              <w:t xml:space="preserve">0.86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6.79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9.60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10.29</w:t>
            </w:r>
          </w:p>
        </w:tc>
        <w:tc>
          <w:tcPr>
            <w:tcW w:w="1600" w:type="dxa"/>
            <w:tcBorders/>
            <w:vAlign w:val="center"/>
          </w:tcPr>
          <w:p>
            <w:pPr>
              <w:jc w:val="right"/>
            </w:pPr>
            <w:r>
              <w:rPr>
                <w:rFonts w:ascii="宋体" w:eastAsia="宋体" w:hAnsi="宋体" w:cs="宋体"/>
                <w:b w:val="0"/>
                <w:i w:val="0"/>
                <w:color w:val="000000"/>
                <w:sz w:val="19"/>
              </w:rPr>
              <w:t xml:space="preserve">10.29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10.29</w:t>
            </w:r>
          </w:p>
        </w:tc>
        <w:tc>
          <w:tcPr>
            <w:tcW w:w="1600" w:type="dxa"/>
            <w:tcBorders/>
            <w:vAlign w:val="center"/>
          </w:tcPr>
          <w:p>
            <w:pPr>
              <w:jc w:val="right"/>
            </w:pPr>
            <w:r>
              <w:rPr>
                <w:rFonts w:ascii="宋体" w:eastAsia="宋体" w:hAnsi="宋体" w:cs="宋体"/>
                <w:b w:val="0"/>
                <w:i w:val="0"/>
                <w:color w:val="000000"/>
                <w:sz w:val="19"/>
              </w:rPr>
              <w:t xml:space="preserve">10.29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5.29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9.86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157.67</w:t>
            </w:r>
          </w:p>
        </w:tc>
        <w:tc>
          <w:tcPr>
            <w:tcW w:w="1420" w:type="dxa"/>
            <w:tcBorders/>
            <w:vAlign w:val="center"/>
          </w:tcPr>
          <w:p>
            <w:pPr>
              <w:jc w:val="right"/>
            </w:pPr>
            <w:r>
              <w:rPr>
                <w:rFonts w:ascii="宋体" w:eastAsia="宋体" w:hAnsi="宋体" w:cs="宋体"/>
                <w:b w:val="0"/>
                <w:i w:val="0"/>
                <w:color w:val="000000"/>
                <w:sz w:val="18"/>
              </w:rPr>
              <w:t xml:space="preserve">157.67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9.60</w:t>
            </w:r>
          </w:p>
        </w:tc>
        <w:tc>
          <w:tcPr>
            <w:tcW w:w="1420" w:type="dxa"/>
            <w:tcBorders/>
            <w:vAlign w:val="center"/>
          </w:tcPr>
          <w:p>
            <w:pPr>
              <w:jc w:val="right"/>
            </w:pPr>
            <w:r>
              <w:rPr>
                <w:rFonts w:ascii="宋体" w:eastAsia="宋体" w:hAnsi="宋体" w:cs="宋体"/>
                <w:b w:val="0"/>
                <w:i w:val="0"/>
                <w:color w:val="000000"/>
                <w:sz w:val="18"/>
              </w:rPr>
              <w:t xml:space="preserve">9.60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10.29</w:t>
            </w:r>
          </w:p>
        </w:tc>
        <w:tc>
          <w:tcPr>
            <w:tcW w:w="1420" w:type="dxa"/>
            <w:tcBorders/>
            <w:vAlign w:val="center"/>
          </w:tcPr>
          <w:p>
            <w:pPr>
              <w:jc w:val="right"/>
            </w:pPr>
            <w:r>
              <w:rPr>
                <w:rFonts w:ascii="宋体" w:eastAsia="宋体" w:hAnsi="宋体" w:cs="宋体"/>
                <w:b w:val="0"/>
                <w:i w:val="0"/>
                <w:color w:val="000000"/>
                <w:sz w:val="18"/>
              </w:rPr>
              <w:t xml:space="preserve">10.29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9.86</w:t>
            </w:r>
          </w:p>
        </w:tc>
        <w:tc>
          <w:tcPr>
            <w:tcW w:w="1420" w:type="dxa"/>
            <w:tcBorders/>
            <w:vAlign w:val="center"/>
          </w:tcPr>
          <w:p>
            <w:pPr>
              <w:jc w:val="right"/>
            </w:pPr>
            <w:r>
              <w:rPr>
                <w:rFonts w:ascii="宋体" w:eastAsia="宋体" w:hAnsi="宋体" w:cs="宋体"/>
                <w:b w:val="0"/>
                <w:i w:val="0"/>
                <w:color w:val="000000"/>
                <w:sz w:val="18"/>
              </w:rPr>
              <w:t xml:space="preserve">9.86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1420" w:type="dxa"/>
            <w:tcBorders/>
            <w:vAlign w:val="center"/>
          </w:tcPr>
          <w:p>
            <w:pPr>
              <w:jc w:val="right"/>
            </w:pPr>
            <w:r>
              <w:rPr>
                <w:rFonts w:ascii="宋体" w:eastAsia="宋体" w:hAnsi="宋体" w:cs="宋体"/>
                <w:b w:val="0"/>
                <w:i w:val="0"/>
                <w:color w:val="000000"/>
                <w:sz w:val="18"/>
              </w:rPr>
              <w:t xml:space="preserve">187.42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187.42</w:t>
            </w:r>
          </w:p>
        </w:tc>
        <w:tc>
          <w:tcPr>
            <w:tcW w:w="2700" w:type="dxa"/>
            <w:tcBorders/>
            <w:vAlign w:val="center"/>
          </w:tcPr>
          <w:p>
            <w:pPr>
              <w:jc w:val="right"/>
            </w:pPr>
            <w:r>
              <w:rPr>
                <w:rFonts w:ascii="宋体" w:eastAsia="宋体" w:hAnsi="宋体" w:cs="宋体"/>
                <w:b/>
                <w:i w:val="0"/>
                <w:color w:val="000000"/>
                <w:sz w:val="25"/>
              </w:rPr>
              <w:t xml:space="preserve">187.42</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157.67</w:t>
            </w:r>
          </w:p>
        </w:tc>
        <w:tc>
          <w:tcPr>
            <w:tcW w:w="2700" w:type="dxa"/>
            <w:tcBorders/>
            <w:vAlign w:val="center"/>
          </w:tcPr>
          <w:p>
            <w:pPr>
              <w:jc w:val="right"/>
            </w:pPr>
            <w:r>
              <w:rPr>
                <w:rFonts w:ascii="宋体" w:eastAsia="宋体" w:hAnsi="宋体" w:cs="宋体"/>
                <w:b w:val="0"/>
                <w:i w:val="0"/>
                <w:color w:val="000000"/>
                <w:sz w:val="25"/>
              </w:rPr>
              <w:t xml:space="preserve">157.67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150.02</w:t>
            </w:r>
          </w:p>
        </w:tc>
        <w:tc>
          <w:tcPr>
            <w:tcW w:w="2700" w:type="dxa"/>
            <w:tcBorders/>
            <w:vAlign w:val="center"/>
          </w:tcPr>
          <w:p>
            <w:pPr>
              <w:jc w:val="right"/>
            </w:pPr>
            <w:r>
              <w:rPr>
                <w:rFonts w:ascii="宋体" w:eastAsia="宋体" w:hAnsi="宋体" w:cs="宋体"/>
                <w:b w:val="0"/>
                <w:i w:val="0"/>
                <w:color w:val="000000"/>
                <w:sz w:val="25"/>
              </w:rPr>
              <w:t xml:space="preserve">150.02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150.02</w:t>
            </w:r>
          </w:p>
        </w:tc>
        <w:tc>
          <w:tcPr>
            <w:tcW w:w="2700" w:type="dxa"/>
            <w:tcBorders/>
            <w:vAlign w:val="center"/>
          </w:tcPr>
          <w:p>
            <w:pPr>
              <w:jc w:val="right"/>
            </w:pPr>
            <w:r>
              <w:rPr>
                <w:rFonts w:ascii="宋体" w:eastAsia="宋体" w:hAnsi="宋体" w:cs="宋体"/>
                <w:b w:val="0"/>
                <w:i w:val="0"/>
                <w:color w:val="000000"/>
                <w:sz w:val="25"/>
              </w:rPr>
              <w:t xml:space="preserve">150.02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0.86</w:t>
            </w:r>
          </w:p>
        </w:tc>
        <w:tc>
          <w:tcPr>
            <w:tcW w:w="2700" w:type="dxa"/>
            <w:tcBorders/>
            <w:vAlign w:val="center"/>
          </w:tcPr>
          <w:p>
            <w:pPr>
              <w:jc w:val="right"/>
            </w:pPr>
            <w:r>
              <w:rPr>
                <w:rFonts w:ascii="宋体" w:eastAsia="宋体" w:hAnsi="宋体" w:cs="宋体"/>
                <w:b w:val="0"/>
                <w:i w:val="0"/>
                <w:color w:val="000000"/>
                <w:sz w:val="25"/>
              </w:rPr>
              <w:t xml:space="preserve">0.86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0.86</w:t>
            </w:r>
          </w:p>
        </w:tc>
        <w:tc>
          <w:tcPr>
            <w:tcW w:w="2700" w:type="dxa"/>
            <w:tcBorders/>
            <w:vAlign w:val="center"/>
          </w:tcPr>
          <w:p>
            <w:pPr>
              <w:jc w:val="right"/>
            </w:pPr>
            <w:r>
              <w:rPr>
                <w:rFonts w:ascii="宋体" w:eastAsia="宋体" w:hAnsi="宋体" w:cs="宋体"/>
                <w:b w:val="0"/>
                <w:i w:val="0"/>
                <w:color w:val="000000"/>
                <w:sz w:val="25"/>
              </w:rPr>
              <w:t xml:space="preserve">0.86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700" w:type="dxa"/>
            <w:tcBorders/>
            <w:vAlign w:val="center"/>
          </w:tcPr>
          <w:p>
            <w:pPr>
              <w:jc w:val="right"/>
            </w:pPr>
            <w:r>
              <w:rPr>
                <w:rFonts w:ascii="宋体" w:eastAsia="宋体" w:hAnsi="宋体" w:cs="宋体"/>
                <w:b w:val="0"/>
                <w:i w:val="0"/>
                <w:color w:val="000000"/>
                <w:sz w:val="25"/>
              </w:rPr>
              <w:t xml:space="preserve">6.79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700" w:type="dxa"/>
            <w:tcBorders/>
            <w:vAlign w:val="center"/>
          </w:tcPr>
          <w:p>
            <w:pPr>
              <w:jc w:val="right"/>
            </w:pPr>
            <w:r>
              <w:rPr>
                <w:rFonts w:ascii="宋体" w:eastAsia="宋体" w:hAnsi="宋体" w:cs="宋体"/>
                <w:b w:val="0"/>
                <w:i w:val="0"/>
                <w:color w:val="000000"/>
                <w:sz w:val="25"/>
              </w:rPr>
              <w:t xml:space="preserve">9.60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10.29</w:t>
            </w:r>
          </w:p>
        </w:tc>
        <w:tc>
          <w:tcPr>
            <w:tcW w:w="2700" w:type="dxa"/>
            <w:tcBorders/>
            <w:vAlign w:val="center"/>
          </w:tcPr>
          <w:p>
            <w:pPr>
              <w:jc w:val="right"/>
            </w:pPr>
            <w:r>
              <w:rPr>
                <w:rFonts w:ascii="宋体" w:eastAsia="宋体" w:hAnsi="宋体" w:cs="宋体"/>
                <w:b w:val="0"/>
                <w:i w:val="0"/>
                <w:color w:val="000000"/>
                <w:sz w:val="25"/>
              </w:rPr>
              <w:t xml:space="preserve">10.29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10.29</w:t>
            </w:r>
          </w:p>
        </w:tc>
        <w:tc>
          <w:tcPr>
            <w:tcW w:w="2700" w:type="dxa"/>
            <w:tcBorders/>
            <w:vAlign w:val="center"/>
          </w:tcPr>
          <w:p>
            <w:pPr>
              <w:jc w:val="right"/>
            </w:pPr>
            <w:r>
              <w:rPr>
                <w:rFonts w:ascii="宋体" w:eastAsia="宋体" w:hAnsi="宋体" w:cs="宋体"/>
                <w:b w:val="0"/>
                <w:i w:val="0"/>
                <w:color w:val="000000"/>
                <w:sz w:val="25"/>
              </w:rPr>
              <w:t xml:space="preserve">10.29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700" w:type="dxa"/>
            <w:tcBorders/>
            <w:vAlign w:val="center"/>
          </w:tcPr>
          <w:p>
            <w:pPr>
              <w:jc w:val="right"/>
            </w:pPr>
            <w:r>
              <w:rPr>
                <w:rFonts w:ascii="宋体" w:eastAsia="宋体" w:hAnsi="宋体" w:cs="宋体"/>
                <w:b w:val="0"/>
                <w:i w:val="0"/>
                <w:color w:val="000000"/>
                <w:sz w:val="25"/>
              </w:rPr>
              <w:t xml:space="preserve">5.29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700" w:type="dxa"/>
            <w:tcBorders/>
            <w:vAlign w:val="center"/>
          </w:tcPr>
          <w:p>
            <w:pPr>
              <w:jc w:val="right"/>
            </w:pPr>
            <w:r>
              <w:rPr>
                <w:rFonts w:ascii="宋体" w:eastAsia="宋体" w:hAnsi="宋体" w:cs="宋体"/>
                <w:b w:val="0"/>
                <w:i w:val="0"/>
                <w:color w:val="000000"/>
                <w:sz w:val="25"/>
              </w:rPr>
              <w:t xml:space="preserve">9.86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172.90</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14.52</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25.91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5.35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83.10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0.17</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34.13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9.60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1.27</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4.45</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5.84</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1.51</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9.86</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0.86</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1.02</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2.29</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172.90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14.52</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单位：许昌市信访工作站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187.42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增加67.71万元，增长56.56%</w:t>
      </w:r>
      <w:r>
        <w:rPr>
          <w:rFonts w:ascii="仿宋" w:eastAsia="仿宋" w:hAnsi="仿宋" w:cs="仿宋" w:hint="eastAsia"/>
          <w:kern w:val="0"/>
          <w:sz w:val="32"/>
          <w:szCs w:val="32"/>
          <w:lang w:val="en-US" w:eastAsia="zh-CN"/>
        </w:rPr>
        <w:t xml:space="preserve">。主要原因是发放以前年度奖金以及2022年9月之前人员工资通过局机关发放，9月后独立核算，无法与2023年整年决算对比。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187.42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财政拨款收入187.42万元，占100.00%；上级补助收入0.00万元，占0.00%；事业收入0.00万元，占0.00%；经营收入0.00万元，占0.00%；附属单位上缴收入0.00万元，占0.00%；其他收入0.00万元，占0.00%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187.42</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基本支出187.42万元，占100.00%；项目支出0.00万元，占0.00%；上缴上级支出0.00万元，占0.00%；经营支出0.00万元，占0.00%；对附属单位补助支出0.00万元，占0.00%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187.42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增加67.71万元，增长56.56%</w:t>
      </w:r>
      <w:r>
        <w:rPr>
          <w:rFonts w:ascii="仿宋" w:eastAsia="仿宋" w:hAnsi="仿宋" w:cs="仿宋" w:hint="eastAsia"/>
          <w:kern w:val="0"/>
          <w:sz w:val="32"/>
          <w:szCs w:val="32"/>
          <w:lang w:val="en-US" w:eastAsia="zh-CN"/>
        </w:rPr>
        <w:t xml:space="preserve">。主要原因是发放以前年度奖金以及2022年9月之前人员工资通过局机关发放，9月后独立核算，无法与2023年整年决算对比。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187.42</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增加67.71万元，增长56.56%</w:t>
      </w:r>
      <w:r>
        <w:rPr>
          <w:rFonts w:ascii="仿宋" w:eastAsia="仿宋" w:hAnsi="仿宋" w:cs="仿宋" w:hint="eastAsia"/>
          <w:kern w:val="0"/>
          <w:sz w:val="32"/>
          <w:szCs w:val="32"/>
          <w:lang w:val="en-US" w:eastAsia="zh-CN"/>
        </w:rPr>
        <w:t xml:space="preserve">。主要原因是发放以前年度奖金以及2022年9月之前人员工资通过局机关发放，9月后独立核算，无法与2023年整年决算对比。</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187.42</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一般公共服务支出（类）157.67万元，占84.13%；社会保障和就业支出（类）9.60万元，占5.12%；卫生健康支出（类）10.29万元，占5.49%；住房保障支出（类）9.86万元，占5.26%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171.09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187.42</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109.54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1.一般公共服务支出（类）政府办公厅（室）及相关机构事务（款）事业运行（项）</w:t>
      </w:r>
      <w:r>
        <w:rPr>
          <w:rFonts w:ascii="仿宋" w:eastAsia="仿宋" w:hAnsi="仿宋" w:cs="仿宋" w:hint="default"/>
          <w:kern w:val="2"/>
          <w:sz w:val="32"/>
          <w:szCs w:val="32"/>
          <w:lang w:val="en-US" w:eastAsia="zh-CN"/>
        </w:rPr>
        <w:t xml:space="preserve">年初预算数为139.77万元，决算数150.02万元,完成年初预算的107.33%，决算数与年初预算数存在差异的主要原因是根据业务需要，年中相应调剂人员工资和奖金。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年初预算数为0.86万元，决算数0.86万元,完成年初预算的100.00%，决算数与年初预算数不存在差异。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年初预算数为0.00万元，决算数6.79万元,决算数与年初预算数存在差异的主要原因是根据业务需要，年中相应调剂安排财政拨款预算。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年初预算数为9.65万元，决算数9.60万元,完成年初预算的99.48%，决算数与年初预算数存在差异的主要原因是社保基数调整，导致实际缴纳费用减少。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年初预算数为5.18万元，决算数5.00万元,完成年初预算的96.53%，决算数与年初预算数存在差异的主要原因是社保基数调整，导致实际缴纳费用减少。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6.卫生健康支出（类）行政事业单位医疗（款）公务员医疗补助（项）</w:t>
      </w:r>
      <w:r>
        <w:rPr>
          <w:rFonts w:ascii="仿宋" w:eastAsia="仿宋" w:hAnsi="仿宋" w:cs="仿宋" w:hint="default"/>
          <w:kern w:val="2"/>
          <w:sz w:val="32"/>
          <w:szCs w:val="32"/>
          <w:lang w:val="en-US" w:eastAsia="zh-CN"/>
        </w:rPr>
        <w:t xml:space="preserve">年初预算数为5.75万元，决算数5.29万元,完成年初预算的92.00%，决算数与年初预算数存在差异的主要原因是社保基数调整，导致实际缴纳费用减少。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7.住房保障支出（类）住房改革支出（款）住房公积金（项）</w:t>
      </w:r>
      <w:r>
        <w:rPr>
          <w:rFonts w:ascii="仿宋" w:eastAsia="仿宋" w:hAnsi="仿宋" w:cs="仿宋" w:hint="default"/>
          <w:kern w:val="2"/>
          <w:sz w:val="32"/>
          <w:szCs w:val="32"/>
          <w:lang w:val="en-US" w:eastAsia="zh-CN"/>
        </w:rPr>
        <w:t xml:space="preserve">年初预算数为9.86万元，决算数9.86万元,完成年初预算的100.00%，决算数与年初预算数不存在差异。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187.42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其中：人员经费172.90万元，主要包括：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公用经费14.52万元，主要包括：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主要用于车辆燃料费、维修费、保险费。</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财政拨款的公务用车保有量与国有资产车辆差异原因:2023年资产调拨公务用车一辆，所属局机关资产系统，公车编制在许昌市信访工作站。</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189.34</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99.9</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对本单位整体绩效目标和项目支出绩效目标进行了自评。一是单位整体绩效自评情况，我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我单位严格按照单位预算和有关财务规定，合理列收（支）项目，重大和特殊事项做好事前市场调整。依据调查结论制定工作方案和支出金额，阻绝浪费和不合理支出</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24cde8d1-c481-429f-8fd7-60777158219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93"/>
        <w:gridCol w:w="968"/>
        <w:gridCol w:w="711"/>
        <w:gridCol w:w="592"/>
        <w:gridCol w:w="1594"/>
        <w:gridCol w:w="1021"/>
        <w:gridCol w:w="1295"/>
        <w:gridCol w:w="583"/>
        <w:gridCol w:w="577"/>
        <w:gridCol w:w="694"/>
        <w:gridCol w:w="709"/>
        <w:gridCol w:w="1145"/>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许昌市信访</w:t>
            </w:r>
            <w:r>
              <w:rPr>
                <w:rFonts w:ascii="宋体" w:eastAsia="宋体" w:hAnsi="宋体" w:cs="宋体" w:hint="eastAsia"/>
                <w:i w:val="0"/>
                <w:iCs w:val="0"/>
                <w:color w:val="000000"/>
                <w:kern w:val="0"/>
                <w:sz w:val="18"/>
                <w:szCs w:val="18"/>
                <w:u w:val="none"/>
                <w:lang w:val="en-US" w:eastAsia="zh-CN"/>
              </w:rPr>
              <w:t xml:space="preserve">工作站</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171.09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189.34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187.42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kern w:val="2"/>
                <w:sz w:val="18"/>
                <w:szCs w:val="18"/>
                <w:u w:val="none"/>
                <w:lang w:val="en-US" w:eastAsia="zh-CN" w:bidi="ar-SA"/>
              </w:rPr>
            </w:pPr>
            <w:r>
              <w:rPr>
                <w:rFonts w:ascii="宋体" w:eastAsia="宋体" w:hAnsi="宋体" w:cs="宋体" w:hint="eastAsia"/>
                <w:i w:val="0"/>
                <w:iCs w:val="0"/>
                <w:color w:val="000000"/>
                <w:kern w:val="0"/>
                <w:sz w:val="18"/>
                <w:szCs w:val="18"/>
                <w:u w:val="none"/>
                <w:lang w:val="en-US" w:eastAsia="zh-CN"/>
              </w:rPr>
              <w:t xml:space="preserve">171.09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kern w:val="2"/>
                <w:sz w:val="18"/>
                <w:szCs w:val="18"/>
                <w:u w:val="none"/>
                <w:lang w:val="en-US" w:eastAsia="zh-CN" w:bidi="ar-SA"/>
              </w:rPr>
            </w:pPr>
            <w:r>
              <w:rPr>
                <w:rFonts w:ascii="宋体" w:eastAsia="宋体" w:hAnsi="宋体" w:cs="宋体" w:hint="eastAsia"/>
                <w:i w:val="0"/>
                <w:iCs w:val="0"/>
                <w:color w:val="000000"/>
                <w:kern w:val="0"/>
                <w:sz w:val="18"/>
                <w:szCs w:val="18"/>
                <w:u w:val="none"/>
                <w:lang w:val="en-US" w:eastAsia="zh-CN"/>
              </w:rPr>
              <w:t xml:space="preserve">189.34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187.42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1、强化源头预防，灵通信息预警；</w:t>
            </w:r>
            <w:r>
              <w:rPr/>
              <w:br/>
            </w:r>
            <w:r>
              <w:rPr>
                <w:rFonts w:ascii="宋体" w:eastAsia="宋体" w:hAnsi="宋体" w:cs="宋体"/>
                <w:i w:val="0"/>
                <w:iCs w:val="0"/>
                <w:color w:val="000000"/>
                <w:kern w:val="0"/>
                <w:sz w:val="18"/>
                <w:szCs w:val="18"/>
                <w:u w:val="none"/>
                <w:lang w:val="en-US" w:eastAsia="zh-CN"/>
              </w:rPr>
              <w:t xml:space="preserve">2、认真分析研判，强力督查督办；</w:t>
            </w:r>
            <w:r>
              <w:rPr/>
              <w:br/>
            </w:r>
            <w:r>
              <w:rPr>
                <w:rFonts w:ascii="宋体" w:eastAsia="宋体" w:hAnsi="宋体" w:cs="宋体"/>
                <w:i w:val="0"/>
                <w:iCs w:val="0"/>
                <w:color w:val="000000"/>
                <w:kern w:val="0"/>
                <w:sz w:val="18"/>
                <w:szCs w:val="18"/>
                <w:u w:val="none"/>
                <w:lang w:val="en-US" w:eastAsia="zh-CN"/>
              </w:rPr>
              <w:t xml:space="preserve">3、做好敏感时段维稳工作，完成驻京、驻郑信访保障任务；</w:t>
            </w:r>
            <w:r>
              <w:rPr/>
              <w:br/>
            </w:r>
            <w:r>
              <w:rPr>
                <w:rFonts w:ascii="宋体" w:eastAsia="宋体" w:hAnsi="宋体" w:cs="宋体"/>
                <w:i w:val="0"/>
                <w:iCs w:val="0"/>
                <w:color w:val="000000"/>
                <w:kern w:val="0"/>
                <w:sz w:val="18"/>
                <w:szCs w:val="18"/>
                <w:u w:val="none"/>
                <w:lang w:val="en-US" w:eastAsia="zh-CN"/>
              </w:rPr>
              <w:t xml:space="preserve">4、为党委政府决策和信访工作水平的提升提供支撑。</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1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落实政策，化解矛盾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认真分析研判，强力督查督办，确保案结事了，息诉罢访</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按照序时进度推进，取得预期效果</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0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100</w:t>
            </w: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0.00</w:t>
            </w:r>
            <w:r>
              <w:rPr>
                <w:rFonts w:ascii="宋体" w:eastAsia="宋体" w:hAnsi="宋体" w:cs="宋体"/>
                <w:i w:val="0"/>
                <w:iCs w:val="0"/>
                <w:color w:val="000000"/>
                <w:kern w:val="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预算调整率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计划完成率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总体工作完成率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年度工作目标实现率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99.9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f127fb77-183d-4b47-b25a-19b8261dc374"/>
              <w:rPr>
                <w:rFonts w:ascii="宋体" w:eastAsia="宋体" w:hAnsi="宋体" w:cs="宋体" w:hint="eastAsia"/>
                <w:i w:val="0"/>
                <w:iCs w:val="0"/>
                <w:color w:val="000000"/>
                <w:sz w:val="18"/>
                <w:szCs w:val="18"/>
                <w:u w:val="none"/>
              </w:rPr>
            </w:pPr>
          </w:p>
        </w:tc>
      </w:tr>
    </w:tbl>
    <w:p>
      <w:pPr>
        <w:pStyle w:val="Normal_f127fb77-183d-4b47-b25a-19b8261dc374"/>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1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f127fb77-183d-4b47-b25a-19b8261dc374">
    <w:name w:val="Normal_f127fb77-183d-4b47-b25a-19b8261dc374"/>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24cde8d1-c481-429f-8fd7-60777158219e">
    <w:name w:val="Normal Table_24cde8d1-c481-429f-8fd7-60777158219e"/>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