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许昌市人民政府驻上海联络处部门决算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许昌市人民政府驻上海联络处概况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许昌市人民政府驻上海联络处概况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（一）围绕我市经济社会发展需要，收集传递上海及长三角地区经济社会发展、改革创新、工业制造、社会管理等方面的信息，为市委、市政府决策提供参考；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（二）做好许昌宣传推介，搭建合作平台,推动豫沪合作，促进有关项目、协议落地，承担市政府交办的招商引资及相关工作任务；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（三）加强与长三角地区许昌籍企业家的联系，形成营商、招商、返乡投资的工作平台；</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（四）围绕许昌招才引智需求，开展招才引智工作，协助引进高新技术项目、专家团队和高层次人才；</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（五）做好我市公务人员赴沪公务活动相关服务保障；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（六）承办市委、市政府交办的其他事项。 </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许昌市人民政府驻上海联络处内设机构2个,包括：综合科、招商引智科。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从决算单位构成看，许昌市人民政府驻上海联络处部门决算包括：本级决算（1个）。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纳入本部门2023年度部门决算编制范围的单位共1个，具体是：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1.许昌市人民政府驻上海联络处</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部门：许昌市人民政府驻上海联络处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61"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134.63</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124.35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4.11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1.96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4.20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134.63</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134.63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134.63</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134.63</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部门：许昌市人民政府驻上海联络处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134.63</w:t>
            </w:r>
          </w:p>
        </w:tc>
        <w:tc>
          <w:tcPr>
            <w:tcW w:w="1440" w:type="dxa"/>
            <w:vAlign w:val="center"/>
          </w:tcPr>
          <w:p>
            <w:pPr>
              <w:jc w:val="right"/>
            </w:pPr>
            <w:r>
              <w:rPr>
                <w:rFonts w:ascii="宋体" w:hAnsi="宋体" w:eastAsia="宋体" w:cs="宋体"/>
                <w:b/>
                <w:i w:val="0"/>
                <w:color w:val="000000"/>
                <w:sz w:val="17"/>
              </w:rPr>
              <w:t>134.63</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124.35</w:t>
            </w:r>
          </w:p>
        </w:tc>
        <w:tc>
          <w:tcPr>
            <w:tcW w:w="1440" w:type="dxa"/>
            <w:vAlign w:val="center"/>
          </w:tcPr>
          <w:p>
            <w:pPr>
              <w:jc w:val="right"/>
            </w:pPr>
            <w:r>
              <w:rPr>
                <w:rFonts w:ascii="宋体" w:hAnsi="宋体" w:eastAsia="宋体" w:cs="宋体"/>
                <w:b w:val="0"/>
                <w:i w:val="0"/>
                <w:color w:val="000000"/>
                <w:sz w:val="17"/>
              </w:rPr>
              <w:t>124.35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20103</w:t>
            </w:r>
          </w:p>
        </w:tc>
        <w:tc>
          <w:tcPr>
            <w:tcW w:w="3140" w:type="dxa"/>
            <w:vAlign w:val="center"/>
          </w:tcPr>
          <w:p>
            <w:pPr>
              <w:jc w:val="left"/>
            </w:pPr>
            <w:r>
              <w:rPr>
                <w:rFonts w:ascii="宋体" w:hAnsi="宋体" w:eastAsia="宋体" w:cs="宋体"/>
                <w:b w:val="0"/>
                <w:i w:val="0"/>
                <w:color w:val="000000"/>
                <w:sz w:val="17"/>
              </w:rPr>
              <w:t>政府办公厅（室）及相关机构事务</w:t>
            </w:r>
          </w:p>
        </w:tc>
        <w:tc>
          <w:tcPr>
            <w:tcW w:w="1440" w:type="dxa"/>
            <w:vAlign w:val="center"/>
          </w:tcPr>
          <w:p>
            <w:pPr>
              <w:jc w:val="right"/>
            </w:pPr>
            <w:r>
              <w:rPr>
                <w:rFonts w:ascii="宋体" w:hAnsi="宋体" w:eastAsia="宋体" w:cs="宋体"/>
                <w:b w:val="0"/>
                <w:i w:val="0"/>
                <w:color w:val="000000"/>
                <w:sz w:val="17"/>
              </w:rPr>
              <w:t>123.23</w:t>
            </w:r>
          </w:p>
        </w:tc>
        <w:tc>
          <w:tcPr>
            <w:tcW w:w="1440" w:type="dxa"/>
            <w:vAlign w:val="center"/>
          </w:tcPr>
          <w:p>
            <w:pPr>
              <w:jc w:val="right"/>
            </w:pPr>
            <w:r>
              <w:rPr>
                <w:rFonts w:ascii="宋体" w:hAnsi="宋体" w:eastAsia="宋体" w:cs="宋体"/>
                <w:b w:val="0"/>
                <w:i w:val="0"/>
                <w:color w:val="000000"/>
                <w:sz w:val="17"/>
              </w:rPr>
              <w:t>123.23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2010350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48.23</w:t>
            </w:r>
          </w:p>
        </w:tc>
        <w:tc>
          <w:tcPr>
            <w:tcW w:w="1440" w:type="dxa"/>
            <w:vAlign w:val="center"/>
          </w:tcPr>
          <w:p>
            <w:pPr>
              <w:jc w:val="right"/>
            </w:pPr>
            <w:r>
              <w:rPr>
                <w:rFonts w:ascii="宋体" w:hAnsi="宋体" w:eastAsia="宋体" w:cs="宋体"/>
                <w:b w:val="0"/>
                <w:i w:val="0"/>
                <w:color w:val="000000"/>
                <w:sz w:val="17"/>
              </w:rPr>
              <w:t>48.23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2010399</w:t>
            </w:r>
          </w:p>
        </w:tc>
        <w:tc>
          <w:tcPr>
            <w:tcW w:w="3140" w:type="dxa"/>
            <w:vAlign w:val="center"/>
          </w:tcPr>
          <w:p>
            <w:pPr>
              <w:jc w:val="left"/>
            </w:pPr>
            <w:r>
              <w:rPr>
                <w:rFonts w:ascii="宋体" w:hAnsi="宋体" w:eastAsia="宋体" w:cs="宋体"/>
                <w:b w:val="0"/>
                <w:i w:val="0"/>
                <w:color w:val="000000"/>
                <w:sz w:val="17"/>
              </w:rPr>
              <w:t>其他政府办公厅（室）及相关机构事务支出</w:t>
            </w:r>
          </w:p>
        </w:tc>
        <w:tc>
          <w:tcPr>
            <w:tcW w:w="1440" w:type="dxa"/>
            <w:vAlign w:val="center"/>
          </w:tcPr>
          <w:p>
            <w:pPr>
              <w:jc w:val="right"/>
            </w:pPr>
            <w:r>
              <w:rPr>
                <w:rFonts w:ascii="宋体" w:hAnsi="宋体" w:eastAsia="宋体" w:cs="宋体"/>
                <w:b w:val="0"/>
                <w:i w:val="0"/>
                <w:color w:val="000000"/>
                <w:sz w:val="17"/>
              </w:rPr>
              <w:t>75.00</w:t>
            </w:r>
          </w:p>
        </w:tc>
        <w:tc>
          <w:tcPr>
            <w:tcW w:w="1440" w:type="dxa"/>
            <w:vAlign w:val="center"/>
          </w:tcPr>
          <w:p>
            <w:pPr>
              <w:jc w:val="right"/>
            </w:pPr>
            <w:r>
              <w:rPr>
                <w:rFonts w:ascii="宋体" w:hAnsi="宋体" w:eastAsia="宋体" w:cs="宋体"/>
                <w:b w:val="0"/>
                <w:i w:val="0"/>
                <w:color w:val="000000"/>
                <w:sz w:val="17"/>
              </w:rPr>
              <w:t>75.00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0.20</w:t>
            </w:r>
          </w:p>
        </w:tc>
        <w:tc>
          <w:tcPr>
            <w:tcW w:w="1440" w:type="dxa"/>
            <w:vAlign w:val="center"/>
          </w:tcPr>
          <w:p>
            <w:pPr>
              <w:jc w:val="right"/>
            </w:pPr>
            <w:r>
              <w:rPr>
                <w:rFonts w:ascii="宋体" w:hAnsi="宋体" w:eastAsia="宋体" w:cs="宋体"/>
                <w:b w:val="0"/>
                <w:i w:val="0"/>
                <w:color w:val="000000"/>
                <w:sz w:val="17"/>
              </w:rPr>
              <w:t>0.20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0.20</w:t>
            </w:r>
          </w:p>
        </w:tc>
        <w:tc>
          <w:tcPr>
            <w:tcW w:w="1440" w:type="dxa"/>
            <w:vAlign w:val="center"/>
          </w:tcPr>
          <w:p>
            <w:pPr>
              <w:jc w:val="right"/>
            </w:pPr>
            <w:r>
              <w:rPr>
                <w:rFonts w:ascii="宋体" w:hAnsi="宋体" w:eastAsia="宋体" w:cs="宋体"/>
                <w:b w:val="0"/>
                <w:i w:val="0"/>
                <w:color w:val="000000"/>
                <w:sz w:val="17"/>
              </w:rPr>
              <w:t>0.20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0.92</w:t>
            </w:r>
          </w:p>
        </w:tc>
        <w:tc>
          <w:tcPr>
            <w:tcW w:w="1440" w:type="dxa"/>
            <w:vAlign w:val="center"/>
          </w:tcPr>
          <w:p>
            <w:pPr>
              <w:jc w:val="right"/>
            </w:pPr>
            <w:r>
              <w:rPr>
                <w:rFonts w:ascii="宋体" w:hAnsi="宋体" w:eastAsia="宋体" w:cs="宋体"/>
                <w:b w:val="0"/>
                <w:i w:val="0"/>
                <w:color w:val="000000"/>
                <w:sz w:val="17"/>
              </w:rPr>
              <w:t>0.92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0.92</w:t>
            </w:r>
          </w:p>
        </w:tc>
        <w:tc>
          <w:tcPr>
            <w:tcW w:w="1440" w:type="dxa"/>
            <w:vAlign w:val="center"/>
          </w:tcPr>
          <w:p>
            <w:pPr>
              <w:jc w:val="right"/>
            </w:pPr>
            <w:r>
              <w:rPr>
                <w:rFonts w:ascii="宋体" w:hAnsi="宋体" w:eastAsia="宋体" w:cs="宋体"/>
                <w:b w:val="0"/>
                <w:i w:val="0"/>
                <w:color w:val="000000"/>
                <w:sz w:val="17"/>
              </w:rPr>
              <w:t>0.92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4.11</w:t>
            </w:r>
          </w:p>
        </w:tc>
        <w:tc>
          <w:tcPr>
            <w:tcW w:w="1440" w:type="dxa"/>
            <w:vAlign w:val="center"/>
          </w:tcPr>
          <w:p>
            <w:pPr>
              <w:jc w:val="right"/>
            </w:pPr>
            <w:r>
              <w:rPr>
                <w:rFonts w:ascii="宋体" w:hAnsi="宋体" w:eastAsia="宋体" w:cs="宋体"/>
                <w:b w:val="0"/>
                <w:i w:val="0"/>
                <w:color w:val="000000"/>
                <w:sz w:val="17"/>
              </w:rPr>
              <w:t>4.11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4.11</w:t>
            </w:r>
          </w:p>
        </w:tc>
        <w:tc>
          <w:tcPr>
            <w:tcW w:w="1440" w:type="dxa"/>
            <w:vAlign w:val="center"/>
          </w:tcPr>
          <w:p>
            <w:pPr>
              <w:jc w:val="right"/>
            </w:pPr>
            <w:r>
              <w:rPr>
                <w:rFonts w:ascii="宋体" w:hAnsi="宋体" w:eastAsia="宋体" w:cs="宋体"/>
                <w:b w:val="0"/>
                <w:i w:val="0"/>
                <w:color w:val="000000"/>
                <w:sz w:val="17"/>
              </w:rPr>
              <w:t>4.11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4.11</w:t>
            </w:r>
          </w:p>
        </w:tc>
        <w:tc>
          <w:tcPr>
            <w:tcW w:w="1440" w:type="dxa"/>
            <w:vAlign w:val="center"/>
          </w:tcPr>
          <w:p>
            <w:pPr>
              <w:jc w:val="right"/>
            </w:pPr>
            <w:r>
              <w:rPr>
                <w:rFonts w:ascii="宋体" w:hAnsi="宋体" w:eastAsia="宋体" w:cs="宋体"/>
                <w:b w:val="0"/>
                <w:i w:val="0"/>
                <w:color w:val="000000"/>
                <w:sz w:val="17"/>
              </w:rPr>
              <w:t>4.11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1.96</w:t>
            </w:r>
          </w:p>
        </w:tc>
        <w:tc>
          <w:tcPr>
            <w:tcW w:w="1440" w:type="dxa"/>
            <w:vAlign w:val="center"/>
          </w:tcPr>
          <w:p>
            <w:pPr>
              <w:jc w:val="right"/>
            </w:pPr>
            <w:r>
              <w:rPr>
                <w:rFonts w:ascii="宋体" w:hAnsi="宋体" w:eastAsia="宋体" w:cs="宋体"/>
                <w:b w:val="0"/>
                <w:i w:val="0"/>
                <w:color w:val="000000"/>
                <w:sz w:val="17"/>
              </w:rPr>
              <w:t>1.96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1.96</w:t>
            </w:r>
          </w:p>
        </w:tc>
        <w:tc>
          <w:tcPr>
            <w:tcW w:w="1440" w:type="dxa"/>
            <w:vAlign w:val="center"/>
          </w:tcPr>
          <w:p>
            <w:pPr>
              <w:jc w:val="right"/>
            </w:pPr>
            <w:r>
              <w:rPr>
                <w:rFonts w:ascii="宋体" w:hAnsi="宋体" w:eastAsia="宋体" w:cs="宋体"/>
                <w:b w:val="0"/>
                <w:i w:val="0"/>
                <w:color w:val="000000"/>
                <w:sz w:val="17"/>
              </w:rPr>
              <w:t>1.96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1.96</w:t>
            </w:r>
          </w:p>
        </w:tc>
        <w:tc>
          <w:tcPr>
            <w:tcW w:w="1440" w:type="dxa"/>
            <w:vAlign w:val="center"/>
          </w:tcPr>
          <w:p>
            <w:pPr>
              <w:jc w:val="right"/>
            </w:pPr>
            <w:r>
              <w:rPr>
                <w:rFonts w:ascii="宋体" w:hAnsi="宋体" w:eastAsia="宋体" w:cs="宋体"/>
                <w:b w:val="0"/>
                <w:i w:val="0"/>
                <w:color w:val="000000"/>
                <w:sz w:val="17"/>
              </w:rPr>
              <w:t>1.96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4.20</w:t>
            </w:r>
          </w:p>
        </w:tc>
        <w:tc>
          <w:tcPr>
            <w:tcW w:w="1440" w:type="dxa"/>
            <w:vAlign w:val="center"/>
          </w:tcPr>
          <w:p>
            <w:pPr>
              <w:jc w:val="right"/>
            </w:pPr>
            <w:r>
              <w:rPr>
                <w:rFonts w:ascii="宋体" w:hAnsi="宋体" w:eastAsia="宋体" w:cs="宋体"/>
                <w:b w:val="0"/>
                <w:i w:val="0"/>
                <w:color w:val="000000"/>
                <w:sz w:val="17"/>
              </w:rPr>
              <w:t>4.20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4.20</w:t>
            </w:r>
          </w:p>
        </w:tc>
        <w:tc>
          <w:tcPr>
            <w:tcW w:w="1440" w:type="dxa"/>
            <w:vAlign w:val="center"/>
          </w:tcPr>
          <w:p>
            <w:pPr>
              <w:jc w:val="right"/>
            </w:pPr>
            <w:r>
              <w:rPr>
                <w:rFonts w:ascii="宋体" w:hAnsi="宋体" w:eastAsia="宋体" w:cs="宋体"/>
                <w:b w:val="0"/>
                <w:i w:val="0"/>
                <w:color w:val="000000"/>
                <w:sz w:val="17"/>
              </w:rPr>
              <w:t>4.20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4.20</w:t>
            </w:r>
          </w:p>
        </w:tc>
        <w:tc>
          <w:tcPr>
            <w:tcW w:w="1440" w:type="dxa"/>
            <w:vAlign w:val="center"/>
          </w:tcPr>
          <w:p>
            <w:pPr>
              <w:jc w:val="right"/>
            </w:pPr>
            <w:r>
              <w:rPr>
                <w:rFonts w:ascii="宋体" w:hAnsi="宋体" w:eastAsia="宋体" w:cs="宋体"/>
                <w:b w:val="0"/>
                <w:i w:val="0"/>
                <w:color w:val="000000"/>
                <w:sz w:val="17"/>
              </w:rPr>
              <w:t>4.20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部门：许昌市人民政府驻上海联络处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134.63</w:t>
            </w:r>
          </w:p>
        </w:tc>
        <w:tc>
          <w:tcPr>
            <w:tcW w:w="1600" w:type="dxa"/>
            <w:vAlign w:val="center"/>
          </w:tcPr>
          <w:p>
            <w:pPr>
              <w:jc w:val="right"/>
            </w:pPr>
            <w:r>
              <w:rPr>
                <w:rFonts w:ascii="宋体" w:hAnsi="宋体" w:eastAsia="宋体" w:cs="宋体"/>
                <w:b/>
                <w:i w:val="0"/>
                <w:color w:val="000000"/>
                <w:sz w:val="19"/>
              </w:rPr>
              <w:t>59.63</w:t>
            </w:r>
          </w:p>
        </w:tc>
        <w:tc>
          <w:tcPr>
            <w:tcW w:w="1600" w:type="dxa"/>
            <w:vAlign w:val="center"/>
          </w:tcPr>
          <w:p>
            <w:pPr>
              <w:jc w:val="right"/>
            </w:pPr>
            <w:r>
              <w:rPr>
                <w:rFonts w:ascii="宋体" w:hAnsi="宋体" w:eastAsia="宋体" w:cs="宋体"/>
                <w:b/>
                <w:i w:val="0"/>
                <w:color w:val="000000"/>
                <w:sz w:val="19"/>
              </w:rPr>
              <w:t>75.00</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124.35</w:t>
            </w:r>
          </w:p>
        </w:tc>
        <w:tc>
          <w:tcPr>
            <w:tcW w:w="1600" w:type="dxa"/>
            <w:vAlign w:val="center"/>
          </w:tcPr>
          <w:p>
            <w:pPr>
              <w:jc w:val="right"/>
            </w:pPr>
            <w:r>
              <w:rPr>
                <w:rFonts w:ascii="宋体" w:hAnsi="宋体" w:eastAsia="宋体" w:cs="宋体"/>
                <w:b w:val="0"/>
                <w:i w:val="0"/>
                <w:color w:val="000000"/>
                <w:sz w:val="19"/>
              </w:rPr>
              <w:t>49.35</w:t>
            </w:r>
          </w:p>
        </w:tc>
        <w:tc>
          <w:tcPr>
            <w:tcW w:w="1600" w:type="dxa"/>
            <w:vAlign w:val="center"/>
          </w:tcPr>
          <w:p>
            <w:pPr>
              <w:jc w:val="right"/>
            </w:pPr>
            <w:r>
              <w:rPr>
                <w:rFonts w:ascii="宋体" w:hAnsi="宋体" w:eastAsia="宋体" w:cs="宋体"/>
                <w:b w:val="0"/>
                <w:i w:val="0"/>
                <w:color w:val="000000"/>
                <w:sz w:val="19"/>
              </w:rPr>
              <w:t>75.00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w:t>
            </w:r>
          </w:p>
        </w:tc>
        <w:tc>
          <w:tcPr>
            <w:tcW w:w="3480" w:type="dxa"/>
            <w:vAlign w:val="center"/>
          </w:tcPr>
          <w:p>
            <w:pPr>
              <w:jc w:val="left"/>
            </w:pPr>
            <w:r>
              <w:rPr>
                <w:rFonts w:ascii="宋体" w:hAnsi="宋体" w:eastAsia="宋体" w:cs="宋体"/>
                <w:b w:val="0"/>
                <w:i w:val="0"/>
                <w:color w:val="000000"/>
                <w:sz w:val="19"/>
              </w:rPr>
              <w:t>政府办公厅（室）及相关机构事务</w:t>
            </w:r>
          </w:p>
        </w:tc>
        <w:tc>
          <w:tcPr>
            <w:tcW w:w="1600" w:type="dxa"/>
            <w:vAlign w:val="center"/>
          </w:tcPr>
          <w:p>
            <w:pPr>
              <w:jc w:val="right"/>
            </w:pPr>
            <w:r>
              <w:rPr>
                <w:rFonts w:ascii="宋体" w:hAnsi="宋体" w:eastAsia="宋体" w:cs="宋体"/>
                <w:b w:val="0"/>
                <w:i w:val="0"/>
                <w:color w:val="000000"/>
                <w:sz w:val="19"/>
              </w:rPr>
              <w:t>123.23</w:t>
            </w:r>
          </w:p>
        </w:tc>
        <w:tc>
          <w:tcPr>
            <w:tcW w:w="1600" w:type="dxa"/>
            <w:vAlign w:val="center"/>
          </w:tcPr>
          <w:p>
            <w:pPr>
              <w:jc w:val="right"/>
            </w:pPr>
            <w:r>
              <w:rPr>
                <w:rFonts w:ascii="宋体" w:hAnsi="宋体" w:eastAsia="宋体" w:cs="宋体"/>
                <w:b w:val="0"/>
                <w:i w:val="0"/>
                <w:color w:val="000000"/>
                <w:sz w:val="19"/>
              </w:rPr>
              <w:t>48.23</w:t>
            </w:r>
          </w:p>
        </w:tc>
        <w:tc>
          <w:tcPr>
            <w:tcW w:w="1600" w:type="dxa"/>
            <w:vAlign w:val="center"/>
          </w:tcPr>
          <w:p>
            <w:pPr>
              <w:jc w:val="right"/>
            </w:pPr>
            <w:r>
              <w:rPr>
                <w:rFonts w:ascii="宋体" w:hAnsi="宋体" w:eastAsia="宋体" w:cs="宋体"/>
                <w:b w:val="0"/>
                <w:i w:val="0"/>
                <w:color w:val="000000"/>
                <w:sz w:val="19"/>
              </w:rPr>
              <w:t>75.00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48.23</w:t>
            </w:r>
          </w:p>
        </w:tc>
        <w:tc>
          <w:tcPr>
            <w:tcW w:w="1600" w:type="dxa"/>
            <w:vAlign w:val="center"/>
          </w:tcPr>
          <w:p>
            <w:pPr>
              <w:jc w:val="right"/>
            </w:pPr>
            <w:r>
              <w:rPr>
                <w:rFonts w:ascii="宋体" w:hAnsi="宋体" w:eastAsia="宋体" w:cs="宋体"/>
                <w:b w:val="0"/>
                <w:i w:val="0"/>
                <w:color w:val="000000"/>
                <w:sz w:val="19"/>
              </w:rPr>
              <w:t>48.23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2010399</w:t>
            </w:r>
          </w:p>
        </w:tc>
        <w:tc>
          <w:tcPr>
            <w:tcW w:w="3480" w:type="dxa"/>
            <w:vAlign w:val="center"/>
          </w:tcPr>
          <w:p>
            <w:pPr>
              <w:jc w:val="left"/>
            </w:pPr>
            <w:r>
              <w:rPr>
                <w:rFonts w:ascii="宋体" w:hAnsi="宋体" w:eastAsia="宋体" w:cs="宋体"/>
                <w:b w:val="0"/>
                <w:i w:val="0"/>
                <w:color w:val="000000"/>
                <w:sz w:val="19"/>
              </w:rPr>
              <w:t>其他政府办公厅（室）及相关机构事务支出</w:t>
            </w:r>
          </w:p>
        </w:tc>
        <w:tc>
          <w:tcPr>
            <w:tcW w:w="1600" w:type="dxa"/>
            <w:vAlign w:val="center"/>
          </w:tcPr>
          <w:p>
            <w:pPr>
              <w:jc w:val="right"/>
            </w:pPr>
            <w:r>
              <w:rPr>
                <w:rFonts w:ascii="宋体" w:hAnsi="宋体" w:eastAsia="宋体" w:cs="宋体"/>
                <w:b w:val="0"/>
                <w:i w:val="0"/>
                <w:color w:val="000000"/>
                <w:sz w:val="19"/>
              </w:rPr>
              <w:t>75.00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75.00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0.20</w:t>
            </w:r>
          </w:p>
        </w:tc>
        <w:tc>
          <w:tcPr>
            <w:tcW w:w="1600" w:type="dxa"/>
            <w:vAlign w:val="center"/>
          </w:tcPr>
          <w:p>
            <w:pPr>
              <w:jc w:val="right"/>
            </w:pPr>
            <w:r>
              <w:rPr>
                <w:rFonts w:ascii="宋体" w:hAnsi="宋体" w:eastAsia="宋体" w:cs="宋体"/>
                <w:b w:val="0"/>
                <w:i w:val="0"/>
                <w:color w:val="000000"/>
                <w:sz w:val="19"/>
              </w:rPr>
              <w:t>0.20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0.20</w:t>
            </w:r>
          </w:p>
        </w:tc>
        <w:tc>
          <w:tcPr>
            <w:tcW w:w="1600" w:type="dxa"/>
            <w:vAlign w:val="center"/>
          </w:tcPr>
          <w:p>
            <w:pPr>
              <w:jc w:val="right"/>
            </w:pPr>
            <w:r>
              <w:rPr>
                <w:rFonts w:ascii="宋体" w:hAnsi="宋体" w:eastAsia="宋体" w:cs="宋体"/>
                <w:b w:val="0"/>
                <w:i w:val="0"/>
                <w:color w:val="000000"/>
                <w:sz w:val="19"/>
              </w:rPr>
              <w:t>0.20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0.92</w:t>
            </w:r>
          </w:p>
        </w:tc>
        <w:tc>
          <w:tcPr>
            <w:tcW w:w="1600" w:type="dxa"/>
            <w:vAlign w:val="center"/>
          </w:tcPr>
          <w:p>
            <w:pPr>
              <w:jc w:val="right"/>
            </w:pPr>
            <w:r>
              <w:rPr>
                <w:rFonts w:ascii="宋体" w:hAnsi="宋体" w:eastAsia="宋体" w:cs="宋体"/>
                <w:b w:val="0"/>
                <w:i w:val="0"/>
                <w:color w:val="000000"/>
                <w:sz w:val="19"/>
              </w:rPr>
              <w:t>0.92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0.92</w:t>
            </w:r>
          </w:p>
        </w:tc>
        <w:tc>
          <w:tcPr>
            <w:tcW w:w="1600" w:type="dxa"/>
            <w:vAlign w:val="center"/>
          </w:tcPr>
          <w:p>
            <w:pPr>
              <w:jc w:val="right"/>
            </w:pPr>
            <w:r>
              <w:rPr>
                <w:rFonts w:ascii="宋体" w:hAnsi="宋体" w:eastAsia="宋体" w:cs="宋体"/>
                <w:b w:val="0"/>
                <w:i w:val="0"/>
                <w:color w:val="000000"/>
                <w:sz w:val="19"/>
              </w:rPr>
              <w:t>0.92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4.11</w:t>
            </w:r>
          </w:p>
        </w:tc>
        <w:tc>
          <w:tcPr>
            <w:tcW w:w="1600" w:type="dxa"/>
            <w:vAlign w:val="center"/>
          </w:tcPr>
          <w:p>
            <w:pPr>
              <w:jc w:val="right"/>
            </w:pPr>
            <w:r>
              <w:rPr>
                <w:rFonts w:ascii="宋体" w:hAnsi="宋体" w:eastAsia="宋体" w:cs="宋体"/>
                <w:b w:val="0"/>
                <w:i w:val="0"/>
                <w:color w:val="000000"/>
                <w:sz w:val="19"/>
              </w:rPr>
              <w:t>4.11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4.11</w:t>
            </w:r>
          </w:p>
        </w:tc>
        <w:tc>
          <w:tcPr>
            <w:tcW w:w="1600" w:type="dxa"/>
            <w:vAlign w:val="center"/>
          </w:tcPr>
          <w:p>
            <w:pPr>
              <w:jc w:val="right"/>
            </w:pPr>
            <w:r>
              <w:rPr>
                <w:rFonts w:ascii="宋体" w:hAnsi="宋体" w:eastAsia="宋体" w:cs="宋体"/>
                <w:b w:val="0"/>
                <w:i w:val="0"/>
                <w:color w:val="000000"/>
                <w:sz w:val="19"/>
              </w:rPr>
              <w:t>4.11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4.11</w:t>
            </w:r>
          </w:p>
        </w:tc>
        <w:tc>
          <w:tcPr>
            <w:tcW w:w="1600" w:type="dxa"/>
            <w:vAlign w:val="center"/>
          </w:tcPr>
          <w:p>
            <w:pPr>
              <w:jc w:val="right"/>
            </w:pPr>
            <w:r>
              <w:rPr>
                <w:rFonts w:ascii="宋体" w:hAnsi="宋体" w:eastAsia="宋体" w:cs="宋体"/>
                <w:b w:val="0"/>
                <w:i w:val="0"/>
                <w:color w:val="000000"/>
                <w:sz w:val="19"/>
              </w:rPr>
              <w:t>4.11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1.96</w:t>
            </w:r>
          </w:p>
        </w:tc>
        <w:tc>
          <w:tcPr>
            <w:tcW w:w="1600" w:type="dxa"/>
            <w:vAlign w:val="center"/>
          </w:tcPr>
          <w:p>
            <w:pPr>
              <w:jc w:val="right"/>
            </w:pPr>
            <w:r>
              <w:rPr>
                <w:rFonts w:ascii="宋体" w:hAnsi="宋体" w:eastAsia="宋体" w:cs="宋体"/>
                <w:b w:val="0"/>
                <w:i w:val="0"/>
                <w:color w:val="000000"/>
                <w:sz w:val="19"/>
              </w:rPr>
              <w:t>1.96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1.96</w:t>
            </w:r>
          </w:p>
        </w:tc>
        <w:tc>
          <w:tcPr>
            <w:tcW w:w="1600" w:type="dxa"/>
            <w:vAlign w:val="center"/>
          </w:tcPr>
          <w:p>
            <w:pPr>
              <w:jc w:val="right"/>
            </w:pPr>
            <w:r>
              <w:rPr>
                <w:rFonts w:ascii="宋体" w:hAnsi="宋体" w:eastAsia="宋体" w:cs="宋体"/>
                <w:b w:val="0"/>
                <w:i w:val="0"/>
                <w:color w:val="000000"/>
                <w:sz w:val="19"/>
              </w:rPr>
              <w:t>1.96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1.96</w:t>
            </w:r>
          </w:p>
        </w:tc>
        <w:tc>
          <w:tcPr>
            <w:tcW w:w="1600" w:type="dxa"/>
            <w:vAlign w:val="center"/>
          </w:tcPr>
          <w:p>
            <w:pPr>
              <w:jc w:val="right"/>
            </w:pPr>
            <w:r>
              <w:rPr>
                <w:rFonts w:ascii="宋体" w:hAnsi="宋体" w:eastAsia="宋体" w:cs="宋体"/>
                <w:b w:val="0"/>
                <w:i w:val="0"/>
                <w:color w:val="000000"/>
                <w:sz w:val="19"/>
              </w:rPr>
              <w:t>1.96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4.20</w:t>
            </w:r>
          </w:p>
        </w:tc>
        <w:tc>
          <w:tcPr>
            <w:tcW w:w="1600" w:type="dxa"/>
            <w:vAlign w:val="center"/>
          </w:tcPr>
          <w:p>
            <w:pPr>
              <w:jc w:val="right"/>
            </w:pPr>
            <w:r>
              <w:rPr>
                <w:rFonts w:ascii="宋体" w:hAnsi="宋体" w:eastAsia="宋体" w:cs="宋体"/>
                <w:b w:val="0"/>
                <w:i w:val="0"/>
                <w:color w:val="000000"/>
                <w:sz w:val="19"/>
              </w:rPr>
              <w:t>4.20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4.20</w:t>
            </w:r>
          </w:p>
        </w:tc>
        <w:tc>
          <w:tcPr>
            <w:tcW w:w="1600" w:type="dxa"/>
            <w:vAlign w:val="center"/>
          </w:tcPr>
          <w:p>
            <w:pPr>
              <w:jc w:val="right"/>
            </w:pPr>
            <w:r>
              <w:rPr>
                <w:rFonts w:ascii="宋体" w:hAnsi="宋体" w:eastAsia="宋体" w:cs="宋体"/>
                <w:b w:val="0"/>
                <w:i w:val="0"/>
                <w:color w:val="000000"/>
                <w:sz w:val="19"/>
              </w:rPr>
              <w:t>4.20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4.20</w:t>
            </w:r>
          </w:p>
        </w:tc>
        <w:tc>
          <w:tcPr>
            <w:tcW w:w="1600" w:type="dxa"/>
            <w:vAlign w:val="center"/>
          </w:tcPr>
          <w:p>
            <w:pPr>
              <w:jc w:val="right"/>
            </w:pPr>
            <w:r>
              <w:rPr>
                <w:rFonts w:ascii="宋体" w:hAnsi="宋体" w:eastAsia="宋体" w:cs="宋体"/>
                <w:b w:val="0"/>
                <w:i w:val="0"/>
                <w:color w:val="000000"/>
                <w:sz w:val="19"/>
              </w:rPr>
              <w:t>4.20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部门：许昌市人民政府驻上海联络处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134.63</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124.35</w:t>
            </w:r>
          </w:p>
        </w:tc>
        <w:tc>
          <w:tcPr>
            <w:tcW w:w="1420" w:type="dxa"/>
            <w:vAlign w:val="center"/>
          </w:tcPr>
          <w:p>
            <w:pPr>
              <w:jc w:val="right"/>
            </w:pPr>
            <w:r>
              <w:rPr>
                <w:rFonts w:ascii="宋体" w:hAnsi="宋体" w:eastAsia="宋体" w:cs="宋体"/>
                <w:b w:val="0"/>
                <w:i w:val="0"/>
                <w:color w:val="000000"/>
                <w:sz w:val="18"/>
              </w:rPr>
              <w:t>124.35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4.11</w:t>
            </w:r>
          </w:p>
        </w:tc>
        <w:tc>
          <w:tcPr>
            <w:tcW w:w="1420" w:type="dxa"/>
            <w:vAlign w:val="center"/>
          </w:tcPr>
          <w:p>
            <w:pPr>
              <w:jc w:val="right"/>
            </w:pPr>
            <w:r>
              <w:rPr>
                <w:rFonts w:ascii="宋体" w:hAnsi="宋体" w:eastAsia="宋体" w:cs="宋体"/>
                <w:b w:val="0"/>
                <w:i w:val="0"/>
                <w:color w:val="000000"/>
                <w:sz w:val="18"/>
              </w:rPr>
              <w:t>4.11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1.96</w:t>
            </w:r>
          </w:p>
        </w:tc>
        <w:tc>
          <w:tcPr>
            <w:tcW w:w="1420" w:type="dxa"/>
            <w:vAlign w:val="center"/>
          </w:tcPr>
          <w:p>
            <w:pPr>
              <w:jc w:val="right"/>
            </w:pPr>
            <w:r>
              <w:rPr>
                <w:rFonts w:ascii="宋体" w:hAnsi="宋体" w:eastAsia="宋体" w:cs="宋体"/>
                <w:b w:val="0"/>
                <w:i w:val="0"/>
                <w:color w:val="000000"/>
                <w:sz w:val="18"/>
              </w:rPr>
              <w:t>1.96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4.20</w:t>
            </w:r>
          </w:p>
        </w:tc>
        <w:tc>
          <w:tcPr>
            <w:tcW w:w="1420" w:type="dxa"/>
            <w:vAlign w:val="center"/>
          </w:tcPr>
          <w:p>
            <w:pPr>
              <w:jc w:val="right"/>
            </w:pPr>
            <w:r>
              <w:rPr>
                <w:rFonts w:ascii="宋体" w:hAnsi="宋体" w:eastAsia="宋体" w:cs="宋体"/>
                <w:b w:val="0"/>
                <w:i w:val="0"/>
                <w:color w:val="000000"/>
                <w:sz w:val="18"/>
              </w:rPr>
              <w:t>4.20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134.63</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134.63</w:t>
            </w:r>
          </w:p>
        </w:tc>
        <w:tc>
          <w:tcPr>
            <w:tcW w:w="1420" w:type="dxa"/>
            <w:vAlign w:val="center"/>
          </w:tcPr>
          <w:p>
            <w:pPr>
              <w:jc w:val="right"/>
            </w:pPr>
            <w:r>
              <w:rPr>
                <w:rFonts w:ascii="宋体" w:hAnsi="宋体" w:eastAsia="宋体" w:cs="宋体"/>
                <w:b w:val="0"/>
                <w:i w:val="0"/>
                <w:color w:val="000000"/>
                <w:sz w:val="18"/>
              </w:rPr>
              <w:t>134.63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134.63</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134.63</w:t>
            </w:r>
          </w:p>
        </w:tc>
        <w:tc>
          <w:tcPr>
            <w:tcW w:w="1420" w:type="dxa"/>
            <w:vAlign w:val="center"/>
          </w:tcPr>
          <w:p>
            <w:pPr>
              <w:jc w:val="right"/>
            </w:pPr>
            <w:r>
              <w:rPr>
                <w:rFonts w:ascii="宋体" w:hAnsi="宋体" w:eastAsia="宋体" w:cs="宋体"/>
                <w:b w:val="0"/>
                <w:i w:val="0"/>
                <w:color w:val="000000"/>
                <w:sz w:val="18"/>
              </w:rPr>
              <w:t>134.63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部门：许昌市人民政府驻上海联络处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134.63</w:t>
            </w:r>
          </w:p>
        </w:tc>
        <w:tc>
          <w:tcPr>
            <w:tcW w:w="2700" w:type="dxa"/>
            <w:vAlign w:val="center"/>
          </w:tcPr>
          <w:p>
            <w:pPr>
              <w:jc w:val="right"/>
            </w:pPr>
            <w:r>
              <w:rPr>
                <w:rFonts w:ascii="宋体" w:hAnsi="宋体" w:eastAsia="宋体" w:cs="宋体"/>
                <w:b/>
                <w:i w:val="0"/>
                <w:color w:val="000000"/>
                <w:sz w:val="25"/>
              </w:rPr>
              <w:t>59.63</w:t>
            </w:r>
          </w:p>
        </w:tc>
        <w:tc>
          <w:tcPr>
            <w:tcW w:w="2658" w:type="dxa"/>
            <w:vAlign w:val="center"/>
          </w:tcPr>
          <w:p>
            <w:pPr>
              <w:jc w:val="right"/>
            </w:pPr>
            <w:r>
              <w:rPr>
                <w:rFonts w:ascii="宋体" w:hAnsi="宋体" w:eastAsia="宋体" w:cs="宋体"/>
                <w:b/>
                <w:i w:val="0"/>
                <w:color w:val="000000"/>
                <w:sz w:val="25"/>
              </w:rPr>
              <w:t>75.00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124.35</w:t>
            </w:r>
          </w:p>
        </w:tc>
        <w:tc>
          <w:tcPr>
            <w:tcW w:w="2700" w:type="dxa"/>
            <w:vAlign w:val="center"/>
          </w:tcPr>
          <w:p>
            <w:pPr>
              <w:jc w:val="right"/>
            </w:pPr>
            <w:r>
              <w:rPr>
                <w:rFonts w:ascii="宋体" w:hAnsi="宋体" w:eastAsia="宋体" w:cs="宋体"/>
                <w:b w:val="0"/>
                <w:i w:val="0"/>
                <w:color w:val="000000"/>
                <w:sz w:val="25"/>
              </w:rPr>
              <w:t>49.35</w:t>
            </w:r>
          </w:p>
        </w:tc>
        <w:tc>
          <w:tcPr>
            <w:tcW w:w="2658" w:type="dxa"/>
            <w:vAlign w:val="center"/>
          </w:tcPr>
          <w:p>
            <w:pPr>
              <w:jc w:val="right"/>
            </w:pPr>
            <w:r>
              <w:rPr>
                <w:rFonts w:ascii="宋体" w:hAnsi="宋体" w:eastAsia="宋体" w:cs="宋体"/>
                <w:b w:val="0"/>
                <w:i w:val="0"/>
                <w:color w:val="000000"/>
                <w:sz w:val="25"/>
              </w:rPr>
              <w:t>75.00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20103</w:t>
            </w:r>
          </w:p>
        </w:tc>
        <w:tc>
          <w:tcPr>
            <w:tcW w:w="4700" w:type="dxa"/>
            <w:vAlign w:val="center"/>
          </w:tcPr>
          <w:p>
            <w:pPr>
              <w:jc w:val="left"/>
            </w:pPr>
            <w:r>
              <w:rPr>
                <w:rFonts w:ascii="宋体" w:hAnsi="宋体" w:eastAsia="宋体" w:cs="宋体"/>
                <w:b w:val="0"/>
                <w:i w:val="0"/>
                <w:color w:val="000000"/>
                <w:sz w:val="25"/>
              </w:rPr>
              <w:t>政府办公厅（室）及相关机构事务</w:t>
            </w:r>
          </w:p>
        </w:tc>
        <w:tc>
          <w:tcPr>
            <w:tcW w:w="2700" w:type="dxa"/>
            <w:vAlign w:val="center"/>
          </w:tcPr>
          <w:p>
            <w:pPr>
              <w:jc w:val="right"/>
            </w:pPr>
            <w:r>
              <w:rPr>
                <w:rFonts w:ascii="宋体" w:hAnsi="宋体" w:eastAsia="宋体" w:cs="宋体"/>
                <w:b w:val="0"/>
                <w:i w:val="0"/>
                <w:color w:val="000000"/>
                <w:sz w:val="25"/>
              </w:rPr>
              <w:t>123.23</w:t>
            </w:r>
          </w:p>
        </w:tc>
        <w:tc>
          <w:tcPr>
            <w:tcW w:w="2700" w:type="dxa"/>
            <w:vAlign w:val="center"/>
          </w:tcPr>
          <w:p>
            <w:pPr>
              <w:jc w:val="right"/>
            </w:pPr>
            <w:r>
              <w:rPr>
                <w:rFonts w:ascii="宋体" w:hAnsi="宋体" w:eastAsia="宋体" w:cs="宋体"/>
                <w:b w:val="0"/>
                <w:i w:val="0"/>
                <w:color w:val="000000"/>
                <w:sz w:val="25"/>
              </w:rPr>
              <w:t>48.23</w:t>
            </w:r>
          </w:p>
        </w:tc>
        <w:tc>
          <w:tcPr>
            <w:tcW w:w="2658" w:type="dxa"/>
            <w:vAlign w:val="center"/>
          </w:tcPr>
          <w:p>
            <w:pPr>
              <w:jc w:val="right"/>
            </w:pPr>
            <w:r>
              <w:rPr>
                <w:rFonts w:ascii="宋体" w:hAnsi="宋体" w:eastAsia="宋体" w:cs="宋体"/>
                <w:b w:val="0"/>
                <w:i w:val="0"/>
                <w:color w:val="000000"/>
                <w:sz w:val="25"/>
              </w:rPr>
              <w:t>75.00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48.23</w:t>
            </w:r>
          </w:p>
        </w:tc>
        <w:tc>
          <w:tcPr>
            <w:tcW w:w="2700" w:type="dxa"/>
            <w:vAlign w:val="center"/>
          </w:tcPr>
          <w:p>
            <w:pPr>
              <w:jc w:val="right"/>
            </w:pPr>
            <w:r>
              <w:rPr>
                <w:rFonts w:ascii="宋体" w:hAnsi="宋体" w:eastAsia="宋体" w:cs="宋体"/>
                <w:b w:val="0"/>
                <w:i w:val="0"/>
                <w:color w:val="000000"/>
                <w:sz w:val="25"/>
              </w:rPr>
              <w:t>48.23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2010399</w:t>
            </w:r>
          </w:p>
        </w:tc>
        <w:tc>
          <w:tcPr>
            <w:tcW w:w="4700" w:type="dxa"/>
            <w:vAlign w:val="center"/>
          </w:tcPr>
          <w:p>
            <w:pPr>
              <w:jc w:val="left"/>
            </w:pPr>
            <w:r>
              <w:rPr>
                <w:rFonts w:ascii="宋体" w:hAnsi="宋体" w:eastAsia="宋体" w:cs="宋体"/>
                <w:b w:val="0"/>
                <w:i w:val="0"/>
                <w:color w:val="000000"/>
                <w:sz w:val="25"/>
              </w:rPr>
              <w:t>其他政府办公厅（室）及相关机构事务支出</w:t>
            </w:r>
          </w:p>
        </w:tc>
        <w:tc>
          <w:tcPr>
            <w:tcW w:w="2700" w:type="dxa"/>
            <w:vAlign w:val="center"/>
          </w:tcPr>
          <w:p>
            <w:pPr>
              <w:jc w:val="right"/>
            </w:pPr>
            <w:r>
              <w:rPr>
                <w:rFonts w:ascii="宋体" w:hAnsi="宋体" w:eastAsia="宋体" w:cs="宋体"/>
                <w:b w:val="0"/>
                <w:i w:val="0"/>
                <w:color w:val="000000"/>
                <w:sz w:val="25"/>
              </w:rPr>
              <w:t>75.00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75.00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0.20</w:t>
            </w:r>
          </w:p>
        </w:tc>
        <w:tc>
          <w:tcPr>
            <w:tcW w:w="2700" w:type="dxa"/>
            <w:vAlign w:val="center"/>
          </w:tcPr>
          <w:p>
            <w:pPr>
              <w:jc w:val="right"/>
            </w:pPr>
            <w:r>
              <w:rPr>
                <w:rFonts w:ascii="宋体" w:hAnsi="宋体" w:eastAsia="宋体" w:cs="宋体"/>
                <w:b w:val="0"/>
                <w:i w:val="0"/>
                <w:color w:val="000000"/>
                <w:sz w:val="25"/>
              </w:rPr>
              <w:t>0.20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0.20</w:t>
            </w:r>
          </w:p>
        </w:tc>
        <w:tc>
          <w:tcPr>
            <w:tcW w:w="2700" w:type="dxa"/>
            <w:vAlign w:val="center"/>
          </w:tcPr>
          <w:p>
            <w:pPr>
              <w:jc w:val="right"/>
            </w:pPr>
            <w:r>
              <w:rPr>
                <w:rFonts w:ascii="宋体" w:hAnsi="宋体" w:eastAsia="宋体" w:cs="宋体"/>
                <w:b w:val="0"/>
                <w:i w:val="0"/>
                <w:color w:val="000000"/>
                <w:sz w:val="25"/>
              </w:rPr>
              <w:t>0.20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0.92</w:t>
            </w:r>
          </w:p>
        </w:tc>
        <w:tc>
          <w:tcPr>
            <w:tcW w:w="2700" w:type="dxa"/>
            <w:vAlign w:val="center"/>
          </w:tcPr>
          <w:p>
            <w:pPr>
              <w:jc w:val="right"/>
            </w:pPr>
            <w:r>
              <w:rPr>
                <w:rFonts w:ascii="宋体" w:hAnsi="宋体" w:eastAsia="宋体" w:cs="宋体"/>
                <w:b w:val="0"/>
                <w:i w:val="0"/>
                <w:color w:val="000000"/>
                <w:sz w:val="25"/>
              </w:rPr>
              <w:t>0.92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0.92</w:t>
            </w:r>
          </w:p>
        </w:tc>
        <w:tc>
          <w:tcPr>
            <w:tcW w:w="2700" w:type="dxa"/>
            <w:vAlign w:val="center"/>
          </w:tcPr>
          <w:p>
            <w:pPr>
              <w:jc w:val="right"/>
            </w:pPr>
            <w:r>
              <w:rPr>
                <w:rFonts w:ascii="宋体" w:hAnsi="宋体" w:eastAsia="宋体" w:cs="宋体"/>
                <w:b w:val="0"/>
                <w:i w:val="0"/>
                <w:color w:val="000000"/>
                <w:sz w:val="25"/>
              </w:rPr>
              <w:t>0.92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4.11</w:t>
            </w:r>
          </w:p>
        </w:tc>
        <w:tc>
          <w:tcPr>
            <w:tcW w:w="2700" w:type="dxa"/>
            <w:vAlign w:val="center"/>
          </w:tcPr>
          <w:p>
            <w:pPr>
              <w:jc w:val="right"/>
            </w:pPr>
            <w:r>
              <w:rPr>
                <w:rFonts w:ascii="宋体" w:hAnsi="宋体" w:eastAsia="宋体" w:cs="宋体"/>
                <w:b w:val="0"/>
                <w:i w:val="0"/>
                <w:color w:val="000000"/>
                <w:sz w:val="25"/>
              </w:rPr>
              <w:t>4.11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4.11</w:t>
            </w:r>
          </w:p>
        </w:tc>
        <w:tc>
          <w:tcPr>
            <w:tcW w:w="2700" w:type="dxa"/>
            <w:vAlign w:val="center"/>
          </w:tcPr>
          <w:p>
            <w:pPr>
              <w:jc w:val="right"/>
            </w:pPr>
            <w:r>
              <w:rPr>
                <w:rFonts w:ascii="宋体" w:hAnsi="宋体" w:eastAsia="宋体" w:cs="宋体"/>
                <w:b w:val="0"/>
                <w:i w:val="0"/>
                <w:color w:val="000000"/>
                <w:sz w:val="25"/>
              </w:rPr>
              <w:t>4.11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4.11</w:t>
            </w:r>
          </w:p>
        </w:tc>
        <w:tc>
          <w:tcPr>
            <w:tcW w:w="2700" w:type="dxa"/>
            <w:vAlign w:val="center"/>
          </w:tcPr>
          <w:p>
            <w:pPr>
              <w:jc w:val="right"/>
            </w:pPr>
            <w:r>
              <w:rPr>
                <w:rFonts w:ascii="宋体" w:hAnsi="宋体" w:eastAsia="宋体" w:cs="宋体"/>
                <w:b w:val="0"/>
                <w:i w:val="0"/>
                <w:color w:val="000000"/>
                <w:sz w:val="25"/>
              </w:rPr>
              <w:t>4.11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1.96</w:t>
            </w:r>
          </w:p>
        </w:tc>
        <w:tc>
          <w:tcPr>
            <w:tcW w:w="2700" w:type="dxa"/>
            <w:vAlign w:val="center"/>
          </w:tcPr>
          <w:p>
            <w:pPr>
              <w:jc w:val="right"/>
            </w:pPr>
            <w:r>
              <w:rPr>
                <w:rFonts w:ascii="宋体" w:hAnsi="宋体" w:eastAsia="宋体" w:cs="宋体"/>
                <w:b w:val="0"/>
                <w:i w:val="0"/>
                <w:color w:val="000000"/>
                <w:sz w:val="25"/>
              </w:rPr>
              <w:t>1.96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1.96</w:t>
            </w:r>
          </w:p>
        </w:tc>
        <w:tc>
          <w:tcPr>
            <w:tcW w:w="2700" w:type="dxa"/>
            <w:vAlign w:val="center"/>
          </w:tcPr>
          <w:p>
            <w:pPr>
              <w:jc w:val="right"/>
            </w:pPr>
            <w:r>
              <w:rPr>
                <w:rFonts w:ascii="宋体" w:hAnsi="宋体" w:eastAsia="宋体" w:cs="宋体"/>
                <w:b w:val="0"/>
                <w:i w:val="0"/>
                <w:color w:val="000000"/>
                <w:sz w:val="25"/>
              </w:rPr>
              <w:t>1.96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1.96</w:t>
            </w:r>
          </w:p>
        </w:tc>
        <w:tc>
          <w:tcPr>
            <w:tcW w:w="2700" w:type="dxa"/>
            <w:vAlign w:val="center"/>
          </w:tcPr>
          <w:p>
            <w:pPr>
              <w:jc w:val="right"/>
            </w:pPr>
            <w:r>
              <w:rPr>
                <w:rFonts w:ascii="宋体" w:hAnsi="宋体" w:eastAsia="宋体" w:cs="宋体"/>
                <w:b w:val="0"/>
                <w:i w:val="0"/>
                <w:color w:val="000000"/>
                <w:sz w:val="25"/>
              </w:rPr>
              <w:t>1.96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4.20</w:t>
            </w:r>
          </w:p>
        </w:tc>
        <w:tc>
          <w:tcPr>
            <w:tcW w:w="2700" w:type="dxa"/>
            <w:vAlign w:val="center"/>
          </w:tcPr>
          <w:p>
            <w:pPr>
              <w:jc w:val="right"/>
            </w:pPr>
            <w:r>
              <w:rPr>
                <w:rFonts w:ascii="宋体" w:hAnsi="宋体" w:eastAsia="宋体" w:cs="宋体"/>
                <w:b w:val="0"/>
                <w:i w:val="0"/>
                <w:color w:val="000000"/>
                <w:sz w:val="25"/>
              </w:rPr>
              <w:t>4.20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4.20</w:t>
            </w:r>
          </w:p>
        </w:tc>
        <w:tc>
          <w:tcPr>
            <w:tcW w:w="2700" w:type="dxa"/>
            <w:vAlign w:val="center"/>
          </w:tcPr>
          <w:p>
            <w:pPr>
              <w:jc w:val="right"/>
            </w:pPr>
            <w:r>
              <w:rPr>
                <w:rFonts w:ascii="宋体" w:hAnsi="宋体" w:eastAsia="宋体" w:cs="宋体"/>
                <w:b w:val="0"/>
                <w:i w:val="0"/>
                <w:color w:val="000000"/>
                <w:sz w:val="25"/>
              </w:rPr>
              <w:t>4.20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4.20</w:t>
            </w:r>
          </w:p>
        </w:tc>
        <w:tc>
          <w:tcPr>
            <w:tcW w:w="2700" w:type="dxa"/>
            <w:vAlign w:val="center"/>
          </w:tcPr>
          <w:p>
            <w:pPr>
              <w:jc w:val="right"/>
            </w:pPr>
            <w:r>
              <w:rPr>
                <w:rFonts w:ascii="宋体" w:hAnsi="宋体" w:eastAsia="宋体" w:cs="宋体"/>
                <w:b w:val="0"/>
                <w:i w:val="0"/>
                <w:color w:val="000000"/>
                <w:sz w:val="25"/>
              </w:rPr>
              <w:t>4.20</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部门：许昌市人民政府驻上海联络处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50.03</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9.60</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17.78</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1.90</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8.98</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0.12</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3.22</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9.55</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4.11</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1.96</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0.22</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6.00</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4.20</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0.12</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0.20</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0.25</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50.03</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9.60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部门：许昌市人民政府驻上海联络处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部门：许昌市人民政府驻上海联络处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pPr>
              <w:jc w:val="right"/>
            </w:pPr>
            <w:r>
              <w:rPr>
                <w:rFonts w:ascii="宋体" w:hAnsi="宋体" w:eastAsia="宋体" w:cs="宋体"/>
                <w:b/>
                <w:i w:val="0"/>
                <w:color w:val="000000"/>
                <w:sz w:val="28"/>
              </w:rPr>
              <w:t>0.00</w:t>
            </w: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部门：许昌市人民政府驻上海联络处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3.00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3.00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3.00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2.99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2.99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2.99</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2023年度收、支总计均为134.63万元。与上年度相比，收、支总计各增加35.40万元，增长35.67%。主要原因是在职人员经费增加。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收入合计134.63万元，其中：财政拨款收入134.63万元，占100.00%；上级补助收入0.00万元，占0.00%；事业收入0.00万元，占0.00%；经营收入0.00万元，占0.00%；附属单位上缴收入0.00万元，占0.00%；其他收入0.00万元，占0.00%</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2023年度支出合计134.63万元，其中：基本支出59.63万元，占44.29%；项目支出75.00万元，占55.71%；上缴上级支出0.00万元，占0.00%；经营支出0.00万元，占0.00%；对附属单位补助支出0.00万元，占0.00%</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2023年度财政拨款收、支总计均为134.63万元。与上年度相比，财政拨款收、支总计各增加35.40万元，增长35.67%。主要原因是在职人员经费增加。</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2023年度一般公共预算财政拨款支出134.63万元，占支出合计的100.00%。与上年度相比，一般公共预算财政拨款支出增加35.40万元，增长35.67%。主要原因是在职人员经费增加。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2023年度一般公共预算财政拨款支出134.63万元，主要用于以</w:t>
      </w:r>
      <w:r>
        <w:rPr>
          <w:rFonts w:hint="eastAsia" w:ascii="仿宋_GB2312" w:hAnsi="仿宋_GB2312" w:eastAsia="仿宋_GB2312" w:cs="仿宋_GB2312"/>
          <w:kern w:val="2"/>
          <w:sz w:val="32"/>
          <w:szCs w:val="32"/>
          <w:highlight w:val="none"/>
          <w:lang w:val="en-US" w:eastAsia="zh-CN"/>
        </w:rPr>
        <w:t>下方面：一般公共服务支出（类）124.35万元，占92.36%；社会保障和就业支出（类）4.11万元，占3.05%；卫生健康支出（类）1.96万元，占1.46%；</w:t>
      </w:r>
      <w:r>
        <w:rPr>
          <w:rFonts w:hint="eastAsia" w:ascii="仿宋_GB2312" w:hAnsi="仿宋_GB2312" w:eastAsia="仿宋_GB2312" w:cs="仿宋_GB2312"/>
          <w:kern w:val="2"/>
          <w:sz w:val="32"/>
          <w:szCs w:val="32"/>
          <w:lang w:val="en-US" w:eastAsia="zh-CN"/>
        </w:rPr>
        <w:t>住房保障支出（类）4.20万元，占3.13%</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highlight w:val="red"/>
          <w:lang w:val="en-US" w:eastAsia="zh-CN"/>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w:t>
      </w:r>
      <w:r>
        <w:rPr>
          <w:rFonts w:hint="eastAsia" w:ascii="仿宋_GB2312" w:hAnsi="仿宋_GB2312" w:eastAsia="仿宋_GB2312" w:cs="仿宋_GB2312"/>
          <w:kern w:val="0"/>
          <w:sz w:val="32"/>
          <w:szCs w:val="32"/>
          <w:highlight w:val="none"/>
          <w:lang w:val="en-US" w:eastAsia="zh-CN"/>
        </w:rPr>
        <w:t>为113.64万元，支出决算为134.63万元，完成年初预算的118.47%</w:t>
      </w:r>
      <w:r>
        <w:rPr>
          <w:rFonts w:hint="eastAsia" w:ascii="仿宋_GB2312" w:hAnsi="仿宋_GB2312" w:eastAsia="仿宋_GB2312" w:cs="仿宋_GB2312"/>
          <w:kern w:val="0"/>
          <w:sz w:val="32"/>
          <w:szCs w:val="32"/>
          <w:lang w:val="en-US" w:eastAsia="zh-CN"/>
        </w:rPr>
        <w:t>。其中：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1.一般公共服务支出（类）政府办公厅（室）及相关机构事务（款）事业运行（项）</w:t>
      </w:r>
      <w:r>
        <w:rPr>
          <w:rFonts w:hint="eastAsia" w:ascii="仿宋_GB2312" w:hAnsi="仿宋_GB2312" w:eastAsia="仿宋_GB2312" w:cs="仿宋_GB2312"/>
          <w:kern w:val="0"/>
          <w:sz w:val="32"/>
          <w:szCs w:val="32"/>
          <w:lang w:val="en-US" w:eastAsia="zh-CN"/>
        </w:rPr>
        <w:t>年初预算数为32.90万元，决算数48.23万元,完成年初预算的146.60%，决算数与年初预算数存在差异的主要原因是在职人员经费增加。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2.一般公共服务支出（类）政府办公厅（室）及相关机构事务（款）其他政府办公厅（室）及相关机构事务支出（项）</w:t>
      </w:r>
      <w:r>
        <w:rPr>
          <w:rFonts w:hint="eastAsia" w:ascii="仿宋_GB2312" w:hAnsi="仿宋_GB2312" w:eastAsia="仿宋_GB2312" w:cs="仿宋_GB2312"/>
          <w:kern w:val="0"/>
          <w:sz w:val="32"/>
          <w:szCs w:val="32"/>
          <w:lang w:val="en-US" w:eastAsia="zh-CN"/>
        </w:rPr>
        <w:t>年初预算数为75.00万元，决算数75.00万元,完成年初预算的100.00%，决算数与年初预算数不存在差异。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3.一般公共服务支出（类）群众团体事务（款）工会事务（项）</w:t>
      </w:r>
      <w:r>
        <w:rPr>
          <w:rFonts w:hint="eastAsia" w:ascii="仿宋_GB2312" w:hAnsi="仿宋_GB2312" w:eastAsia="仿宋_GB2312" w:cs="仿宋_GB2312"/>
          <w:kern w:val="0"/>
          <w:sz w:val="32"/>
          <w:szCs w:val="32"/>
          <w:lang w:val="en-US" w:eastAsia="zh-CN"/>
        </w:rPr>
        <w:t>年初预算数为0.20万元，决算数0.20万元,完成年初预算的100.00%，决算数与年初预算数不存在差异。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4.一般公共服务支出（类）其他一般公共服务支出（款）其他一般公共服务支出（项）</w:t>
      </w:r>
      <w:r>
        <w:rPr>
          <w:rFonts w:hint="eastAsia" w:ascii="仿宋_GB2312" w:hAnsi="仿宋_GB2312" w:eastAsia="仿宋_GB2312" w:cs="仿宋_GB2312"/>
          <w:kern w:val="0"/>
          <w:sz w:val="32"/>
          <w:szCs w:val="32"/>
          <w:lang w:val="en-US" w:eastAsia="zh-CN"/>
        </w:rPr>
        <w:t>年初预算数为0.00万元，决算数0.92万元,决算数与年初预算数存在差异的主要原因是年中按规定增加的财政拨款预算。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5.社会保障和就业支出（类）行政事业单位养老支出（款）机关事业单位基本养老保险缴费支出（项）</w:t>
      </w:r>
      <w:r>
        <w:rPr>
          <w:rFonts w:hint="eastAsia" w:ascii="仿宋_GB2312" w:hAnsi="仿宋_GB2312" w:eastAsia="仿宋_GB2312" w:cs="仿宋_GB2312"/>
          <w:kern w:val="0"/>
          <w:sz w:val="32"/>
          <w:szCs w:val="32"/>
          <w:lang w:val="en-US" w:eastAsia="zh-CN"/>
        </w:rPr>
        <w:t>年初预算数为2.31万元，决算数4.11万元,完成年初预算的177.92%，决算数与年初预算数存在差异的主要原因是在职人员经费增加。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6.卫生健康支出（类）行政事业单位医疗（款）事业单位医疗（项）</w:t>
      </w:r>
      <w:r>
        <w:rPr>
          <w:rFonts w:hint="eastAsia" w:ascii="仿宋_GB2312" w:hAnsi="仿宋_GB2312" w:eastAsia="仿宋_GB2312" w:cs="仿宋_GB2312"/>
          <w:kern w:val="0"/>
          <w:sz w:val="32"/>
          <w:szCs w:val="32"/>
          <w:lang w:val="en-US" w:eastAsia="zh-CN"/>
        </w:rPr>
        <w:t>年初预算数为1.11万元，决算数1.96万元,完成年初预算的176.58%，决算数与年初预算数存在差异的主要原因是在职人员经费增加。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7.住房保障支出（类）住房改革支出（款）住房公积金（项）</w:t>
      </w:r>
      <w:r>
        <w:rPr>
          <w:rFonts w:hint="eastAsia" w:ascii="仿宋_GB2312" w:hAnsi="仿宋_GB2312" w:eastAsia="仿宋_GB2312" w:cs="仿宋_GB2312"/>
          <w:kern w:val="0"/>
          <w:sz w:val="32"/>
          <w:szCs w:val="32"/>
          <w:lang w:val="en-US" w:eastAsia="zh-CN"/>
        </w:rPr>
        <w:t>年初预算数为2.12万元，决算数4.20万元,完成年初预算的198.11%，决算数与年初预算数存在差异的主要原因是在职人员经费增加。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59.63万元。其中：人员经费50.03万元，主要包括：基本工资、津贴补贴、奖金、绩效工资、机关事业单位基本养老保险缴费、职工基本医疗保险缴费、其他社会保障缴费、住房公积金。公用经费9.60万元，主要包括：办公费、印刷费、差旅费、租赁费、工会经费、福利费、公务用车运行维护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3.00万元，支出决算为2.99万元，完成预算的99.67%。2023年度“三公”经费支出决算数与预算数存在差异的主要原因是认真贯彻执行党中央、国务院厉行节约精神，采取有效措施严格控制和压缩“三公”经费支出。</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2.99万元,完成预算的99.67%，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预算为3.00万元，支出决算为2.99万元，完成预算的99.67%。决算数与预算数存在差异的主要原因是认真贯彻执行党中央、国务院厉行节约精神，进一步严格控制和压缩公务用车运行费支出。其中：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2.99万元。主要用于按规定保留的公务用车的燃料费、维修费、保险费等支出。2023年期末，部门开支财政拨款的公务用车保有量为</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我部门不是行政机关，也不是参照公务员管理事业单位，没有机关运行经费支出。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2023年期末，本部门共有车辆1辆，其中：省级领导干部用车0辆、主要领导干部用车0辆、机要通信用车1辆、应急保障车0辆、执法执勤用车0辆、特种专业技术用车0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我部门对本部门</w:t>
      </w:r>
      <w:r>
        <w:rPr>
          <w:rFonts w:hint="eastAsia" w:ascii="仿宋_GB2312" w:hAnsi="仿宋_GB2312" w:eastAsia="仿宋_GB2312" w:cs="仿宋_GB2312"/>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1.部门整体绩效自评。</w:t>
      </w:r>
      <w:r>
        <w:rPr>
          <w:rFonts w:hint="eastAsia" w:ascii="仿宋_GB2312" w:hAnsi="仿宋_GB2312" w:eastAsia="仿宋_GB2312" w:cs="仿宋_GB2312"/>
          <w:kern w:val="0"/>
          <w:sz w:val="32"/>
          <w:szCs w:val="32"/>
          <w:lang w:val="en-US" w:eastAsia="zh-CN"/>
        </w:rPr>
        <w:t>涉及预算资金135.05万元。自评得分为99.12分，等级为““优””。从部门整体自评情况来看，部门整体绩效目标设定依据充分、合理，项目质量可控，执行严格，年度绩效目标完成率高，社会效益显著。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2.项目绩效自评。</w:t>
      </w:r>
      <w:r>
        <w:rPr>
          <w:rFonts w:hint="eastAsia" w:ascii="仿宋_GB2312" w:hAnsi="仿宋_GB2312" w:eastAsia="仿宋_GB2312" w:cs="仿宋_GB2312"/>
          <w:kern w:val="0"/>
          <w:sz w:val="32"/>
          <w:szCs w:val="32"/>
          <w:lang w:val="en-US" w:eastAsia="zh-CN"/>
        </w:rPr>
        <w:t>基于项目预期目标的实现程度，我部门对2023年度部门预算项目支出（含部门参与分配的转移支付项目）开展绩效自评，涉及项目1个，项目金额75万元。其中：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办公运行经费，自评得分为96分，等级为“优”。全年预算数为75万元，执行数为75万元，完成预算的100%。2023年，认真贯彻落实市委、市政府“十四五”决策部署,积极开展招商引资、招才引智，搭建合作交流平台，搞好联络对接服务，为高质量建设城乡融合共同富裕先行试验区、扎实推进中国式现代化建设许昌实践贡献智慧和力量。存在的主要问题及原因：由于对联络工作成果的估量不足，个别绩效指标设定值和实际完成值有偏离。下一步改进措施：根据实际工作完善绩效指标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从项目绩效自评情况来看，项目绩效所设定的绩效目标依据充分，符合实际，绩效指标清晰、细化、可衡量。项目绩效目标总体执行情况较好，取得了较好的社会效益和经济效益。。</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3"/>
        <w:gridCol w:w="1083"/>
        <w:gridCol w:w="242"/>
        <w:gridCol w:w="242"/>
        <w:gridCol w:w="1357"/>
        <w:gridCol w:w="1068"/>
        <w:gridCol w:w="1121"/>
        <w:gridCol w:w="690"/>
        <w:gridCol w:w="884"/>
        <w:gridCol w:w="1054"/>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许昌市人民政府驻上海联络处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134.63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134.63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围绕我市经济社会发展需要，收集上海及长三角地区经济社会发展、改革创新等信息传递工作;做好招商引资及相关工作;做好招才引智工作;做好我市公务人员赴沪公务活动的保障.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认真贯彻落实党的二十大大精神，以开展第二批学习贯彻习近平新时代中国特色社会主义思想主题教育为载体，以招商引资、招才引智为重点，紧紧围绕市委、市政府中心工作，认真开展政治理论学习，搭建合作交流平台，搞好联络对接服务，较好地完成了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联络工作经费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绕我市经济社会发展需要，收集上海及长三角地区经济社会发展、改革创新等信息传递、招商引资、招才引智及我市公务人员赴沪公务活动保障等工作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认真贯彻落实党的二十大大精神，以开展第二批学习贯彻习近平新时代中国特色社会主义思想主题教育为载体，以招商引资、招才引智为重点，紧紧围绕市委、市政府中心工作，认真开展政治理论学习，搭建合作交流平台，搞好联络对接服务，较好地完成了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年中人员经费增加。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招才引智工作完成率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信息收集工作完成率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招商引资工作完成率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招才引智工作完成率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信息收集工作完成率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招商引资工作完成率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助力许昌经济发展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提升许昌城市名片知名度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显著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服务人员满意率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1440" w:right="1293" w:bottom="1440" w:left="1463" w:header="851" w:footer="992" w:gutter="0"/>
          <w:cols w:space="720" w:num="1"/>
          <w:rtlGutter w:val="0"/>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0"/>
        <w:gridCol w:w="455"/>
        <w:gridCol w:w="874"/>
        <w:gridCol w:w="669"/>
        <w:gridCol w:w="585"/>
        <w:gridCol w:w="1661"/>
        <w:gridCol w:w="852"/>
        <w:gridCol w:w="627"/>
        <w:gridCol w:w="674"/>
        <w:gridCol w:w="519"/>
        <w:gridCol w:w="752"/>
        <w:gridCol w:w="1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办公运行经费（基本运转支出）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许昌市人民政府驻上海联络处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许昌市人民政府驻上海联络处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已严格按照国库集中支付制度有关规定支付资金，未出现违规将资金从国库转入政府专户或支付到预算单位实有资金账户等问题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已严格按照下达预算的项目执行，未出现截留、挤占、挪用和擅自调整等问题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项目资金全部纳入绩效管理，绩效目标全覆盖，按照政府要求与预算同步公开并开展整体绩效目标管理，绩效目标编制完整并及时上报财政部门审核。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为市政府提供招商引资、信息联络、接待服务。上海与市政府之间联络与重要信息收集，许昌市有关单位引进项目与资金协助，赴沪公务人员接待，在沪务工人员服务。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认真贯彻落实党的二十大大精神，以开展第二批学习贯彻习近平新时代中国特色社会主义思想主题教育为载体，以招商引资、招才引智为重点，紧紧围绕市委、市政府中心工作，认真开展政治理论学习，搭建合作交流平台，搞好联络对接服务，较好地完成了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联络工作经费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为许昌籍在上海工作、学习、务工人员提供联络服务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搞好政务联络，做好许昌赴沪公务人员的服务工作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协助市直相关单位和县（市、区）到上海学习、考察、培训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立足服务许昌和上海两地经济社会发展、增强商务政务联络的桥梁纽带作用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与上海及“长三角”地区企业考察对接，协助单位到上海及“长三角”招商引资考察对接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加强搭建许沪两地交流合作平台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办公房屋运行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296平方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296平方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整理发布信息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为政府招商引资、招才引智、许昌籍在上海工作、学习、务工人员提供联络服务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显著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履职的办公费用正常运行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显著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保障办公正常运转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配合完成市直相关部门完成招商引资、招才引智等履职工作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助力许昌经济发展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显著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提升许昌城市名片知名度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显著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服务人员满意率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1906" w:h="16838"/>
          <w:pgMar w:top="1440" w:right="1179" w:bottom="1440" w:left="1179" w:header="851" w:footer="992" w:gutter="0"/>
          <w:cols w:space="720" w:num="1"/>
          <w:rtlGutter w:val="0"/>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qa9S/6wEAAMEDAAAOAAAAZHJz&#10;L2Uyb0RvYy54bWytU0uOEzEQ3SNxB8t70kmEIGqlM0KMgpBGTKSBAzhuO23JdlllJ93hAHADVmzY&#10;c66cg7LTyfBbITbucrn8XO/V6+XN4Cw7KIwGfMNnkylnyktojd81/MP79bMFZzEJ3woLXjX8qCK/&#10;WT19suxDrebQgW0VMgLxse5Dw7uUQl1VUXbKiTiBoDwdakAnEm1xV7UoekJ3tppPpy+qHrANCFLF&#10;SNnb8yFfFXytlUz3WkeVmG049ZbKimXd5rVaLUW9QxE6I8c2xD904YTx9OgV6lYkwfZo/oByRiJE&#10;0GkiwVWgtZGqcCA2s+lvbB46EVThQuLEcJUp/j9Y+e6wQWZamt3L55x54WhIpy+fT1+/n759YrMs&#10;UB9iTXUPYYPjLlKY2Q4aXf4SDzYUUY9XUdWQmKTkbDFfLKakvaSzy4ZwqsfrAWN6o8CxHDQcaWpF&#10;THG4i+lceinJr3lYG2spL2rrf0kQZs5UueNzjzlKw3YYG99CeyS+CGcjxCDXht68EzFtBNLkqU9y&#10;c7qnRVvoGw5jxFkH+PFv+VxPA6FTznpyUsM9WZ0z+9bToLLpLgFegu0l8Hv3GsiaM84w2RLSBeEl&#10;wTU8cbYPaHYd4WthY/aCIGKv9okkKMpkfmdSI23ySdF29HQ24s/7UvX4561+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Cqa9S/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ZGM4MDAyMDFkOTY1OGIyNWNlZTgyZDI4ZjIzMGYifQ=="/>
  </w:docVars>
  <w:rsids>
    <w:rsidRoot w:val="00000000"/>
    <w:rsid w:val="010B799A"/>
    <w:rsid w:val="0D89549F"/>
    <w:rsid w:val="23681EC9"/>
    <w:rsid w:val="23E7252E"/>
    <w:rsid w:val="495F2A1E"/>
    <w:rsid w:val="649840FA"/>
    <w:rsid w:val="73DE5EB2"/>
    <w:rsid w:val="78F62BB0"/>
    <w:rsid w:val="FDF99F3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90a93d8c-697d-49a2-8192-23ca8175009c"/>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11098</Words>
  <Characters>14418</Characters>
  <Lines>1</Lines>
  <Paragraphs>1</Paragraphs>
  <TotalTime>40</TotalTime>
  <ScaleCrop>false</ScaleCrop>
  <LinksUpToDate>false</LinksUpToDate>
  <CharactersWithSpaces>14704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2024-09-19T16:46:53Z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