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许昌市人民政府机关幼儿园</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许昌市人民政府机关幼儿园</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许昌市人民政府机关幼儿园概况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许昌市人民政府机关幼儿园成立于1981年，河南省示范性幼儿园，河南省文明单位，正科级，隶属于许昌市教育局，单位主要职责是为学龄前儿童提供保育和教育服务。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许昌市人民政府机关幼儿园</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办公室、财务室、保健室、后勤室、安保室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许昌市人民政府机关幼儿园</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许昌市人民政府机关幼儿园</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885.97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3.20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713.77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116.65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18.02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34.32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885.97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886.05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0.09</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886.05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886.05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885.97</w:t>
            </w:r>
          </w:p>
        </w:tc>
        <w:tc>
          <w:tcPr>
            <w:tcW w:w="1440" w:type="dxa"/>
            <w:tcBorders/>
            <w:vAlign w:val="center"/>
          </w:tcPr>
          <w:p>
            <w:pPr>
              <w:jc w:val="right"/>
            </w:pPr>
            <w:r>
              <w:rPr>
                <w:rFonts w:ascii="宋体" w:eastAsia="宋体" w:hAnsi="宋体" w:cs="宋体"/>
                <w:b/>
                <w:i w:val="0"/>
                <w:color w:val="000000"/>
                <w:sz w:val="17"/>
              </w:rPr>
              <w:t xml:space="preserve">885.97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3.20</w:t>
            </w:r>
          </w:p>
        </w:tc>
        <w:tc>
          <w:tcPr>
            <w:tcW w:w="1440" w:type="dxa"/>
            <w:tcBorders/>
            <w:vAlign w:val="center"/>
          </w:tcPr>
          <w:p>
            <w:pPr>
              <w:jc w:val="right"/>
            </w:pPr>
            <w:r>
              <w:rPr>
                <w:rFonts w:ascii="宋体" w:eastAsia="宋体" w:hAnsi="宋体" w:cs="宋体"/>
                <w:b w:val="0"/>
                <w:i w:val="0"/>
                <w:color w:val="000000"/>
                <w:sz w:val="17"/>
              </w:rPr>
              <w:t xml:space="preserve">3.20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3.20</w:t>
            </w:r>
          </w:p>
        </w:tc>
        <w:tc>
          <w:tcPr>
            <w:tcW w:w="1440" w:type="dxa"/>
            <w:tcBorders/>
            <w:vAlign w:val="center"/>
          </w:tcPr>
          <w:p>
            <w:pPr>
              <w:jc w:val="right"/>
            </w:pPr>
            <w:r>
              <w:rPr>
                <w:rFonts w:ascii="宋体" w:eastAsia="宋体" w:hAnsi="宋体" w:cs="宋体"/>
                <w:b w:val="0"/>
                <w:i w:val="0"/>
                <w:color w:val="000000"/>
                <w:sz w:val="17"/>
              </w:rPr>
              <w:t xml:space="preserve">3.20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3.20</w:t>
            </w:r>
          </w:p>
        </w:tc>
        <w:tc>
          <w:tcPr>
            <w:tcW w:w="1440" w:type="dxa"/>
            <w:tcBorders/>
            <w:vAlign w:val="center"/>
          </w:tcPr>
          <w:p>
            <w:pPr>
              <w:jc w:val="right"/>
            </w:pPr>
            <w:r>
              <w:rPr>
                <w:rFonts w:ascii="宋体" w:eastAsia="宋体" w:hAnsi="宋体" w:cs="宋体"/>
                <w:b w:val="0"/>
                <w:i w:val="0"/>
                <w:color w:val="000000"/>
                <w:sz w:val="17"/>
              </w:rPr>
              <w:t xml:space="preserve">3.20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713.77</w:t>
            </w:r>
          </w:p>
        </w:tc>
        <w:tc>
          <w:tcPr>
            <w:tcW w:w="1440" w:type="dxa"/>
            <w:tcBorders/>
            <w:vAlign w:val="center"/>
          </w:tcPr>
          <w:p>
            <w:pPr>
              <w:jc w:val="right"/>
            </w:pPr>
            <w:r>
              <w:rPr>
                <w:rFonts w:ascii="宋体" w:eastAsia="宋体" w:hAnsi="宋体" w:cs="宋体"/>
                <w:b w:val="0"/>
                <w:i w:val="0"/>
                <w:color w:val="000000"/>
                <w:sz w:val="17"/>
              </w:rPr>
              <w:t xml:space="preserve">713.77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713.77</w:t>
            </w:r>
          </w:p>
        </w:tc>
        <w:tc>
          <w:tcPr>
            <w:tcW w:w="1440" w:type="dxa"/>
            <w:tcBorders/>
            <w:vAlign w:val="center"/>
          </w:tcPr>
          <w:p>
            <w:pPr>
              <w:jc w:val="right"/>
            </w:pPr>
            <w:r>
              <w:rPr>
                <w:rFonts w:ascii="宋体" w:eastAsia="宋体" w:hAnsi="宋体" w:cs="宋体"/>
                <w:b w:val="0"/>
                <w:i w:val="0"/>
                <w:color w:val="000000"/>
                <w:sz w:val="17"/>
              </w:rPr>
              <w:t xml:space="preserve">713.77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学前教育</w:t>
            </w:r>
          </w:p>
        </w:tc>
        <w:tc>
          <w:tcPr>
            <w:tcW w:w="1440" w:type="dxa"/>
            <w:tcBorders/>
            <w:vAlign w:val="center"/>
          </w:tcPr>
          <w:p>
            <w:pPr>
              <w:jc w:val="right"/>
            </w:pPr>
            <w:r>
              <w:rPr>
                <w:rFonts w:ascii="宋体" w:eastAsia="宋体" w:hAnsi="宋体" w:cs="宋体"/>
                <w:b w:val="0"/>
                <w:i w:val="0"/>
                <w:color w:val="000000"/>
                <w:sz w:val="17"/>
              </w:rPr>
              <w:t xml:space="preserve">681.41</w:t>
            </w:r>
          </w:p>
        </w:tc>
        <w:tc>
          <w:tcPr>
            <w:tcW w:w="1440" w:type="dxa"/>
            <w:tcBorders/>
            <w:vAlign w:val="center"/>
          </w:tcPr>
          <w:p>
            <w:pPr>
              <w:jc w:val="right"/>
            </w:pPr>
            <w:r>
              <w:rPr>
                <w:rFonts w:ascii="宋体" w:eastAsia="宋体" w:hAnsi="宋体" w:cs="宋体"/>
                <w:b w:val="0"/>
                <w:i w:val="0"/>
                <w:color w:val="000000"/>
                <w:sz w:val="17"/>
              </w:rPr>
              <w:t xml:space="preserve">681.41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32.36</w:t>
            </w:r>
          </w:p>
        </w:tc>
        <w:tc>
          <w:tcPr>
            <w:tcW w:w="1440" w:type="dxa"/>
            <w:tcBorders/>
            <w:vAlign w:val="center"/>
          </w:tcPr>
          <w:p>
            <w:pPr>
              <w:jc w:val="right"/>
            </w:pPr>
            <w:r>
              <w:rPr>
                <w:rFonts w:ascii="宋体" w:eastAsia="宋体" w:hAnsi="宋体" w:cs="宋体"/>
                <w:b w:val="0"/>
                <w:i w:val="0"/>
                <w:color w:val="000000"/>
                <w:sz w:val="17"/>
              </w:rPr>
              <w:t xml:space="preserve">32.36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116.65</w:t>
            </w:r>
          </w:p>
        </w:tc>
        <w:tc>
          <w:tcPr>
            <w:tcW w:w="1440" w:type="dxa"/>
            <w:tcBorders/>
            <w:vAlign w:val="center"/>
          </w:tcPr>
          <w:p>
            <w:pPr>
              <w:jc w:val="right"/>
            </w:pPr>
            <w:r>
              <w:rPr>
                <w:rFonts w:ascii="宋体" w:eastAsia="宋体" w:hAnsi="宋体" w:cs="宋体"/>
                <w:b w:val="0"/>
                <w:i w:val="0"/>
                <w:color w:val="000000"/>
                <w:sz w:val="17"/>
              </w:rPr>
              <w:t xml:space="preserve">116.65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116.65</w:t>
            </w:r>
          </w:p>
        </w:tc>
        <w:tc>
          <w:tcPr>
            <w:tcW w:w="1440" w:type="dxa"/>
            <w:tcBorders/>
            <w:vAlign w:val="center"/>
          </w:tcPr>
          <w:p>
            <w:pPr>
              <w:jc w:val="right"/>
            </w:pPr>
            <w:r>
              <w:rPr>
                <w:rFonts w:ascii="宋体" w:eastAsia="宋体" w:hAnsi="宋体" w:cs="宋体"/>
                <w:b w:val="0"/>
                <w:i w:val="0"/>
                <w:color w:val="000000"/>
                <w:sz w:val="17"/>
              </w:rPr>
              <w:t xml:space="preserve">116.65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80.35</w:t>
            </w:r>
          </w:p>
        </w:tc>
        <w:tc>
          <w:tcPr>
            <w:tcW w:w="1440" w:type="dxa"/>
            <w:tcBorders/>
            <w:vAlign w:val="center"/>
          </w:tcPr>
          <w:p>
            <w:pPr>
              <w:jc w:val="right"/>
            </w:pPr>
            <w:r>
              <w:rPr>
                <w:rFonts w:ascii="宋体" w:eastAsia="宋体" w:hAnsi="宋体" w:cs="宋体"/>
                <w:b w:val="0"/>
                <w:i w:val="0"/>
                <w:color w:val="000000"/>
                <w:sz w:val="17"/>
              </w:rPr>
              <w:t xml:space="preserve">80.35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36.30</w:t>
            </w:r>
          </w:p>
        </w:tc>
        <w:tc>
          <w:tcPr>
            <w:tcW w:w="1440" w:type="dxa"/>
            <w:tcBorders/>
            <w:vAlign w:val="center"/>
          </w:tcPr>
          <w:p>
            <w:pPr>
              <w:jc w:val="right"/>
            </w:pPr>
            <w:r>
              <w:rPr>
                <w:rFonts w:ascii="宋体" w:eastAsia="宋体" w:hAnsi="宋体" w:cs="宋体"/>
                <w:b w:val="0"/>
                <w:i w:val="0"/>
                <w:color w:val="000000"/>
                <w:sz w:val="17"/>
              </w:rPr>
              <w:t xml:space="preserve">36.30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18.02</w:t>
            </w:r>
          </w:p>
        </w:tc>
        <w:tc>
          <w:tcPr>
            <w:tcW w:w="1440" w:type="dxa"/>
            <w:tcBorders/>
            <w:vAlign w:val="center"/>
          </w:tcPr>
          <w:p>
            <w:pPr>
              <w:jc w:val="right"/>
            </w:pPr>
            <w:r>
              <w:rPr>
                <w:rFonts w:ascii="宋体" w:eastAsia="宋体" w:hAnsi="宋体" w:cs="宋体"/>
                <w:b w:val="0"/>
                <w:i w:val="0"/>
                <w:color w:val="000000"/>
                <w:sz w:val="17"/>
              </w:rPr>
              <w:t xml:space="preserve">18.02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18.02</w:t>
            </w:r>
          </w:p>
        </w:tc>
        <w:tc>
          <w:tcPr>
            <w:tcW w:w="1440" w:type="dxa"/>
            <w:tcBorders/>
            <w:vAlign w:val="center"/>
          </w:tcPr>
          <w:p>
            <w:pPr>
              <w:jc w:val="right"/>
            </w:pPr>
            <w:r>
              <w:rPr>
                <w:rFonts w:ascii="宋体" w:eastAsia="宋体" w:hAnsi="宋体" w:cs="宋体"/>
                <w:b w:val="0"/>
                <w:i w:val="0"/>
                <w:color w:val="000000"/>
                <w:sz w:val="17"/>
              </w:rPr>
              <w:t xml:space="preserve">18.02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18.02</w:t>
            </w:r>
          </w:p>
        </w:tc>
        <w:tc>
          <w:tcPr>
            <w:tcW w:w="1440" w:type="dxa"/>
            <w:tcBorders/>
            <w:vAlign w:val="center"/>
          </w:tcPr>
          <w:p>
            <w:pPr>
              <w:jc w:val="right"/>
            </w:pPr>
            <w:r>
              <w:rPr>
                <w:rFonts w:ascii="宋体" w:eastAsia="宋体" w:hAnsi="宋体" w:cs="宋体"/>
                <w:b w:val="0"/>
                <w:i w:val="0"/>
                <w:color w:val="000000"/>
                <w:sz w:val="17"/>
              </w:rPr>
              <w:t xml:space="preserve">18.02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34.32</w:t>
            </w:r>
          </w:p>
        </w:tc>
        <w:tc>
          <w:tcPr>
            <w:tcW w:w="1440" w:type="dxa"/>
            <w:tcBorders/>
            <w:vAlign w:val="center"/>
          </w:tcPr>
          <w:p>
            <w:pPr>
              <w:jc w:val="right"/>
            </w:pPr>
            <w:r>
              <w:rPr>
                <w:rFonts w:ascii="宋体" w:eastAsia="宋体" w:hAnsi="宋体" w:cs="宋体"/>
                <w:b w:val="0"/>
                <w:i w:val="0"/>
                <w:color w:val="000000"/>
                <w:sz w:val="17"/>
              </w:rPr>
              <w:t xml:space="preserve">34.32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34.32</w:t>
            </w:r>
          </w:p>
        </w:tc>
        <w:tc>
          <w:tcPr>
            <w:tcW w:w="1440" w:type="dxa"/>
            <w:tcBorders/>
            <w:vAlign w:val="center"/>
          </w:tcPr>
          <w:p>
            <w:pPr>
              <w:jc w:val="right"/>
            </w:pPr>
            <w:r>
              <w:rPr>
                <w:rFonts w:ascii="宋体" w:eastAsia="宋体" w:hAnsi="宋体" w:cs="宋体"/>
                <w:b w:val="0"/>
                <w:i w:val="0"/>
                <w:color w:val="000000"/>
                <w:sz w:val="17"/>
              </w:rPr>
              <w:t xml:space="preserve">34.32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34.32</w:t>
            </w:r>
          </w:p>
        </w:tc>
        <w:tc>
          <w:tcPr>
            <w:tcW w:w="1440" w:type="dxa"/>
            <w:tcBorders/>
            <w:vAlign w:val="center"/>
          </w:tcPr>
          <w:p>
            <w:pPr>
              <w:jc w:val="right"/>
            </w:pPr>
            <w:r>
              <w:rPr>
                <w:rFonts w:ascii="宋体" w:eastAsia="宋体" w:hAnsi="宋体" w:cs="宋体"/>
                <w:b w:val="0"/>
                <w:i w:val="0"/>
                <w:color w:val="000000"/>
                <w:sz w:val="17"/>
              </w:rPr>
              <w:t xml:space="preserve">34.32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886.05</w:t>
            </w:r>
          </w:p>
        </w:tc>
        <w:tc>
          <w:tcPr>
            <w:tcW w:w="1600" w:type="dxa"/>
            <w:tcBorders/>
            <w:vAlign w:val="center"/>
          </w:tcPr>
          <w:p>
            <w:pPr>
              <w:jc w:val="right"/>
            </w:pPr>
            <w:r>
              <w:rPr>
                <w:rFonts w:ascii="宋体" w:eastAsia="宋体" w:hAnsi="宋体" w:cs="宋体"/>
                <w:b/>
                <w:i w:val="0"/>
                <w:color w:val="000000"/>
                <w:sz w:val="19"/>
              </w:rPr>
              <w:t xml:space="preserve">769.66</w:t>
            </w:r>
          </w:p>
        </w:tc>
        <w:tc>
          <w:tcPr>
            <w:tcW w:w="1600" w:type="dxa"/>
            <w:tcBorders/>
            <w:vAlign w:val="center"/>
          </w:tcPr>
          <w:p>
            <w:pPr>
              <w:jc w:val="right"/>
            </w:pPr>
            <w:r>
              <w:rPr>
                <w:rFonts w:ascii="宋体" w:eastAsia="宋体" w:hAnsi="宋体" w:cs="宋体"/>
                <w:b/>
                <w:i w:val="0"/>
                <w:color w:val="000000"/>
                <w:sz w:val="19"/>
              </w:rPr>
              <w:t xml:space="preserve">116.39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713.77</w:t>
            </w:r>
          </w:p>
        </w:tc>
        <w:tc>
          <w:tcPr>
            <w:tcW w:w="1600" w:type="dxa"/>
            <w:tcBorders/>
            <w:vAlign w:val="center"/>
          </w:tcPr>
          <w:p>
            <w:pPr>
              <w:jc w:val="right"/>
            </w:pPr>
            <w:r>
              <w:rPr>
                <w:rFonts w:ascii="宋体" w:eastAsia="宋体" w:hAnsi="宋体" w:cs="宋体"/>
                <w:b w:val="0"/>
                <w:i w:val="0"/>
                <w:color w:val="000000"/>
                <w:sz w:val="19"/>
              </w:rPr>
              <w:t xml:space="preserve">597.38</w:t>
            </w:r>
          </w:p>
        </w:tc>
        <w:tc>
          <w:tcPr>
            <w:tcW w:w="1600" w:type="dxa"/>
            <w:tcBorders/>
            <w:vAlign w:val="center"/>
          </w:tcPr>
          <w:p>
            <w:pPr>
              <w:jc w:val="right"/>
            </w:pPr>
            <w:r>
              <w:rPr>
                <w:rFonts w:ascii="宋体" w:eastAsia="宋体" w:hAnsi="宋体" w:cs="宋体"/>
                <w:b w:val="0"/>
                <w:i w:val="0"/>
                <w:color w:val="000000"/>
                <w:sz w:val="19"/>
              </w:rPr>
              <w:t xml:space="preserve">116.39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713.77</w:t>
            </w:r>
          </w:p>
        </w:tc>
        <w:tc>
          <w:tcPr>
            <w:tcW w:w="1600" w:type="dxa"/>
            <w:tcBorders/>
            <w:vAlign w:val="center"/>
          </w:tcPr>
          <w:p>
            <w:pPr>
              <w:jc w:val="right"/>
            </w:pPr>
            <w:r>
              <w:rPr>
                <w:rFonts w:ascii="宋体" w:eastAsia="宋体" w:hAnsi="宋体" w:cs="宋体"/>
                <w:b w:val="0"/>
                <w:i w:val="0"/>
                <w:color w:val="000000"/>
                <w:sz w:val="19"/>
              </w:rPr>
              <w:t xml:space="preserve">597.38</w:t>
            </w:r>
          </w:p>
        </w:tc>
        <w:tc>
          <w:tcPr>
            <w:tcW w:w="1600" w:type="dxa"/>
            <w:tcBorders/>
            <w:vAlign w:val="center"/>
          </w:tcPr>
          <w:p>
            <w:pPr>
              <w:jc w:val="right"/>
            </w:pPr>
            <w:r>
              <w:rPr>
                <w:rFonts w:ascii="宋体" w:eastAsia="宋体" w:hAnsi="宋体" w:cs="宋体"/>
                <w:b w:val="0"/>
                <w:i w:val="0"/>
                <w:color w:val="000000"/>
                <w:sz w:val="19"/>
              </w:rPr>
              <w:t xml:space="preserve">116.39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学前教育</w:t>
            </w:r>
          </w:p>
        </w:tc>
        <w:tc>
          <w:tcPr>
            <w:tcW w:w="1600" w:type="dxa"/>
            <w:tcBorders/>
            <w:vAlign w:val="center"/>
          </w:tcPr>
          <w:p>
            <w:pPr>
              <w:jc w:val="right"/>
            </w:pPr>
            <w:r>
              <w:rPr>
                <w:rFonts w:ascii="宋体" w:eastAsia="宋体" w:hAnsi="宋体" w:cs="宋体"/>
                <w:b w:val="0"/>
                <w:i w:val="0"/>
                <w:color w:val="000000"/>
                <w:sz w:val="19"/>
              </w:rPr>
              <w:t xml:space="preserve">681.41</w:t>
            </w:r>
          </w:p>
        </w:tc>
        <w:tc>
          <w:tcPr>
            <w:tcW w:w="1600" w:type="dxa"/>
            <w:tcBorders/>
            <w:vAlign w:val="center"/>
          </w:tcPr>
          <w:p>
            <w:pPr>
              <w:jc w:val="right"/>
            </w:pPr>
            <w:r>
              <w:rPr>
                <w:rFonts w:ascii="宋体" w:eastAsia="宋体" w:hAnsi="宋体" w:cs="宋体"/>
                <w:b w:val="0"/>
                <w:i w:val="0"/>
                <w:color w:val="000000"/>
                <w:sz w:val="19"/>
              </w:rPr>
              <w:t xml:space="preserve">587.02</w:t>
            </w:r>
          </w:p>
        </w:tc>
        <w:tc>
          <w:tcPr>
            <w:tcW w:w="1600" w:type="dxa"/>
            <w:tcBorders/>
            <w:vAlign w:val="center"/>
          </w:tcPr>
          <w:p>
            <w:pPr>
              <w:jc w:val="right"/>
            </w:pPr>
            <w:r>
              <w:rPr>
                <w:rFonts w:ascii="宋体" w:eastAsia="宋体" w:hAnsi="宋体" w:cs="宋体"/>
                <w:b w:val="0"/>
                <w:i w:val="0"/>
                <w:color w:val="000000"/>
                <w:sz w:val="19"/>
              </w:rPr>
              <w:t xml:space="preserve">94.39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32.36</w:t>
            </w:r>
          </w:p>
        </w:tc>
        <w:tc>
          <w:tcPr>
            <w:tcW w:w="1600" w:type="dxa"/>
            <w:tcBorders/>
            <w:vAlign w:val="center"/>
          </w:tcPr>
          <w:p>
            <w:pPr>
              <w:jc w:val="right"/>
            </w:pPr>
            <w:r>
              <w:rPr>
                <w:rFonts w:ascii="宋体" w:eastAsia="宋体" w:hAnsi="宋体" w:cs="宋体"/>
                <w:b w:val="0"/>
                <w:i w:val="0"/>
                <w:color w:val="000000"/>
                <w:sz w:val="19"/>
              </w:rPr>
              <w:t xml:space="preserve">10.36</w:t>
            </w:r>
          </w:p>
        </w:tc>
        <w:tc>
          <w:tcPr>
            <w:tcW w:w="1600" w:type="dxa"/>
            <w:tcBorders/>
            <w:vAlign w:val="center"/>
          </w:tcPr>
          <w:p>
            <w:pPr>
              <w:jc w:val="right"/>
            </w:pPr>
            <w:r>
              <w:rPr>
                <w:rFonts w:ascii="宋体" w:eastAsia="宋体" w:hAnsi="宋体" w:cs="宋体"/>
                <w:b w:val="0"/>
                <w:i w:val="0"/>
                <w:color w:val="000000"/>
                <w:sz w:val="19"/>
              </w:rPr>
              <w:t xml:space="preserve">22.00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116.65</w:t>
            </w:r>
          </w:p>
        </w:tc>
        <w:tc>
          <w:tcPr>
            <w:tcW w:w="1600" w:type="dxa"/>
            <w:tcBorders/>
            <w:vAlign w:val="center"/>
          </w:tcPr>
          <w:p>
            <w:pPr>
              <w:jc w:val="right"/>
            </w:pPr>
            <w:r>
              <w:rPr>
                <w:rFonts w:ascii="宋体" w:eastAsia="宋体" w:hAnsi="宋体" w:cs="宋体"/>
                <w:b w:val="0"/>
                <w:i w:val="0"/>
                <w:color w:val="000000"/>
                <w:sz w:val="19"/>
              </w:rPr>
              <w:t xml:space="preserve">116.65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116.65</w:t>
            </w:r>
          </w:p>
        </w:tc>
        <w:tc>
          <w:tcPr>
            <w:tcW w:w="1600" w:type="dxa"/>
            <w:tcBorders/>
            <w:vAlign w:val="center"/>
          </w:tcPr>
          <w:p>
            <w:pPr>
              <w:jc w:val="right"/>
            </w:pPr>
            <w:r>
              <w:rPr>
                <w:rFonts w:ascii="宋体" w:eastAsia="宋体" w:hAnsi="宋体" w:cs="宋体"/>
                <w:b w:val="0"/>
                <w:i w:val="0"/>
                <w:color w:val="000000"/>
                <w:sz w:val="19"/>
              </w:rPr>
              <w:t xml:space="preserve">116.65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80.35</w:t>
            </w:r>
          </w:p>
        </w:tc>
        <w:tc>
          <w:tcPr>
            <w:tcW w:w="1600" w:type="dxa"/>
            <w:tcBorders/>
            <w:vAlign w:val="center"/>
          </w:tcPr>
          <w:p>
            <w:pPr>
              <w:jc w:val="right"/>
            </w:pPr>
            <w:r>
              <w:rPr>
                <w:rFonts w:ascii="宋体" w:eastAsia="宋体" w:hAnsi="宋体" w:cs="宋体"/>
                <w:b w:val="0"/>
                <w:i w:val="0"/>
                <w:color w:val="000000"/>
                <w:sz w:val="19"/>
              </w:rPr>
              <w:t xml:space="preserve">80.35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36.30</w:t>
            </w:r>
          </w:p>
        </w:tc>
        <w:tc>
          <w:tcPr>
            <w:tcW w:w="1600" w:type="dxa"/>
            <w:tcBorders/>
            <w:vAlign w:val="center"/>
          </w:tcPr>
          <w:p>
            <w:pPr>
              <w:jc w:val="right"/>
            </w:pPr>
            <w:r>
              <w:rPr>
                <w:rFonts w:ascii="宋体" w:eastAsia="宋体" w:hAnsi="宋体" w:cs="宋体"/>
                <w:b w:val="0"/>
                <w:i w:val="0"/>
                <w:color w:val="000000"/>
                <w:sz w:val="19"/>
              </w:rPr>
              <w:t xml:space="preserve">36.30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18.02</w:t>
            </w:r>
          </w:p>
        </w:tc>
        <w:tc>
          <w:tcPr>
            <w:tcW w:w="1600" w:type="dxa"/>
            <w:tcBorders/>
            <w:vAlign w:val="center"/>
          </w:tcPr>
          <w:p>
            <w:pPr>
              <w:jc w:val="right"/>
            </w:pPr>
            <w:r>
              <w:rPr>
                <w:rFonts w:ascii="宋体" w:eastAsia="宋体" w:hAnsi="宋体" w:cs="宋体"/>
                <w:b w:val="0"/>
                <w:i w:val="0"/>
                <w:color w:val="000000"/>
                <w:sz w:val="19"/>
              </w:rPr>
              <w:t xml:space="preserve">18.02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18.02</w:t>
            </w:r>
          </w:p>
        </w:tc>
        <w:tc>
          <w:tcPr>
            <w:tcW w:w="1600" w:type="dxa"/>
            <w:tcBorders/>
            <w:vAlign w:val="center"/>
          </w:tcPr>
          <w:p>
            <w:pPr>
              <w:jc w:val="right"/>
            </w:pPr>
            <w:r>
              <w:rPr>
                <w:rFonts w:ascii="宋体" w:eastAsia="宋体" w:hAnsi="宋体" w:cs="宋体"/>
                <w:b w:val="0"/>
                <w:i w:val="0"/>
                <w:color w:val="000000"/>
                <w:sz w:val="19"/>
              </w:rPr>
              <w:t xml:space="preserve">18.02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18.02</w:t>
            </w:r>
          </w:p>
        </w:tc>
        <w:tc>
          <w:tcPr>
            <w:tcW w:w="1600" w:type="dxa"/>
            <w:tcBorders/>
            <w:vAlign w:val="center"/>
          </w:tcPr>
          <w:p>
            <w:pPr>
              <w:jc w:val="right"/>
            </w:pPr>
            <w:r>
              <w:rPr>
                <w:rFonts w:ascii="宋体" w:eastAsia="宋体" w:hAnsi="宋体" w:cs="宋体"/>
                <w:b w:val="0"/>
                <w:i w:val="0"/>
                <w:color w:val="000000"/>
                <w:sz w:val="19"/>
              </w:rPr>
              <w:t xml:space="preserve">18.02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34.32</w:t>
            </w:r>
          </w:p>
        </w:tc>
        <w:tc>
          <w:tcPr>
            <w:tcW w:w="1600" w:type="dxa"/>
            <w:tcBorders/>
            <w:vAlign w:val="center"/>
          </w:tcPr>
          <w:p>
            <w:pPr>
              <w:jc w:val="right"/>
            </w:pPr>
            <w:r>
              <w:rPr>
                <w:rFonts w:ascii="宋体" w:eastAsia="宋体" w:hAnsi="宋体" w:cs="宋体"/>
                <w:b w:val="0"/>
                <w:i w:val="0"/>
                <w:color w:val="000000"/>
                <w:sz w:val="19"/>
              </w:rPr>
              <w:t xml:space="preserve">34.32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34.32</w:t>
            </w:r>
          </w:p>
        </w:tc>
        <w:tc>
          <w:tcPr>
            <w:tcW w:w="1600" w:type="dxa"/>
            <w:tcBorders/>
            <w:vAlign w:val="center"/>
          </w:tcPr>
          <w:p>
            <w:pPr>
              <w:jc w:val="right"/>
            </w:pPr>
            <w:r>
              <w:rPr>
                <w:rFonts w:ascii="宋体" w:eastAsia="宋体" w:hAnsi="宋体" w:cs="宋体"/>
                <w:b w:val="0"/>
                <w:i w:val="0"/>
                <w:color w:val="000000"/>
                <w:sz w:val="19"/>
              </w:rPr>
              <w:t xml:space="preserve">34.32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34.32</w:t>
            </w:r>
          </w:p>
        </w:tc>
        <w:tc>
          <w:tcPr>
            <w:tcW w:w="1600" w:type="dxa"/>
            <w:tcBorders/>
            <w:vAlign w:val="center"/>
          </w:tcPr>
          <w:p>
            <w:pPr>
              <w:jc w:val="right"/>
            </w:pPr>
            <w:r>
              <w:rPr>
                <w:rFonts w:ascii="宋体" w:eastAsia="宋体" w:hAnsi="宋体" w:cs="宋体"/>
                <w:b w:val="0"/>
                <w:i w:val="0"/>
                <w:color w:val="000000"/>
                <w:sz w:val="19"/>
              </w:rPr>
              <w:t xml:space="preserve">34.32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0.09</w:t>
            </w:r>
          </w:p>
        </w:tc>
        <w:tc>
          <w:tcPr>
            <w:tcW w:w="1600" w:type="dxa"/>
            <w:tcBorders/>
            <w:vAlign w:val="center"/>
          </w:tcPr>
          <w:p>
            <w:pPr>
              <w:jc w:val="right"/>
            </w:pPr>
            <w:r>
              <w:rPr>
                <w:rFonts w:ascii="宋体" w:eastAsia="宋体" w:hAnsi="宋体" w:cs="宋体"/>
                <w:b w:val="0"/>
                <w:i w:val="0"/>
                <w:color w:val="000000"/>
                <w:sz w:val="19"/>
              </w:rPr>
              <w:t xml:space="preserve">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0.09</w:t>
            </w:r>
          </w:p>
        </w:tc>
        <w:tc>
          <w:tcPr>
            <w:tcW w:w="1600" w:type="dxa"/>
            <w:tcBorders/>
            <w:vAlign w:val="center"/>
          </w:tcPr>
          <w:p>
            <w:pPr>
              <w:jc w:val="right"/>
            </w:pPr>
            <w:r>
              <w:rPr>
                <w:rFonts w:ascii="宋体" w:eastAsia="宋体" w:hAnsi="宋体" w:cs="宋体"/>
                <w:b w:val="0"/>
                <w:i w:val="0"/>
                <w:color w:val="000000"/>
                <w:sz w:val="19"/>
              </w:rPr>
              <w:t xml:space="preserve">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0.09</w:t>
            </w:r>
          </w:p>
        </w:tc>
        <w:tc>
          <w:tcPr>
            <w:tcW w:w="1600" w:type="dxa"/>
            <w:tcBorders/>
            <w:vAlign w:val="center"/>
          </w:tcPr>
          <w:p>
            <w:pPr>
              <w:jc w:val="right"/>
            </w:pPr>
            <w:r>
              <w:rPr>
                <w:rFonts w:ascii="宋体" w:eastAsia="宋体" w:hAnsi="宋体" w:cs="宋体"/>
                <w:b w:val="0"/>
                <w:i w:val="0"/>
                <w:color w:val="000000"/>
                <w:sz w:val="19"/>
              </w:rPr>
              <w:t xml:space="preserve">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3.20</w:t>
            </w:r>
          </w:p>
        </w:tc>
        <w:tc>
          <w:tcPr>
            <w:tcW w:w="1420" w:type="dxa"/>
            <w:tcBorders/>
            <w:vAlign w:val="center"/>
          </w:tcPr>
          <w:p>
            <w:pPr>
              <w:jc w:val="right"/>
            </w:pPr>
            <w:r>
              <w:rPr>
                <w:rFonts w:ascii="宋体" w:eastAsia="宋体" w:hAnsi="宋体" w:cs="宋体"/>
                <w:b w:val="0"/>
                <w:i w:val="0"/>
                <w:color w:val="000000"/>
                <w:sz w:val="18"/>
              </w:rPr>
              <w:t xml:space="preserve">3.20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713.77</w:t>
            </w:r>
          </w:p>
        </w:tc>
        <w:tc>
          <w:tcPr>
            <w:tcW w:w="1420" w:type="dxa"/>
            <w:tcBorders/>
            <w:vAlign w:val="center"/>
          </w:tcPr>
          <w:p>
            <w:pPr>
              <w:jc w:val="right"/>
            </w:pPr>
            <w:r>
              <w:rPr>
                <w:rFonts w:ascii="宋体" w:eastAsia="宋体" w:hAnsi="宋体" w:cs="宋体"/>
                <w:b w:val="0"/>
                <w:i w:val="0"/>
                <w:color w:val="000000"/>
                <w:sz w:val="18"/>
              </w:rPr>
              <w:t xml:space="preserve">713.77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116.65</w:t>
            </w:r>
          </w:p>
        </w:tc>
        <w:tc>
          <w:tcPr>
            <w:tcW w:w="1420" w:type="dxa"/>
            <w:tcBorders/>
            <w:vAlign w:val="center"/>
          </w:tcPr>
          <w:p>
            <w:pPr>
              <w:jc w:val="right"/>
            </w:pPr>
            <w:r>
              <w:rPr>
                <w:rFonts w:ascii="宋体" w:eastAsia="宋体" w:hAnsi="宋体" w:cs="宋体"/>
                <w:b w:val="0"/>
                <w:i w:val="0"/>
                <w:color w:val="000000"/>
                <w:sz w:val="18"/>
              </w:rPr>
              <w:t xml:space="preserve">116.65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18.02</w:t>
            </w:r>
          </w:p>
        </w:tc>
        <w:tc>
          <w:tcPr>
            <w:tcW w:w="1420" w:type="dxa"/>
            <w:tcBorders/>
            <w:vAlign w:val="center"/>
          </w:tcPr>
          <w:p>
            <w:pPr>
              <w:jc w:val="right"/>
            </w:pPr>
            <w:r>
              <w:rPr>
                <w:rFonts w:ascii="宋体" w:eastAsia="宋体" w:hAnsi="宋体" w:cs="宋体"/>
                <w:b w:val="0"/>
                <w:i w:val="0"/>
                <w:color w:val="000000"/>
                <w:sz w:val="18"/>
              </w:rPr>
              <w:t xml:space="preserve">18.02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34.32</w:t>
            </w:r>
          </w:p>
        </w:tc>
        <w:tc>
          <w:tcPr>
            <w:tcW w:w="1420" w:type="dxa"/>
            <w:tcBorders/>
            <w:vAlign w:val="center"/>
          </w:tcPr>
          <w:p>
            <w:pPr>
              <w:jc w:val="right"/>
            </w:pPr>
            <w:r>
              <w:rPr>
                <w:rFonts w:ascii="宋体" w:eastAsia="宋体" w:hAnsi="宋体" w:cs="宋体"/>
                <w:b w:val="0"/>
                <w:i w:val="0"/>
                <w:color w:val="000000"/>
                <w:sz w:val="18"/>
              </w:rPr>
              <w:t xml:space="preserve">34.32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1420" w:type="dxa"/>
            <w:tcBorders/>
            <w:vAlign w:val="center"/>
          </w:tcPr>
          <w:p>
            <w:pPr>
              <w:jc w:val="right"/>
            </w:pPr>
            <w:r>
              <w:rPr>
                <w:rFonts w:ascii="宋体" w:eastAsia="宋体" w:hAnsi="宋体" w:cs="宋体"/>
                <w:b w:val="0"/>
                <w:i w:val="0"/>
                <w:color w:val="000000"/>
                <w:sz w:val="18"/>
              </w:rPr>
              <w:t xml:space="preserve">885.97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885.97</w:t>
            </w:r>
          </w:p>
        </w:tc>
        <w:tc>
          <w:tcPr>
            <w:tcW w:w="2700" w:type="dxa"/>
            <w:tcBorders/>
            <w:vAlign w:val="center"/>
          </w:tcPr>
          <w:p>
            <w:pPr>
              <w:jc w:val="right"/>
            </w:pPr>
            <w:r>
              <w:rPr>
                <w:rFonts w:ascii="宋体" w:eastAsia="宋体" w:hAnsi="宋体" w:cs="宋体"/>
                <w:b/>
                <w:i w:val="0"/>
                <w:color w:val="000000"/>
                <w:sz w:val="25"/>
              </w:rPr>
              <w:t xml:space="preserve">769.57</w:t>
            </w:r>
          </w:p>
        </w:tc>
        <w:tc>
          <w:tcPr>
            <w:tcW w:w="2658" w:type="dxa"/>
            <w:tcBorders/>
            <w:vAlign w:val="center"/>
          </w:tcPr>
          <w:p>
            <w:pPr>
              <w:jc w:val="right"/>
            </w:pPr>
            <w:r>
              <w:rPr>
                <w:rFonts w:ascii="宋体" w:eastAsia="宋体" w:hAnsi="宋体" w:cs="宋体"/>
                <w:b/>
                <w:i w:val="0"/>
                <w:color w:val="000000"/>
                <w:sz w:val="25"/>
              </w:rPr>
              <w:t xml:space="preserve">116.39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3.20</w:t>
            </w:r>
          </w:p>
        </w:tc>
        <w:tc>
          <w:tcPr>
            <w:tcW w:w="2700" w:type="dxa"/>
            <w:tcBorders/>
            <w:vAlign w:val="center"/>
          </w:tcPr>
          <w:p>
            <w:pPr>
              <w:jc w:val="right"/>
            </w:pPr>
            <w:r>
              <w:rPr>
                <w:rFonts w:ascii="宋体" w:eastAsia="宋体" w:hAnsi="宋体" w:cs="宋体"/>
                <w:b w:val="0"/>
                <w:i w:val="0"/>
                <w:color w:val="000000"/>
                <w:sz w:val="25"/>
              </w:rPr>
              <w:t xml:space="preserve">3.20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3.20</w:t>
            </w:r>
          </w:p>
        </w:tc>
        <w:tc>
          <w:tcPr>
            <w:tcW w:w="2700" w:type="dxa"/>
            <w:tcBorders/>
            <w:vAlign w:val="center"/>
          </w:tcPr>
          <w:p>
            <w:pPr>
              <w:jc w:val="right"/>
            </w:pPr>
            <w:r>
              <w:rPr>
                <w:rFonts w:ascii="宋体" w:eastAsia="宋体" w:hAnsi="宋体" w:cs="宋体"/>
                <w:b w:val="0"/>
                <w:i w:val="0"/>
                <w:color w:val="000000"/>
                <w:sz w:val="25"/>
              </w:rPr>
              <w:t xml:space="preserve">3.20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3.20</w:t>
            </w:r>
          </w:p>
        </w:tc>
        <w:tc>
          <w:tcPr>
            <w:tcW w:w="2700" w:type="dxa"/>
            <w:tcBorders/>
            <w:vAlign w:val="center"/>
          </w:tcPr>
          <w:p>
            <w:pPr>
              <w:jc w:val="right"/>
            </w:pPr>
            <w:r>
              <w:rPr>
                <w:rFonts w:ascii="宋体" w:eastAsia="宋体" w:hAnsi="宋体" w:cs="宋体"/>
                <w:b w:val="0"/>
                <w:i w:val="0"/>
                <w:color w:val="000000"/>
                <w:sz w:val="25"/>
              </w:rPr>
              <w:t xml:space="preserve">3.20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713.77</w:t>
            </w:r>
          </w:p>
        </w:tc>
        <w:tc>
          <w:tcPr>
            <w:tcW w:w="2700" w:type="dxa"/>
            <w:tcBorders/>
            <w:vAlign w:val="center"/>
          </w:tcPr>
          <w:p>
            <w:pPr>
              <w:jc w:val="right"/>
            </w:pPr>
            <w:r>
              <w:rPr>
                <w:rFonts w:ascii="宋体" w:eastAsia="宋体" w:hAnsi="宋体" w:cs="宋体"/>
                <w:b w:val="0"/>
                <w:i w:val="0"/>
                <w:color w:val="000000"/>
                <w:sz w:val="25"/>
              </w:rPr>
              <w:t xml:space="preserve">597.38</w:t>
            </w:r>
          </w:p>
        </w:tc>
        <w:tc>
          <w:tcPr>
            <w:tcW w:w="2658" w:type="dxa"/>
            <w:tcBorders/>
            <w:vAlign w:val="center"/>
          </w:tcPr>
          <w:p>
            <w:pPr>
              <w:jc w:val="right"/>
            </w:pPr>
            <w:r>
              <w:rPr>
                <w:rFonts w:ascii="宋体" w:eastAsia="宋体" w:hAnsi="宋体" w:cs="宋体"/>
                <w:b w:val="0"/>
                <w:i w:val="0"/>
                <w:color w:val="000000"/>
                <w:sz w:val="25"/>
              </w:rPr>
              <w:t xml:space="preserve">116.39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713.77</w:t>
            </w:r>
          </w:p>
        </w:tc>
        <w:tc>
          <w:tcPr>
            <w:tcW w:w="2700" w:type="dxa"/>
            <w:tcBorders/>
            <w:vAlign w:val="center"/>
          </w:tcPr>
          <w:p>
            <w:pPr>
              <w:jc w:val="right"/>
            </w:pPr>
            <w:r>
              <w:rPr>
                <w:rFonts w:ascii="宋体" w:eastAsia="宋体" w:hAnsi="宋体" w:cs="宋体"/>
                <w:b w:val="0"/>
                <w:i w:val="0"/>
                <w:color w:val="000000"/>
                <w:sz w:val="25"/>
              </w:rPr>
              <w:t xml:space="preserve">597.38</w:t>
            </w:r>
          </w:p>
        </w:tc>
        <w:tc>
          <w:tcPr>
            <w:tcW w:w="2658" w:type="dxa"/>
            <w:tcBorders/>
            <w:vAlign w:val="center"/>
          </w:tcPr>
          <w:p>
            <w:pPr>
              <w:jc w:val="right"/>
            </w:pPr>
            <w:r>
              <w:rPr>
                <w:rFonts w:ascii="宋体" w:eastAsia="宋体" w:hAnsi="宋体" w:cs="宋体"/>
                <w:b w:val="0"/>
                <w:i w:val="0"/>
                <w:color w:val="000000"/>
                <w:sz w:val="25"/>
              </w:rPr>
              <w:t xml:space="preserve">116.39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学前教育</w:t>
            </w:r>
          </w:p>
        </w:tc>
        <w:tc>
          <w:tcPr>
            <w:tcW w:w="2700" w:type="dxa"/>
            <w:tcBorders/>
            <w:vAlign w:val="center"/>
          </w:tcPr>
          <w:p>
            <w:pPr>
              <w:jc w:val="right"/>
            </w:pPr>
            <w:r>
              <w:rPr>
                <w:rFonts w:ascii="宋体" w:eastAsia="宋体" w:hAnsi="宋体" w:cs="宋体"/>
                <w:b w:val="0"/>
                <w:i w:val="0"/>
                <w:color w:val="000000"/>
                <w:sz w:val="25"/>
              </w:rPr>
              <w:t xml:space="preserve">681.41</w:t>
            </w:r>
          </w:p>
        </w:tc>
        <w:tc>
          <w:tcPr>
            <w:tcW w:w="2700" w:type="dxa"/>
            <w:tcBorders/>
            <w:vAlign w:val="center"/>
          </w:tcPr>
          <w:p>
            <w:pPr>
              <w:jc w:val="right"/>
            </w:pPr>
            <w:r>
              <w:rPr>
                <w:rFonts w:ascii="宋体" w:eastAsia="宋体" w:hAnsi="宋体" w:cs="宋体"/>
                <w:b w:val="0"/>
                <w:i w:val="0"/>
                <w:color w:val="000000"/>
                <w:sz w:val="25"/>
              </w:rPr>
              <w:t xml:space="preserve">587.02</w:t>
            </w:r>
          </w:p>
        </w:tc>
        <w:tc>
          <w:tcPr>
            <w:tcW w:w="2658" w:type="dxa"/>
            <w:tcBorders/>
            <w:vAlign w:val="center"/>
          </w:tcPr>
          <w:p>
            <w:pPr>
              <w:jc w:val="right"/>
            </w:pPr>
            <w:r>
              <w:rPr>
                <w:rFonts w:ascii="宋体" w:eastAsia="宋体" w:hAnsi="宋体" w:cs="宋体"/>
                <w:b w:val="0"/>
                <w:i w:val="0"/>
                <w:color w:val="000000"/>
                <w:sz w:val="25"/>
              </w:rPr>
              <w:t xml:space="preserve">94.39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32.36</w:t>
            </w:r>
          </w:p>
        </w:tc>
        <w:tc>
          <w:tcPr>
            <w:tcW w:w="2700" w:type="dxa"/>
            <w:tcBorders/>
            <w:vAlign w:val="center"/>
          </w:tcPr>
          <w:p>
            <w:pPr>
              <w:jc w:val="right"/>
            </w:pPr>
            <w:r>
              <w:rPr>
                <w:rFonts w:ascii="宋体" w:eastAsia="宋体" w:hAnsi="宋体" w:cs="宋体"/>
                <w:b w:val="0"/>
                <w:i w:val="0"/>
                <w:color w:val="000000"/>
                <w:sz w:val="25"/>
              </w:rPr>
              <w:t xml:space="preserve">10.36</w:t>
            </w:r>
          </w:p>
        </w:tc>
        <w:tc>
          <w:tcPr>
            <w:tcW w:w="2658" w:type="dxa"/>
            <w:tcBorders/>
            <w:vAlign w:val="center"/>
          </w:tcPr>
          <w:p>
            <w:pPr>
              <w:jc w:val="right"/>
            </w:pPr>
            <w:r>
              <w:rPr>
                <w:rFonts w:ascii="宋体" w:eastAsia="宋体" w:hAnsi="宋体" w:cs="宋体"/>
                <w:b w:val="0"/>
                <w:i w:val="0"/>
                <w:color w:val="000000"/>
                <w:sz w:val="25"/>
              </w:rPr>
              <w:t xml:space="preserve">22.00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116.65</w:t>
            </w:r>
          </w:p>
        </w:tc>
        <w:tc>
          <w:tcPr>
            <w:tcW w:w="2700" w:type="dxa"/>
            <w:tcBorders/>
            <w:vAlign w:val="center"/>
          </w:tcPr>
          <w:p>
            <w:pPr>
              <w:jc w:val="right"/>
            </w:pPr>
            <w:r>
              <w:rPr>
                <w:rFonts w:ascii="宋体" w:eastAsia="宋体" w:hAnsi="宋体" w:cs="宋体"/>
                <w:b w:val="0"/>
                <w:i w:val="0"/>
                <w:color w:val="000000"/>
                <w:sz w:val="25"/>
              </w:rPr>
              <w:t xml:space="preserve">116.65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116.65</w:t>
            </w:r>
          </w:p>
        </w:tc>
        <w:tc>
          <w:tcPr>
            <w:tcW w:w="2700" w:type="dxa"/>
            <w:tcBorders/>
            <w:vAlign w:val="center"/>
          </w:tcPr>
          <w:p>
            <w:pPr>
              <w:jc w:val="right"/>
            </w:pPr>
            <w:r>
              <w:rPr>
                <w:rFonts w:ascii="宋体" w:eastAsia="宋体" w:hAnsi="宋体" w:cs="宋体"/>
                <w:b w:val="0"/>
                <w:i w:val="0"/>
                <w:color w:val="000000"/>
                <w:sz w:val="25"/>
              </w:rPr>
              <w:t xml:space="preserve">116.65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80.35</w:t>
            </w:r>
          </w:p>
        </w:tc>
        <w:tc>
          <w:tcPr>
            <w:tcW w:w="2700" w:type="dxa"/>
            <w:tcBorders/>
            <w:vAlign w:val="center"/>
          </w:tcPr>
          <w:p>
            <w:pPr>
              <w:jc w:val="right"/>
            </w:pPr>
            <w:r>
              <w:rPr>
                <w:rFonts w:ascii="宋体" w:eastAsia="宋体" w:hAnsi="宋体" w:cs="宋体"/>
                <w:b w:val="0"/>
                <w:i w:val="0"/>
                <w:color w:val="000000"/>
                <w:sz w:val="25"/>
              </w:rPr>
              <w:t xml:space="preserve">80.35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36.30</w:t>
            </w:r>
          </w:p>
        </w:tc>
        <w:tc>
          <w:tcPr>
            <w:tcW w:w="2700" w:type="dxa"/>
            <w:tcBorders/>
            <w:vAlign w:val="center"/>
          </w:tcPr>
          <w:p>
            <w:pPr>
              <w:jc w:val="right"/>
            </w:pPr>
            <w:r>
              <w:rPr>
                <w:rFonts w:ascii="宋体" w:eastAsia="宋体" w:hAnsi="宋体" w:cs="宋体"/>
                <w:b w:val="0"/>
                <w:i w:val="0"/>
                <w:color w:val="000000"/>
                <w:sz w:val="25"/>
              </w:rPr>
              <w:t xml:space="preserve">36.30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18.02</w:t>
            </w:r>
          </w:p>
        </w:tc>
        <w:tc>
          <w:tcPr>
            <w:tcW w:w="2700" w:type="dxa"/>
            <w:tcBorders/>
            <w:vAlign w:val="center"/>
          </w:tcPr>
          <w:p>
            <w:pPr>
              <w:jc w:val="right"/>
            </w:pPr>
            <w:r>
              <w:rPr>
                <w:rFonts w:ascii="宋体" w:eastAsia="宋体" w:hAnsi="宋体" w:cs="宋体"/>
                <w:b w:val="0"/>
                <w:i w:val="0"/>
                <w:color w:val="000000"/>
                <w:sz w:val="25"/>
              </w:rPr>
              <w:t xml:space="preserve">18.02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18.02</w:t>
            </w:r>
          </w:p>
        </w:tc>
        <w:tc>
          <w:tcPr>
            <w:tcW w:w="2700" w:type="dxa"/>
            <w:tcBorders/>
            <w:vAlign w:val="center"/>
          </w:tcPr>
          <w:p>
            <w:pPr>
              <w:jc w:val="right"/>
            </w:pPr>
            <w:r>
              <w:rPr>
                <w:rFonts w:ascii="宋体" w:eastAsia="宋体" w:hAnsi="宋体" w:cs="宋体"/>
                <w:b w:val="0"/>
                <w:i w:val="0"/>
                <w:color w:val="000000"/>
                <w:sz w:val="25"/>
              </w:rPr>
              <w:t xml:space="preserve">18.02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18.02</w:t>
            </w:r>
          </w:p>
        </w:tc>
        <w:tc>
          <w:tcPr>
            <w:tcW w:w="2700" w:type="dxa"/>
            <w:tcBorders/>
            <w:vAlign w:val="center"/>
          </w:tcPr>
          <w:p>
            <w:pPr>
              <w:jc w:val="right"/>
            </w:pPr>
            <w:r>
              <w:rPr>
                <w:rFonts w:ascii="宋体" w:eastAsia="宋体" w:hAnsi="宋体" w:cs="宋体"/>
                <w:b w:val="0"/>
                <w:i w:val="0"/>
                <w:color w:val="000000"/>
                <w:sz w:val="25"/>
              </w:rPr>
              <w:t xml:space="preserve">18.02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34.32</w:t>
            </w:r>
          </w:p>
        </w:tc>
        <w:tc>
          <w:tcPr>
            <w:tcW w:w="2700" w:type="dxa"/>
            <w:tcBorders/>
            <w:vAlign w:val="center"/>
          </w:tcPr>
          <w:p>
            <w:pPr>
              <w:jc w:val="right"/>
            </w:pPr>
            <w:r>
              <w:rPr>
                <w:rFonts w:ascii="宋体" w:eastAsia="宋体" w:hAnsi="宋体" w:cs="宋体"/>
                <w:b w:val="0"/>
                <w:i w:val="0"/>
                <w:color w:val="000000"/>
                <w:sz w:val="25"/>
              </w:rPr>
              <w:t xml:space="preserve">34.32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34.32</w:t>
            </w:r>
          </w:p>
        </w:tc>
        <w:tc>
          <w:tcPr>
            <w:tcW w:w="2700" w:type="dxa"/>
            <w:tcBorders/>
            <w:vAlign w:val="center"/>
          </w:tcPr>
          <w:p>
            <w:pPr>
              <w:jc w:val="right"/>
            </w:pPr>
            <w:r>
              <w:rPr>
                <w:rFonts w:ascii="宋体" w:eastAsia="宋体" w:hAnsi="宋体" w:cs="宋体"/>
                <w:b w:val="0"/>
                <w:i w:val="0"/>
                <w:color w:val="000000"/>
                <w:sz w:val="25"/>
              </w:rPr>
              <w:t xml:space="preserve">34.32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34.32</w:t>
            </w:r>
          </w:p>
        </w:tc>
        <w:tc>
          <w:tcPr>
            <w:tcW w:w="2700" w:type="dxa"/>
            <w:tcBorders/>
            <w:vAlign w:val="center"/>
          </w:tcPr>
          <w:p>
            <w:pPr>
              <w:jc w:val="right"/>
            </w:pPr>
            <w:r>
              <w:rPr>
                <w:rFonts w:ascii="宋体" w:eastAsia="宋体" w:hAnsi="宋体" w:cs="宋体"/>
                <w:b w:val="0"/>
                <w:i w:val="0"/>
                <w:color w:val="000000"/>
                <w:sz w:val="25"/>
              </w:rPr>
              <w:t xml:space="preserve">34.32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655.88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31.36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165.50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6.70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44.10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181.70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70.19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1.13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37.57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5.22</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0.52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17.91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24.34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4.65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34.92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79.64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82.33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1.44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82.33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1.90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3.20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3.23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738.21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31.36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单位：许昌市人民政府机关幼儿园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886.05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减少35.46万元，下降3.85%</w:t>
      </w:r>
      <w:r>
        <w:rPr>
          <w:rFonts w:ascii="仿宋" w:eastAsia="仿宋" w:hAnsi="仿宋" w:cs="仿宋" w:hint="eastAsia"/>
          <w:kern w:val="0"/>
          <w:sz w:val="32"/>
          <w:szCs w:val="32"/>
          <w:lang w:val="en-US" w:eastAsia="zh-CN"/>
        </w:rPr>
        <w:t xml:space="preserve">。主要原因是维修改造项目支出减少。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885.97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财政拨款收入885.97万元，占100.00%；上级补助收入0.00万元，占0.00%；事业收入0.00万元，占0.00%；经营收入0.00万元，占0.00%；附属单位上缴收入0.00万元，占0.00%；其他收入0.00万元，占0.00%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886.05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基本支出769.66万元，占86.86%；项目支出116.39万元，占13.14%；上缴上级支出0.00万元，占0.00%；经营支出0.00万元，占0.00%；对附属单位补助支出0.00万元，占0.00%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885.97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增加0.47万元，增长0.05%</w:t>
      </w:r>
      <w:r>
        <w:rPr>
          <w:rFonts w:ascii="仿宋" w:eastAsia="仿宋" w:hAnsi="仿宋" w:cs="仿宋" w:hint="eastAsia"/>
          <w:kern w:val="0"/>
          <w:sz w:val="32"/>
          <w:szCs w:val="32"/>
          <w:lang w:val="en-US" w:eastAsia="zh-CN"/>
        </w:rPr>
        <w:t xml:space="preserve">。主要原因是人员经费的增加。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885.97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99.99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增加0.47万元，增长0.05%</w:t>
      </w:r>
      <w:r>
        <w:rPr>
          <w:rFonts w:ascii="仿宋" w:eastAsia="仿宋" w:hAnsi="仿宋" w:cs="仿宋" w:hint="eastAsia"/>
          <w:kern w:val="0"/>
          <w:sz w:val="32"/>
          <w:szCs w:val="32"/>
          <w:lang w:val="en-US" w:eastAsia="zh-CN"/>
        </w:rPr>
        <w:t xml:space="preserve">。主要原因是人员经费的增加。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885.97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一般公共服务支出（类）3.20万元，占0.36%；教育支出（类）713.77万元，占80.56%；社会保障和就业支出（类）116.65万元，占13.17%；卫生健康支出（类）18.02万元，占2.03%；住房保障支出（类）34.32万元，占3.88%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902.12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885.97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98.21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年初预算数为3.20万元，决算数3.20万元,完成年初预算的100.00%，决算数与年初预算数不存在差异。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2.教育支出（类）普通教育（款）学前教育（项）</w:t>
      </w:r>
      <w:r>
        <w:rPr>
          <w:rFonts w:ascii="仿宋" w:eastAsia="仿宋" w:hAnsi="仿宋" w:cs="仿宋" w:hint="default"/>
          <w:kern w:val="2"/>
          <w:sz w:val="32"/>
          <w:szCs w:val="32"/>
          <w:lang w:val="en-US" w:eastAsia="zh-CN"/>
        </w:rPr>
        <w:t xml:space="preserve">年初预算数为669.29万元，决算数681.41万元,完成年初预算的101.81%，决算数与年初预算数存在差异的主要原因是拨付追加人员经费。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年初预算数为0.00万元，决算数32.36万元,决算数与年初预算数存在差异的主要原因是拨付教龄津贴及班主任津贴。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年初预算数为75.99万元，决算数80.35万元,完成年初预算的105.74%，决算数与年初预算数存在差异的主要原因是当年有在职转退休人员，退休人员经费增加。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年初预算数为36.30万元，决算数36.30万元,完成年初预算的100.00%，决算数与年初预算数不存在差异。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年初预算数为18.02万元，决算数18.02万元,完成年初预算的100.00%，决算数与年初预算数不存在差异。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年初预算数为34.32万元，决算数34.32万元,完成年初预算的100.00%，决算数与年初预算数不存在差异。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769.57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其中：人员经费738.21万元，主要包括：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公用经费31.36万元，主要包括：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主要用于公务用车加油维修保养及保险支出。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886.05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我单位按照《中共许昌市委 许昌市人民政府关于全面实施预算绩效管理的实施意见》（许发〔2021〕13号）文件要求，对本单位整体支出和项目支出开展全过程预算绩效管理。我单位严格履行预算绩效管理主体责任，建立健全绩效管理相关制度，积极组织开展预算绩效管理的相关培训，结合实际情况开展绩效目标申报、绩效监控、绩效自评等工作，并及时跟进绩效评价结果，提升预算绩效的管理水平，发挥财政资金的使用效益。今后，我单位将对照绩效评价中发现的问题及时跟进，不断提高预算绩效管理水平，提升财政资金使用效益</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基于项目预期目标的实现程度，我单位对2023年度单位预算项目支出（含单位参与分配的转移支付项目）开展绩效自评，涉及项目2个，项目金额129万元。其中：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提前下达2023年支持学前教育发展中央补助项目，自评得分为73分，等级为“中”。从项目绩效自评情况来看，项目绩效自评情况良好，存在问题为执行率偏低，原因为提前下达2023年支持学前教育发展中央补助资金未到位，未执行。今后，本园将继续以绩效目标为导向，做好绩效运行监控，加强绩效运行监控和评价结果应用，提高绩效管理水平，提升财政资金使用效益。附表项目自评表。</w:t>
        <w:br/>
        <w:t xml:space="preserve">    （2）校园维护项目，自评得分为92.48分，等级为“优”。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绩效自评情况良好，存在问题为执行率偏低，原因为幼儿人数减少，保教费收入减少，执行数降低。今后，本园将继续以绩效目标为导向，做好绩效运行监控，加强绩效运行监控和评价结果应用，提高绩效管理水平，提升财政资金使用效益。附表项目自评表。</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13525" w:type="dxa"/>
        <w:tblInd w:w="96" w:type="dxa"/>
        <w:tblCellMar>
          <w:top w:w="0" w:type="dxa"/>
          <w:left w:w="108" w:type="dxa"/>
          <w:bottom w:w="0" w:type="dxa"/>
          <w:right w:w="108" w:type="dxa"/>
        </w:tblCellMar>
        <w:tblLook w:val="0000" w:firstRow="0" w:lastRow="0" w:firstColumn="0" w:lastColumn="0" w:noHBand="0" w:noVBand="0"/>
      </w:tblPr>
      <w:tblGrid>
        <w:gridCol w:w="1054"/>
        <w:gridCol w:w="1285"/>
        <w:gridCol w:w="937"/>
        <w:gridCol w:w="780"/>
        <w:gridCol w:w="1762"/>
        <w:gridCol w:w="1285"/>
        <w:gridCol w:w="1714"/>
        <w:gridCol w:w="777"/>
        <w:gridCol w:w="718"/>
        <w:gridCol w:w="923"/>
        <w:gridCol w:w="937"/>
        <w:gridCol w:w="1353"/>
      </w:tblGrid>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3532" w:type="dxa"/>
            <w:gridSpan w:val="12"/>
            <w:tcBorders>
              <w:top w:val="nil"/>
              <w:left w:val="nil"/>
              <w:bottom w:val="nil"/>
              <w:right w:val="nil"/>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bidi="en-AU"/>
              </w:rPr>
              <w:t xml:space="preserve">单位整体支出绩效自评情况表</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0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单位名称</w:t>
            </w:r>
          </w:p>
        </w:tc>
        <w:tc>
          <w:tcPr>
            <w:tcW w:w="9472"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许昌市人民政府机关幼儿园</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单位整体支出情况</w:t>
            </w:r>
          </w:p>
        </w:tc>
        <w:tc>
          <w:tcPr>
            <w:tcW w:w="300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8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w="135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单位</w:t>
            </w:r>
            <w:r>
              <w:rPr>
                <w:rFonts w:ascii="宋体" w:eastAsia="宋体" w:hAnsi="宋体" w:cs="宋体"/>
                <w:i w:val="0"/>
                <w:iCs w:val="0"/>
                <w:color w:val="000000"/>
                <w:kern w:val="0"/>
                <w:sz w:val="18"/>
                <w:szCs w:val="18"/>
                <w:u w:val="none"/>
                <w:lang w:val="en-US" w:eastAsia="zh-CN" w:bidi="en-AU"/>
              </w:rPr>
              <w:t xml:space="preserve">预算总额（万元）</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902.12</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886.05</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886.05</w:t>
            </w:r>
          </w:p>
        </w:tc>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8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35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902.12</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886.05</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886.05</w:t>
            </w:r>
          </w:p>
        </w:tc>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5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5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5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w="6053"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642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40"/>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6053"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抓好教育教学工作，提高办学质量和办学效益，为幼儿提供更好的育人环境，保障幼儿园正常运转教育教学活动正常开展。</w:t>
            </w:r>
          </w:p>
        </w:tc>
        <w:tc>
          <w:tcPr>
            <w:tcW w:w="642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有效保障了幼儿园正常教育教学活动的开展并提高了教师教育教学质量及办园环境，整体上完成了年度预期目标。</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w="22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w="382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w="642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2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深化学前教育均衡发展</w:t>
            </w:r>
          </w:p>
        </w:tc>
        <w:tc>
          <w:tcPr>
            <w:tcW w:w="382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保障教育教学正常开展</w:t>
            </w:r>
            <w:r>
              <w:rPr>
                <w:rFonts w:ascii="宋体" w:hAnsi="宋体" w:cs="宋体" w:hint="eastAsia"/>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加强幼儿园环境及基础设施建设</w:t>
            </w:r>
            <w:r>
              <w:rPr>
                <w:rFonts w:ascii="宋体" w:hAnsi="宋体" w:cs="宋体" w:hint="eastAsia"/>
                <w:i w:val="0"/>
                <w:iCs w:val="0"/>
                <w:color w:val="000000"/>
                <w:kern w:val="0"/>
                <w:sz w:val="18"/>
                <w:szCs w:val="18"/>
                <w:u w:val="none"/>
                <w:lang w:val="en-US" w:eastAsia="zh-CN" w:bidi="en-AU"/>
              </w:rPr>
              <w:t xml:space="preserve">，办人民满意的幼儿园</w:t>
            </w:r>
          </w:p>
        </w:tc>
        <w:tc>
          <w:tcPr>
            <w:tcW w:w="642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有效保障教育教学正常开展</w:t>
            </w:r>
            <w:r>
              <w:rPr>
                <w:rFonts w:ascii="宋体" w:hAnsi="宋体" w:cs="宋体" w:hint="eastAsia"/>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加强幼儿园环境及基础设施建设</w:t>
            </w:r>
            <w:r>
              <w:rPr>
                <w:rFonts w:ascii="宋体" w:hAnsi="宋体" w:cs="宋体" w:hint="eastAsia"/>
                <w:i w:val="0"/>
                <w:iCs w:val="0"/>
                <w:color w:val="000000"/>
                <w:kern w:val="0"/>
                <w:sz w:val="18"/>
                <w:szCs w:val="18"/>
                <w:u w:val="none"/>
                <w:lang w:val="en-US" w:eastAsia="zh-CN" w:bidi="en-AU"/>
              </w:rPr>
              <w:t xml:space="preserve">。</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12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预算总投入</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886.05</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886.05</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保障幼儿数量</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-12.50%</w:t>
            </w: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幼儿人数减少。</w:t>
            </w: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幼儿享受服务质量</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优</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幼儿园办学水平</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提升</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w="176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幼儿家长满意程度</w:t>
            </w:r>
          </w:p>
        </w:tc>
        <w:tc>
          <w:tcPr>
            <w:tcW w:w="128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71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52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768"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77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71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c>
          <w:tcPr>
            <w:tcW w:w="22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bl>
    <w:p>
      <w:pPr>
        <w:pStyle w:val="Normal_3be15503-0063-48f6-859f-607fad4b608f"/>
        <w:sectPr>
          <w:pgSz w:w="16838" w:h="11906" w:orient="landscape"/>
          <w:pgMar w:top="1800" w:right="1440" w:bottom="1800" w:left="1440" w:header="851" w:footer="992" w:gutter="0"/>
          <w:docGrid w:type="lines" w:linePitch="312"/>
        </w:sectPr>
      </w:pPr>
    </w:p>
    <w:tbl>
      <w:tblPr>
        <w:tblStyle w:val="NormalTable0"/>
        <w:tblW w:w="13810" w:type="dxa"/>
        <w:tblInd w:w="93" w:type="dxa"/>
        <w:tblCellMar>
          <w:top w:w="0" w:type="dxa"/>
          <w:left w:w="108" w:type="dxa"/>
          <w:bottom w:w="0" w:type="dxa"/>
          <w:right w:w="108" w:type="dxa"/>
        </w:tblCellMar>
        <w:tblLook w:val="0000" w:firstRow="0" w:lastRow="0" w:firstColumn="0" w:lastColumn="0" w:noHBand="0" w:noVBand="0"/>
      </w:tblPr>
      <w:tblGrid>
        <w:gridCol w:w="575"/>
        <w:gridCol w:w="920"/>
        <w:gridCol w:w="1302"/>
        <w:gridCol w:w="835"/>
        <w:gridCol w:w="1020"/>
        <w:gridCol w:w="1861"/>
        <w:gridCol w:w="1179"/>
        <w:gridCol w:w="748"/>
        <w:gridCol w:w="995"/>
        <w:gridCol w:w="1100"/>
        <w:gridCol w:w="1017"/>
        <w:gridCol w:w="1059"/>
        <w:gridCol w:w="222"/>
        <w:gridCol w:w="977"/>
      </w:tblGrid>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3810" w:type="dxa"/>
            <w:gridSpan w:val="14"/>
            <w:tcBorders>
              <w:top w:val="nil"/>
              <w:left w:val="nil"/>
              <w:bottom w:val="nil"/>
              <w:right w:val="nil"/>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w="12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提前下</w:t>
            </w:r>
            <w:r>
              <w:rPr>
                <w:rFonts w:ascii="宋体" w:eastAsia="宋体" w:hAnsi="宋体" w:cs="宋体"/>
                <w:i w:val="0"/>
                <w:iCs w:val="0"/>
                <w:color w:val="000000"/>
                <w:kern w:val="0"/>
                <w:sz w:val="18"/>
                <w:szCs w:val="18"/>
                <w:u w:val="none"/>
                <w:lang w:val="en-US" w:eastAsia="zh-CN" w:bidi="en-AU"/>
              </w:rPr>
              <w:t xml:space="preserve">达</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年支持学前教育发展中央补助</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w="5018"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许昌市教育局</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w="537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许昌市人民政府机关幼儿园</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64</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64</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17" w:type="dxa"/>
            <w:tcBorders>
              <w:top w:val="nil"/>
              <w:left w:val="nil"/>
              <w:bottom w:val="nil"/>
              <w:right w:val="nil"/>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64</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64</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w="5938"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7297"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5938"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进一步提升幼儿园环境建设，改善办园条件。</w:t>
            </w:r>
          </w:p>
        </w:tc>
        <w:tc>
          <w:tcPr>
            <w:tcW w:w="7297"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通过此项目的实施，进一步提升了幼儿园的办园环境及相关设施，改善了办园条件，整体上基本完成了年度预期目标。</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92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预算投入</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万元</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30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维护园区面积</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320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平方米</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320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平方米</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服务师生人数</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45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45</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提升教学环境有效性</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有效提升</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80%</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幼儿园教学环境仍有提升空间</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幼儿园设施质量</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提升</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80%</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幼儿园设施仍有提升空间</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w="130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家长满意度</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教职工满意度</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865"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73</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c>
          <w:tcPr>
            <w:tcW w:w="977" w:type="dxa"/>
            <w:tcBorders>
              <w:top w:val="nil"/>
              <w:left w:val="nil"/>
              <w:bottom w:val="nil"/>
              <w:right w:val="nil"/>
            </w:tcBorders>
            <w:noWrap w:val="1"/>
            <w:vAlign w:val="center"/>
          </w:tcPr>
          <w:p>
            <w:pPr>
              <w:pStyle w:val="Normal_3be15503-0063-48f6-859f-607fad4b608f"/>
              <w:rPr>
                <w:rFonts w:ascii="宋体" w:eastAsia="宋体" w:hAnsi="宋体" w:cs="宋体" w:hint="eastAsia"/>
                <w:i w:val="0"/>
                <w:iCs w:val="0"/>
                <w:color w:val="000000"/>
                <w:sz w:val="22"/>
                <w:szCs w:val="22"/>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3810" w:type="dxa"/>
            <w:gridSpan w:val="14"/>
            <w:tcBorders>
              <w:top w:val="nil"/>
              <w:left w:val="nil"/>
              <w:bottom w:val="nil"/>
              <w:right w:val="nil"/>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3be15503-0063-48f6-859f-607fad4b608f"/>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3be15503-0063-48f6-859f-607fad4b608f"/>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3be15503-0063-48f6-859f-607fad4b608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w="12315" w:type="dxa"/>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校园维护</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w="5018"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许昌市教育局</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w="5370"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许昌市人民政府机关幼儿园</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65</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24.24</w:t>
            </w:r>
          </w:p>
        </w:tc>
        <w:tc>
          <w:tcPr>
            <w:tcW w:w="1017" w:type="dxa"/>
            <w:tcBorders>
              <w:top w:val="nil"/>
              <w:left w:val="nil"/>
              <w:bottom w:val="nil"/>
              <w:right w:val="nil"/>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37.29</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3.73</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65</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24.24</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37.29</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w="28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2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149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13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w="40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w="748"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4375"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w="5938"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w="7297"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06"/>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5938"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抓好教育教学工作，提高办学质量和办学效益，为幼儿提供更好的育人环境，保障幼儿园正常运转教育教学活动正常开展。</w:t>
            </w:r>
          </w:p>
        </w:tc>
        <w:tc>
          <w:tcPr>
            <w:tcW w:w="7297"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通过此项目实施，有效保障了幼儿园正常教育教学活动的开展并提高了教师教育教学质量及办园环境，整体上完成了年度预期目标。</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w="92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学校水电暖、维修、设备正常运转及公务等费用</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万元</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24.2</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万元</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97"/>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w="130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学生人数</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教学楼数量</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栋</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栋</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大型玩具</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个</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个</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单位工作正常运转率</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维修及时率</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采购教学、办公用品的及时性</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及时</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供暖时间</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w:t>
            </w:r>
            <w:r>
              <w:rPr>
                <w:rFonts w:ascii="宋体" w:eastAsia="宋体" w:hAnsi="宋体" w:cs="宋体"/>
                <w:i w:val="0"/>
                <w:iCs w:val="0"/>
                <w:color w:val="000000"/>
                <w:kern w:val="0"/>
                <w:sz w:val="18"/>
                <w:szCs w:val="18"/>
                <w:u w:val="none"/>
                <w:lang w:val="en-US" w:eastAsia="zh-CN" w:bidi="en-AU"/>
              </w:rPr>
              <w:t xml:space="preserve">11-202</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年</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月</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学前教育持续均衡发展</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引领学前教育发展</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23.75</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幼儿园对学前教育发展贡献仍有提升空间</w:t>
            </w: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92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w="1302"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w="185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家长满意度</w:t>
            </w:r>
          </w:p>
        </w:tc>
        <w:tc>
          <w:tcPr>
            <w:tcW w:w="1861"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w="192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99%</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r>
        <w:tblPrEx>
          <w:tblW w:w="1381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w="57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7865"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w="995"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w="1100" w:type="dxa"/>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92.48</w:t>
            </w:r>
          </w:p>
        </w:tc>
        <w:tc>
          <w:tcPr>
            <w:tcW w:w="207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c>
          <w:tcPr>
            <w:tcW w:w="11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be15503-0063-48f6-859f-607fad4b608f"/>
              <w:jc w:val="center"/>
              <w:rPr>
                <w:rFonts w:ascii="宋体" w:eastAsia="宋体" w:hAnsi="宋体" w:cs="宋体" w:hint="eastAsia"/>
                <w:i w:val="0"/>
                <w:iCs w:val="0"/>
                <w:color w:val="000000"/>
                <w:sz w:val="18"/>
                <w:szCs w:val="18"/>
                <w:u w:val="none"/>
              </w:rPr>
            </w:pPr>
          </w:p>
        </w:tc>
      </w:tr>
    </w:tbl>
    <w:p>
      <w:pPr>
        <w:pStyle w:val="Normal_3be15503-0063-48f6-859f-607fad4b608f"/>
      </w:pPr>
    </w:p>
    <w:p>
      <w:pPr>
        <w:pStyle w:val="Normal_3be15503-0063-48f6-859f-607fad4b608f"/>
        <w:sectPr>
          <w:pgSz w:w="16838" w:h="11906" w:orient="landscape"/>
          <w:pgMar w:top="1800" w:right="1440" w:bottom="1236"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be15503-0063-48f6-859f-607fad4b608f">
    <w:name w:val="Normal_3be15503-0063-48f6-859f-607fad4b608f"/>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