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许昌市交通局交通工程定额质量监督站</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许昌市交通局交通工程定额质量监督站</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许昌市交通局交通工程定额质量监督站概况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主要承担全市公路水运工程建设的质量安全生产监督和定额管理职能。</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许昌市交通局交通工程定额质量监督站</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4</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综安科、监督监理科、定额造价科、试验监测科</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许昌市交通局交通工程定额质量监督站</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许昌市交通局交通工程定额质量监督站</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单位：许昌市交通局交通工程定额质量监督站</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181.51</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0.87</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27.43</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5.00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139.22</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8.98</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181.51</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181.51</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181.51</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181.51</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单位：许昌市交通局交通工程定额质量监督站</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181.51</w:t>
            </w:r>
          </w:p>
        </w:tc>
        <w:tc>
          <w:tcPr>
            <w:tcW w:w="1440" w:type="dxa"/>
            <w:tcBorders/>
            <w:vAlign w:val="center"/>
          </w:tcPr>
          <w:p>
            <w:pPr>
              <w:jc w:val="right"/>
            </w:pPr>
            <w:r>
              <w:rPr>
                <w:rFonts w:ascii="宋体" w:eastAsia="宋体" w:hAnsi="宋体" w:cs="宋体"/>
                <w:b/>
                <w:i w:val="0"/>
                <w:color w:val="000000"/>
                <w:sz w:val="17"/>
              </w:rPr>
              <w:t xml:space="preserve">181.51</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0.87</w:t>
            </w:r>
          </w:p>
        </w:tc>
        <w:tc>
          <w:tcPr>
            <w:tcW w:w="1440" w:type="dxa"/>
            <w:tcBorders/>
            <w:vAlign w:val="center"/>
          </w:tcPr>
          <w:p>
            <w:pPr>
              <w:jc w:val="right"/>
            </w:pPr>
            <w:r>
              <w:rPr>
                <w:rFonts w:ascii="宋体" w:eastAsia="宋体" w:hAnsi="宋体" w:cs="宋体"/>
                <w:b w:val="0"/>
                <w:i w:val="0"/>
                <w:color w:val="000000"/>
                <w:sz w:val="17"/>
              </w:rPr>
              <w:t xml:space="preserve">0.87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0.87</w:t>
            </w:r>
          </w:p>
        </w:tc>
        <w:tc>
          <w:tcPr>
            <w:tcW w:w="1440" w:type="dxa"/>
            <w:tcBorders/>
            <w:vAlign w:val="center"/>
          </w:tcPr>
          <w:p>
            <w:pPr>
              <w:jc w:val="right"/>
            </w:pPr>
            <w:r>
              <w:rPr>
                <w:rFonts w:ascii="宋体" w:eastAsia="宋体" w:hAnsi="宋体" w:cs="宋体"/>
                <w:b w:val="0"/>
                <w:i w:val="0"/>
                <w:color w:val="000000"/>
                <w:sz w:val="17"/>
              </w:rPr>
              <w:t xml:space="preserve">0.87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0.87</w:t>
            </w:r>
          </w:p>
        </w:tc>
        <w:tc>
          <w:tcPr>
            <w:tcW w:w="1440" w:type="dxa"/>
            <w:tcBorders/>
            <w:vAlign w:val="center"/>
          </w:tcPr>
          <w:p>
            <w:pPr>
              <w:jc w:val="right"/>
            </w:pPr>
            <w:r>
              <w:rPr>
                <w:rFonts w:ascii="宋体" w:eastAsia="宋体" w:hAnsi="宋体" w:cs="宋体"/>
                <w:b w:val="0"/>
                <w:i w:val="0"/>
                <w:color w:val="000000"/>
                <w:sz w:val="17"/>
              </w:rPr>
              <w:t xml:space="preserve">0.87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27.43</w:t>
            </w:r>
          </w:p>
        </w:tc>
        <w:tc>
          <w:tcPr>
            <w:tcW w:w="1440" w:type="dxa"/>
            <w:tcBorders/>
            <w:vAlign w:val="center"/>
          </w:tcPr>
          <w:p>
            <w:pPr>
              <w:jc w:val="right"/>
            </w:pPr>
            <w:r>
              <w:rPr>
                <w:rFonts w:ascii="宋体" w:eastAsia="宋体" w:hAnsi="宋体" w:cs="宋体"/>
                <w:b w:val="0"/>
                <w:i w:val="0"/>
                <w:color w:val="000000"/>
                <w:sz w:val="17"/>
              </w:rPr>
              <w:t xml:space="preserve">27.43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27.43</w:t>
            </w:r>
          </w:p>
        </w:tc>
        <w:tc>
          <w:tcPr>
            <w:tcW w:w="1440" w:type="dxa"/>
            <w:tcBorders/>
            <w:vAlign w:val="center"/>
          </w:tcPr>
          <w:p>
            <w:pPr>
              <w:jc w:val="right"/>
            </w:pPr>
            <w:r>
              <w:rPr>
                <w:rFonts w:ascii="宋体" w:eastAsia="宋体" w:hAnsi="宋体" w:cs="宋体"/>
                <w:b w:val="0"/>
                <w:i w:val="0"/>
                <w:color w:val="000000"/>
                <w:sz w:val="17"/>
              </w:rPr>
              <w:t xml:space="preserve">27.43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17.22</w:t>
            </w:r>
          </w:p>
        </w:tc>
        <w:tc>
          <w:tcPr>
            <w:tcW w:w="1440" w:type="dxa"/>
            <w:tcBorders/>
            <w:vAlign w:val="center"/>
          </w:tcPr>
          <w:p>
            <w:pPr>
              <w:jc w:val="right"/>
            </w:pPr>
            <w:r>
              <w:rPr>
                <w:rFonts w:ascii="宋体" w:eastAsia="宋体" w:hAnsi="宋体" w:cs="宋体"/>
                <w:b w:val="0"/>
                <w:i w:val="0"/>
                <w:color w:val="000000"/>
                <w:sz w:val="17"/>
              </w:rPr>
              <w:t xml:space="preserve">17.22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10.21</w:t>
            </w:r>
          </w:p>
        </w:tc>
        <w:tc>
          <w:tcPr>
            <w:tcW w:w="1440" w:type="dxa"/>
            <w:tcBorders/>
            <w:vAlign w:val="center"/>
          </w:tcPr>
          <w:p>
            <w:pPr>
              <w:jc w:val="right"/>
            </w:pPr>
            <w:r>
              <w:rPr>
                <w:rFonts w:ascii="宋体" w:eastAsia="宋体" w:hAnsi="宋体" w:cs="宋体"/>
                <w:b w:val="0"/>
                <w:i w:val="0"/>
                <w:color w:val="000000"/>
                <w:sz w:val="17"/>
              </w:rPr>
              <w:t xml:space="preserve">10.21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5.00</w:t>
            </w:r>
          </w:p>
        </w:tc>
        <w:tc>
          <w:tcPr>
            <w:tcW w:w="1440" w:type="dxa"/>
            <w:tcBorders/>
            <w:vAlign w:val="center"/>
          </w:tcPr>
          <w:p>
            <w:pPr>
              <w:jc w:val="right"/>
            </w:pPr>
            <w:r>
              <w:rPr>
                <w:rFonts w:ascii="宋体" w:eastAsia="宋体" w:hAnsi="宋体" w:cs="宋体"/>
                <w:b w:val="0"/>
                <w:i w:val="0"/>
                <w:color w:val="000000"/>
                <w:sz w:val="17"/>
              </w:rPr>
              <w:t xml:space="preserve">5.00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5.00</w:t>
            </w:r>
          </w:p>
        </w:tc>
        <w:tc>
          <w:tcPr>
            <w:tcW w:w="1440" w:type="dxa"/>
            <w:tcBorders/>
            <w:vAlign w:val="center"/>
          </w:tcPr>
          <w:p>
            <w:pPr>
              <w:jc w:val="right"/>
            </w:pPr>
            <w:r>
              <w:rPr>
                <w:rFonts w:ascii="宋体" w:eastAsia="宋体" w:hAnsi="宋体" w:cs="宋体"/>
                <w:b w:val="0"/>
                <w:i w:val="0"/>
                <w:color w:val="000000"/>
                <w:sz w:val="17"/>
              </w:rPr>
              <w:t xml:space="preserve">5.00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5.00</w:t>
            </w:r>
          </w:p>
        </w:tc>
        <w:tc>
          <w:tcPr>
            <w:tcW w:w="1440" w:type="dxa"/>
            <w:tcBorders/>
            <w:vAlign w:val="center"/>
          </w:tcPr>
          <w:p>
            <w:pPr>
              <w:jc w:val="right"/>
            </w:pPr>
            <w:r>
              <w:rPr>
                <w:rFonts w:ascii="宋体" w:eastAsia="宋体" w:hAnsi="宋体" w:cs="宋体"/>
                <w:b w:val="0"/>
                <w:i w:val="0"/>
                <w:color w:val="000000"/>
                <w:sz w:val="17"/>
              </w:rPr>
              <w:t xml:space="preserve">5.00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交通运输支出</w:t>
            </w:r>
          </w:p>
        </w:tc>
        <w:tc>
          <w:tcPr>
            <w:tcW w:w="1440" w:type="dxa"/>
            <w:tcBorders/>
            <w:vAlign w:val="center"/>
          </w:tcPr>
          <w:p>
            <w:pPr>
              <w:jc w:val="right"/>
            </w:pPr>
            <w:r>
              <w:rPr>
                <w:rFonts w:ascii="宋体" w:eastAsia="宋体" w:hAnsi="宋体" w:cs="宋体"/>
                <w:b w:val="0"/>
                <w:i w:val="0"/>
                <w:color w:val="000000"/>
                <w:sz w:val="17"/>
              </w:rPr>
              <w:t xml:space="preserve">139.22</w:t>
            </w:r>
          </w:p>
        </w:tc>
        <w:tc>
          <w:tcPr>
            <w:tcW w:w="1440" w:type="dxa"/>
            <w:tcBorders/>
            <w:vAlign w:val="center"/>
          </w:tcPr>
          <w:p>
            <w:pPr>
              <w:jc w:val="right"/>
            </w:pPr>
            <w:r>
              <w:rPr>
                <w:rFonts w:ascii="宋体" w:eastAsia="宋体" w:hAnsi="宋体" w:cs="宋体"/>
                <w:b w:val="0"/>
                <w:i w:val="0"/>
                <w:color w:val="000000"/>
                <w:sz w:val="17"/>
              </w:rPr>
              <w:t xml:space="preserve">139.22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公路水路运输</w:t>
            </w:r>
          </w:p>
        </w:tc>
        <w:tc>
          <w:tcPr>
            <w:tcW w:w="1440" w:type="dxa"/>
            <w:tcBorders/>
            <w:vAlign w:val="center"/>
          </w:tcPr>
          <w:p>
            <w:pPr>
              <w:jc w:val="right"/>
            </w:pPr>
            <w:r>
              <w:rPr>
                <w:rFonts w:ascii="宋体" w:eastAsia="宋体" w:hAnsi="宋体" w:cs="宋体"/>
                <w:b w:val="0"/>
                <w:i w:val="0"/>
                <w:color w:val="000000"/>
                <w:sz w:val="17"/>
              </w:rPr>
              <w:t xml:space="preserve">125.94</w:t>
            </w:r>
          </w:p>
        </w:tc>
        <w:tc>
          <w:tcPr>
            <w:tcW w:w="1440" w:type="dxa"/>
            <w:tcBorders/>
            <w:vAlign w:val="center"/>
          </w:tcPr>
          <w:p>
            <w:pPr>
              <w:jc w:val="right"/>
            </w:pPr>
            <w:r>
              <w:rPr>
                <w:rFonts w:ascii="宋体" w:eastAsia="宋体" w:hAnsi="宋体" w:cs="宋体"/>
                <w:b w:val="0"/>
                <w:i w:val="0"/>
                <w:color w:val="000000"/>
                <w:sz w:val="17"/>
              </w:rPr>
              <w:t xml:space="preserve">125.94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其他公路水路运输支出</w:t>
            </w:r>
          </w:p>
        </w:tc>
        <w:tc>
          <w:tcPr>
            <w:tcW w:w="1440" w:type="dxa"/>
            <w:tcBorders/>
            <w:vAlign w:val="center"/>
          </w:tcPr>
          <w:p>
            <w:pPr>
              <w:jc w:val="right"/>
            </w:pPr>
            <w:r>
              <w:rPr>
                <w:rFonts w:ascii="宋体" w:eastAsia="宋体" w:hAnsi="宋体" w:cs="宋体"/>
                <w:b w:val="0"/>
                <w:i w:val="0"/>
                <w:color w:val="000000"/>
                <w:sz w:val="17"/>
              </w:rPr>
              <w:t xml:space="preserve">125.94</w:t>
            </w:r>
          </w:p>
        </w:tc>
        <w:tc>
          <w:tcPr>
            <w:tcW w:w="1440" w:type="dxa"/>
            <w:tcBorders/>
            <w:vAlign w:val="center"/>
          </w:tcPr>
          <w:p>
            <w:pPr>
              <w:jc w:val="right"/>
            </w:pPr>
            <w:r>
              <w:rPr>
                <w:rFonts w:ascii="宋体" w:eastAsia="宋体" w:hAnsi="宋体" w:cs="宋体"/>
                <w:b w:val="0"/>
                <w:i w:val="0"/>
                <w:color w:val="000000"/>
                <w:sz w:val="17"/>
              </w:rPr>
              <w:t xml:space="preserve">125.94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其他交通运输支出</w:t>
            </w:r>
          </w:p>
        </w:tc>
        <w:tc>
          <w:tcPr>
            <w:tcW w:w="1440" w:type="dxa"/>
            <w:tcBorders/>
            <w:vAlign w:val="center"/>
          </w:tcPr>
          <w:p>
            <w:pPr>
              <w:jc w:val="right"/>
            </w:pPr>
            <w:r>
              <w:rPr>
                <w:rFonts w:ascii="宋体" w:eastAsia="宋体" w:hAnsi="宋体" w:cs="宋体"/>
                <w:b w:val="0"/>
                <w:i w:val="0"/>
                <w:color w:val="000000"/>
                <w:sz w:val="17"/>
              </w:rPr>
              <w:t xml:space="preserve">13.28</w:t>
            </w:r>
          </w:p>
        </w:tc>
        <w:tc>
          <w:tcPr>
            <w:tcW w:w="1440" w:type="dxa"/>
            <w:tcBorders/>
            <w:vAlign w:val="center"/>
          </w:tcPr>
          <w:p>
            <w:pPr>
              <w:jc w:val="right"/>
            </w:pPr>
            <w:r>
              <w:rPr>
                <w:rFonts w:ascii="宋体" w:eastAsia="宋体" w:hAnsi="宋体" w:cs="宋体"/>
                <w:b w:val="0"/>
                <w:i w:val="0"/>
                <w:color w:val="000000"/>
                <w:sz w:val="17"/>
              </w:rPr>
              <w:t xml:space="preserve">13.28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其他交通运输支出</w:t>
            </w:r>
          </w:p>
        </w:tc>
        <w:tc>
          <w:tcPr>
            <w:tcW w:w="1440" w:type="dxa"/>
            <w:tcBorders/>
            <w:vAlign w:val="center"/>
          </w:tcPr>
          <w:p>
            <w:pPr>
              <w:jc w:val="right"/>
            </w:pPr>
            <w:r>
              <w:rPr>
                <w:rFonts w:ascii="宋体" w:eastAsia="宋体" w:hAnsi="宋体" w:cs="宋体"/>
                <w:b w:val="0"/>
                <w:i w:val="0"/>
                <w:color w:val="000000"/>
                <w:sz w:val="17"/>
              </w:rPr>
              <w:t xml:space="preserve">13.28</w:t>
            </w:r>
          </w:p>
        </w:tc>
        <w:tc>
          <w:tcPr>
            <w:tcW w:w="1440" w:type="dxa"/>
            <w:tcBorders/>
            <w:vAlign w:val="center"/>
          </w:tcPr>
          <w:p>
            <w:pPr>
              <w:jc w:val="right"/>
            </w:pPr>
            <w:r>
              <w:rPr>
                <w:rFonts w:ascii="宋体" w:eastAsia="宋体" w:hAnsi="宋体" w:cs="宋体"/>
                <w:b w:val="0"/>
                <w:i w:val="0"/>
                <w:color w:val="000000"/>
                <w:sz w:val="17"/>
              </w:rPr>
              <w:t xml:space="preserve">13.28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8.98</w:t>
            </w:r>
          </w:p>
        </w:tc>
        <w:tc>
          <w:tcPr>
            <w:tcW w:w="1440" w:type="dxa"/>
            <w:tcBorders/>
            <w:vAlign w:val="center"/>
          </w:tcPr>
          <w:p>
            <w:pPr>
              <w:jc w:val="right"/>
            </w:pPr>
            <w:r>
              <w:rPr>
                <w:rFonts w:ascii="宋体" w:eastAsia="宋体" w:hAnsi="宋体" w:cs="宋体"/>
                <w:b w:val="0"/>
                <w:i w:val="0"/>
                <w:color w:val="000000"/>
                <w:sz w:val="17"/>
              </w:rPr>
              <w:t xml:space="preserve">8.98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8.98</w:t>
            </w:r>
          </w:p>
        </w:tc>
        <w:tc>
          <w:tcPr>
            <w:tcW w:w="1440" w:type="dxa"/>
            <w:tcBorders/>
            <w:vAlign w:val="center"/>
          </w:tcPr>
          <w:p>
            <w:pPr>
              <w:jc w:val="right"/>
            </w:pPr>
            <w:r>
              <w:rPr>
                <w:rFonts w:ascii="宋体" w:eastAsia="宋体" w:hAnsi="宋体" w:cs="宋体"/>
                <w:b w:val="0"/>
                <w:i w:val="0"/>
                <w:color w:val="000000"/>
                <w:sz w:val="17"/>
              </w:rPr>
              <w:t xml:space="preserve">8.98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8.98</w:t>
            </w:r>
          </w:p>
        </w:tc>
        <w:tc>
          <w:tcPr>
            <w:tcW w:w="1440" w:type="dxa"/>
            <w:tcBorders/>
            <w:vAlign w:val="center"/>
          </w:tcPr>
          <w:p>
            <w:pPr>
              <w:jc w:val="right"/>
            </w:pPr>
            <w:r>
              <w:rPr>
                <w:rFonts w:ascii="宋体" w:eastAsia="宋体" w:hAnsi="宋体" w:cs="宋体"/>
                <w:b w:val="0"/>
                <w:i w:val="0"/>
                <w:color w:val="000000"/>
                <w:sz w:val="17"/>
              </w:rPr>
              <w:t xml:space="preserve">8.98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单位：许昌市交通局交通工程定额质量监督站</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181.51</w:t>
            </w:r>
          </w:p>
        </w:tc>
        <w:tc>
          <w:tcPr>
            <w:tcW w:w="1600" w:type="dxa"/>
            <w:tcBorders/>
            <w:vAlign w:val="center"/>
          </w:tcPr>
          <w:p>
            <w:pPr>
              <w:jc w:val="right"/>
            </w:pPr>
            <w:r>
              <w:rPr>
                <w:rFonts w:ascii="宋体" w:eastAsia="宋体" w:hAnsi="宋体" w:cs="宋体"/>
                <w:b/>
                <w:i w:val="0"/>
                <w:color w:val="000000"/>
                <w:sz w:val="19"/>
              </w:rPr>
              <w:t xml:space="preserve">181.51</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0.87</w:t>
            </w:r>
          </w:p>
        </w:tc>
        <w:tc>
          <w:tcPr>
            <w:tcW w:w="1600" w:type="dxa"/>
            <w:tcBorders/>
            <w:vAlign w:val="center"/>
          </w:tcPr>
          <w:p>
            <w:pPr>
              <w:jc w:val="right"/>
            </w:pPr>
            <w:r>
              <w:rPr>
                <w:rFonts w:ascii="宋体" w:eastAsia="宋体" w:hAnsi="宋体" w:cs="宋体"/>
                <w:b w:val="0"/>
                <w:i w:val="0"/>
                <w:color w:val="000000"/>
                <w:sz w:val="19"/>
              </w:rPr>
              <w:t xml:space="preserve">0.87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0.87</w:t>
            </w:r>
          </w:p>
        </w:tc>
        <w:tc>
          <w:tcPr>
            <w:tcW w:w="1600" w:type="dxa"/>
            <w:tcBorders/>
            <w:vAlign w:val="center"/>
          </w:tcPr>
          <w:p>
            <w:pPr>
              <w:jc w:val="right"/>
            </w:pPr>
            <w:r>
              <w:rPr>
                <w:rFonts w:ascii="宋体" w:eastAsia="宋体" w:hAnsi="宋体" w:cs="宋体"/>
                <w:b w:val="0"/>
                <w:i w:val="0"/>
                <w:color w:val="000000"/>
                <w:sz w:val="19"/>
              </w:rPr>
              <w:t xml:space="preserve">0.87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0.87</w:t>
            </w:r>
          </w:p>
        </w:tc>
        <w:tc>
          <w:tcPr>
            <w:tcW w:w="1600" w:type="dxa"/>
            <w:tcBorders/>
            <w:vAlign w:val="center"/>
          </w:tcPr>
          <w:p>
            <w:pPr>
              <w:jc w:val="right"/>
            </w:pPr>
            <w:r>
              <w:rPr>
                <w:rFonts w:ascii="宋体" w:eastAsia="宋体" w:hAnsi="宋体" w:cs="宋体"/>
                <w:b w:val="0"/>
                <w:i w:val="0"/>
                <w:color w:val="000000"/>
                <w:sz w:val="19"/>
              </w:rPr>
              <w:t xml:space="preserve">0.87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27.43</w:t>
            </w:r>
          </w:p>
        </w:tc>
        <w:tc>
          <w:tcPr>
            <w:tcW w:w="1600" w:type="dxa"/>
            <w:tcBorders/>
            <w:vAlign w:val="center"/>
          </w:tcPr>
          <w:p>
            <w:pPr>
              <w:jc w:val="right"/>
            </w:pPr>
            <w:r>
              <w:rPr>
                <w:rFonts w:ascii="宋体" w:eastAsia="宋体" w:hAnsi="宋体" w:cs="宋体"/>
                <w:b w:val="0"/>
                <w:i w:val="0"/>
                <w:color w:val="000000"/>
                <w:sz w:val="19"/>
              </w:rPr>
              <w:t xml:space="preserve">27.43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27.43</w:t>
            </w:r>
          </w:p>
        </w:tc>
        <w:tc>
          <w:tcPr>
            <w:tcW w:w="1600" w:type="dxa"/>
            <w:tcBorders/>
            <w:vAlign w:val="center"/>
          </w:tcPr>
          <w:p>
            <w:pPr>
              <w:jc w:val="right"/>
            </w:pPr>
            <w:r>
              <w:rPr>
                <w:rFonts w:ascii="宋体" w:eastAsia="宋体" w:hAnsi="宋体" w:cs="宋体"/>
                <w:b w:val="0"/>
                <w:i w:val="0"/>
                <w:color w:val="000000"/>
                <w:sz w:val="19"/>
              </w:rPr>
              <w:t xml:space="preserve">27.43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17.22</w:t>
            </w:r>
          </w:p>
        </w:tc>
        <w:tc>
          <w:tcPr>
            <w:tcW w:w="1600" w:type="dxa"/>
            <w:tcBorders/>
            <w:vAlign w:val="center"/>
          </w:tcPr>
          <w:p>
            <w:pPr>
              <w:jc w:val="right"/>
            </w:pPr>
            <w:r>
              <w:rPr>
                <w:rFonts w:ascii="宋体" w:eastAsia="宋体" w:hAnsi="宋体" w:cs="宋体"/>
                <w:b w:val="0"/>
                <w:i w:val="0"/>
                <w:color w:val="000000"/>
                <w:sz w:val="19"/>
              </w:rPr>
              <w:t xml:space="preserve">17.22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10.21</w:t>
            </w:r>
          </w:p>
        </w:tc>
        <w:tc>
          <w:tcPr>
            <w:tcW w:w="1600" w:type="dxa"/>
            <w:tcBorders/>
            <w:vAlign w:val="center"/>
          </w:tcPr>
          <w:p>
            <w:pPr>
              <w:jc w:val="right"/>
            </w:pPr>
            <w:r>
              <w:rPr>
                <w:rFonts w:ascii="宋体" w:eastAsia="宋体" w:hAnsi="宋体" w:cs="宋体"/>
                <w:b w:val="0"/>
                <w:i w:val="0"/>
                <w:color w:val="000000"/>
                <w:sz w:val="19"/>
              </w:rPr>
              <w:t xml:space="preserve">10.21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5.00</w:t>
            </w:r>
          </w:p>
        </w:tc>
        <w:tc>
          <w:tcPr>
            <w:tcW w:w="1600" w:type="dxa"/>
            <w:tcBorders/>
            <w:vAlign w:val="center"/>
          </w:tcPr>
          <w:p>
            <w:pPr>
              <w:jc w:val="right"/>
            </w:pPr>
            <w:r>
              <w:rPr>
                <w:rFonts w:ascii="宋体" w:eastAsia="宋体" w:hAnsi="宋体" w:cs="宋体"/>
                <w:b w:val="0"/>
                <w:i w:val="0"/>
                <w:color w:val="000000"/>
                <w:sz w:val="19"/>
              </w:rPr>
              <w:t xml:space="preserve">5.00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5.00</w:t>
            </w:r>
          </w:p>
        </w:tc>
        <w:tc>
          <w:tcPr>
            <w:tcW w:w="1600" w:type="dxa"/>
            <w:tcBorders/>
            <w:vAlign w:val="center"/>
          </w:tcPr>
          <w:p>
            <w:pPr>
              <w:jc w:val="right"/>
            </w:pPr>
            <w:r>
              <w:rPr>
                <w:rFonts w:ascii="宋体" w:eastAsia="宋体" w:hAnsi="宋体" w:cs="宋体"/>
                <w:b w:val="0"/>
                <w:i w:val="0"/>
                <w:color w:val="000000"/>
                <w:sz w:val="19"/>
              </w:rPr>
              <w:t xml:space="preserve">5.00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5.00</w:t>
            </w:r>
          </w:p>
        </w:tc>
        <w:tc>
          <w:tcPr>
            <w:tcW w:w="1600" w:type="dxa"/>
            <w:tcBorders/>
            <w:vAlign w:val="center"/>
          </w:tcPr>
          <w:p>
            <w:pPr>
              <w:jc w:val="right"/>
            </w:pPr>
            <w:r>
              <w:rPr>
                <w:rFonts w:ascii="宋体" w:eastAsia="宋体" w:hAnsi="宋体" w:cs="宋体"/>
                <w:b w:val="0"/>
                <w:i w:val="0"/>
                <w:color w:val="000000"/>
                <w:sz w:val="19"/>
              </w:rPr>
              <w:t xml:space="preserve">5.00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交通运输支出</w:t>
            </w:r>
          </w:p>
        </w:tc>
        <w:tc>
          <w:tcPr>
            <w:tcW w:w="1600" w:type="dxa"/>
            <w:tcBorders/>
            <w:vAlign w:val="center"/>
          </w:tcPr>
          <w:p>
            <w:pPr>
              <w:jc w:val="right"/>
            </w:pPr>
            <w:r>
              <w:rPr>
                <w:rFonts w:ascii="宋体" w:eastAsia="宋体" w:hAnsi="宋体" w:cs="宋体"/>
                <w:b w:val="0"/>
                <w:i w:val="0"/>
                <w:color w:val="000000"/>
                <w:sz w:val="19"/>
              </w:rPr>
              <w:t xml:space="preserve">139.22</w:t>
            </w:r>
          </w:p>
        </w:tc>
        <w:tc>
          <w:tcPr>
            <w:tcW w:w="1600" w:type="dxa"/>
            <w:tcBorders/>
            <w:vAlign w:val="center"/>
          </w:tcPr>
          <w:p>
            <w:pPr>
              <w:jc w:val="right"/>
            </w:pPr>
            <w:r>
              <w:rPr>
                <w:rFonts w:ascii="宋体" w:eastAsia="宋体" w:hAnsi="宋体" w:cs="宋体"/>
                <w:b w:val="0"/>
                <w:i w:val="0"/>
                <w:color w:val="000000"/>
                <w:sz w:val="19"/>
              </w:rPr>
              <w:t xml:space="preserve">139.22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公路水路运输</w:t>
            </w:r>
          </w:p>
        </w:tc>
        <w:tc>
          <w:tcPr>
            <w:tcW w:w="1600" w:type="dxa"/>
            <w:tcBorders/>
            <w:vAlign w:val="center"/>
          </w:tcPr>
          <w:p>
            <w:pPr>
              <w:jc w:val="right"/>
            </w:pPr>
            <w:r>
              <w:rPr>
                <w:rFonts w:ascii="宋体" w:eastAsia="宋体" w:hAnsi="宋体" w:cs="宋体"/>
                <w:b w:val="0"/>
                <w:i w:val="0"/>
                <w:color w:val="000000"/>
                <w:sz w:val="19"/>
              </w:rPr>
              <w:t xml:space="preserve">125.94</w:t>
            </w:r>
          </w:p>
        </w:tc>
        <w:tc>
          <w:tcPr>
            <w:tcW w:w="1600" w:type="dxa"/>
            <w:tcBorders/>
            <w:vAlign w:val="center"/>
          </w:tcPr>
          <w:p>
            <w:pPr>
              <w:jc w:val="right"/>
            </w:pPr>
            <w:r>
              <w:rPr>
                <w:rFonts w:ascii="宋体" w:eastAsia="宋体" w:hAnsi="宋体" w:cs="宋体"/>
                <w:b w:val="0"/>
                <w:i w:val="0"/>
                <w:color w:val="000000"/>
                <w:sz w:val="19"/>
              </w:rPr>
              <w:t xml:space="preserve">125.94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其他公路水路运输支出</w:t>
            </w:r>
          </w:p>
        </w:tc>
        <w:tc>
          <w:tcPr>
            <w:tcW w:w="1600" w:type="dxa"/>
            <w:tcBorders/>
            <w:vAlign w:val="center"/>
          </w:tcPr>
          <w:p>
            <w:pPr>
              <w:jc w:val="right"/>
            </w:pPr>
            <w:r>
              <w:rPr>
                <w:rFonts w:ascii="宋体" w:eastAsia="宋体" w:hAnsi="宋体" w:cs="宋体"/>
                <w:b w:val="0"/>
                <w:i w:val="0"/>
                <w:color w:val="000000"/>
                <w:sz w:val="19"/>
              </w:rPr>
              <w:t xml:space="preserve">125.94</w:t>
            </w:r>
          </w:p>
        </w:tc>
        <w:tc>
          <w:tcPr>
            <w:tcW w:w="1600" w:type="dxa"/>
            <w:tcBorders/>
            <w:vAlign w:val="center"/>
          </w:tcPr>
          <w:p>
            <w:pPr>
              <w:jc w:val="right"/>
            </w:pPr>
            <w:r>
              <w:rPr>
                <w:rFonts w:ascii="宋体" w:eastAsia="宋体" w:hAnsi="宋体" w:cs="宋体"/>
                <w:b w:val="0"/>
                <w:i w:val="0"/>
                <w:color w:val="000000"/>
                <w:sz w:val="19"/>
              </w:rPr>
              <w:t xml:space="preserve">125.94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其他交通运输支出</w:t>
            </w:r>
          </w:p>
        </w:tc>
        <w:tc>
          <w:tcPr>
            <w:tcW w:w="1600" w:type="dxa"/>
            <w:tcBorders/>
            <w:vAlign w:val="center"/>
          </w:tcPr>
          <w:p>
            <w:pPr>
              <w:jc w:val="right"/>
            </w:pPr>
            <w:r>
              <w:rPr>
                <w:rFonts w:ascii="宋体" w:eastAsia="宋体" w:hAnsi="宋体" w:cs="宋体"/>
                <w:b w:val="0"/>
                <w:i w:val="0"/>
                <w:color w:val="000000"/>
                <w:sz w:val="19"/>
              </w:rPr>
              <w:t xml:space="preserve">13.28</w:t>
            </w:r>
          </w:p>
        </w:tc>
        <w:tc>
          <w:tcPr>
            <w:tcW w:w="1600" w:type="dxa"/>
            <w:tcBorders/>
            <w:vAlign w:val="center"/>
          </w:tcPr>
          <w:p>
            <w:pPr>
              <w:jc w:val="right"/>
            </w:pPr>
            <w:r>
              <w:rPr>
                <w:rFonts w:ascii="宋体" w:eastAsia="宋体" w:hAnsi="宋体" w:cs="宋体"/>
                <w:b w:val="0"/>
                <w:i w:val="0"/>
                <w:color w:val="000000"/>
                <w:sz w:val="19"/>
              </w:rPr>
              <w:t xml:space="preserve">13.28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其他交通运输支出</w:t>
            </w:r>
          </w:p>
        </w:tc>
        <w:tc>
          <w:tcPr>
            <w:tcW w:w="1600" w:type="dxa"/>
            <w:tcBorders/>
            <w:vAlign w:val="center"/>
          </w:tcPr>
          <w:p>
            <w:pPr>
              <w:jc w:val="right"/>
            </w:pPr>
            <w:r>
              <w:rPr>
                <w:rFonts w:ascii="宋体" w:eastAsia="宋体" w:hAnsi="宋体" w:cs="宋体"/>
                <w:b w:val="0"/>
                <w:i w:val="0"/>
                <w:color w:val="000000"/>
                <w:sz w:val="19"/>
              </w:rPr>
              <w:t xml:space="preserve">13.28</w:t>
            </w:r>
          </w:p>
        </w:tc>
        <w:tc>
          <w:tcPr>
            <w:tcW w:w="1600" w:type="dxa"/>
            <w:tcBorders/>
            <w:vAlign w:val="center"/>
          </w:tcPr>
          <w:p>
            <w:pPr>
              <w:jc w:val="right"/>
            </w:pPr>
            <w:r>
              <w:rPr>
                <w:rFonts w:ascii="宋体" w:eastAsia="宋体" w:hAnsi="宋体" w:cs="宋体"/>
                <w:b w:val="0"/>
                <w:i w:val="0"/>
                <w:color w:val="000000"/>
                <w:sz w:val="19"/>
              </w:rPr>
              <w:t xml:space="preserve">13.28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8.98</w:t>
            </w:r>
          </w:p>
        </w:tc>
        <w:tc>
          <w:tcPr>
            <w:tcW w:w="1600" w:type="dxa"/>
            <w:tcBorders/>
            <w:vAlign w:val="center"/>
          </w:tcPr>
          <w:p>
            <w:pPr>
              <w:jc w:val="right"/>
            </w:pPr>
            <w:r>
              <w:rPr>
                <w:rFonts w:ascii="宋体" w:eastAsia="宋体" w:hAnsi="宋体" w:cs="宋体"/>
                <w:b w:val="0"/>
                <w:i w:val="0"/>
                <w:color w:val="000000"/>
                <w:sz w:val="19"/>
              </w:rPr>
              <w:t xml:space="preserve">8.98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8.98</w:t>
            </w:r>
          </w:p>
        </w:tc>
        <w:tc>
          <w:tcPr>
            <w:tcW w:w="1600" w:type="dxa"/>
            <w:tcBorders/>
            <w:vAlign w:val="center"/>
          </w:tcPr>
          <w:p>
            <w:pPr>
              <w:jc w:val="right"/>
            </w:pPr>
            <w:r>
              <w:rPr>
                <w:rFonts w:ascii="宋体" w:eastAsia="宋体" w:hAnsi="宋体" w:cs="宋体"/>
                <w:b w:val="0"/>
                <w:i w:val="0"/>
                <w:color w:val="000000"/>
                <w:sz w:val="19"/>
              </w:rPr>
              <w:t xml:space="preserve">8.98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8.98</w:t>
            </w:r>
          </w:p>
        </w:tc>
        <w:tc>
          <w:tcPr>
            <w:tcW w:w="1600" w:type="dxa"/>
            <w:tcBorders/>
            <w:vAlign w:val="center"/>
          </w:tcPr>
          <w:p>
            <w:pPr>
              <w:jc w:val="right"/>
            </w:pPr>
            <w:r>
              <w:rPr>
                <w:rFonts w:ascii="宋体" w:eastAsia="宋体" w:hAnsi="宋体" w:cs="宋体"/>
                <w:b w:val="0"/>
                <w:i w:val="0"/>
                <w:color w:val="000000"/>
                <w:sz w:val="19"/>
              </w:rPr>
              <w:t xml:space="preserve">8.98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单位：许昌市交通局交通工程定额质量监督站</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181.51</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0.87</w:t>
            </w:r>
          </w:p>
        </w:tc>
        <w:tc>
          <w:tcPr>
            <w:tcW w:w="1420" w:type="dxa"/>
            <w:tcBorders/>
            <w:vAlign w:val="center"/>
          </w:tcPr>
          <w:p>
            <w:pPr>
              <w:jc w:val="right"/>
            </w:pPr>
            <w:r>
              <w:rPr>
                <w:rFonts w:ascii="宋体" w:eastAsia="宋体" w:hAnsi="宋体" w:cs="宋体"/>
                <w:b w:val="0"/>
                <w:i w:val="0"/>
                <w:color w:val="000000"/>
                <w:sz w:val="18"/>
              </w:rPr>
              <w:t xml:space="preserve">0.87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27.43</w:t>
            </w:r>
          </w:p>
        </w:tc>
        <w:tc>
          <w:tcPr>
            <w:tcW w:w="1420" w:type="dxa"/>
            <w:tcBorders/>
            <w:vAlign w:val="center"/>
          </w:tcPr>
          <w:p>
            <w:pPr>
              <w:jc w:val="right"/>
            </w:pPr>
            <w:r>
              <w:rPr>
                <w:rFonts w:ascii="宋体" w:eastAsia="宋体" w:hAnsi="宋体" w:cs="宋体"/>
                <w:b w:val="0"/>
                <w:i w:val="0"/>
                <w:color w:val="000000"/>
                <w:sz w:val="18"/>
              </w:rPr>
              <w:t xml:space="preserve">27.43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5.00</w:t>
            </w:r>
          </w:p>
        </w:tc>
        <w:tc>
          <w:tcPr>
            <w:tcW w:w="1420" w:type="dxa"/>
            <w:tcBorders/>
            <w:vAlign w:val="center"/>
          </w:tcPr>
          <w:p>
            <w:pPr>
              <w:jc w:val="right"/>
            </w:pPr>
            <w:r>
              <w:rPr>
                <w:rFonts w:ascii="宋体" w:eastAsia="宋体" w:hAnsi="宋体" w:cs="宋体"/>
                <w:b w:val="0"/>
                <w:i w:val="0"/>
                <w:color w:val="000000"/>
                <w:sz w:val="18"/>
              </w:rPr>
              <w:t xml:space="preserve">5.00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139.22</w:t>
            </w:r>
          </w:p>
        </w:tc>
        <w:tc>
          <w:tcPr>
            <w:tcW w:w="1420" w:type="dxa"/>
            <w:tcBorders/>
            <w:vAlign w:val="center"/>
          </w:tcPr>
          <w:p>
            <w:pPr>
              <w:jc w:val="right"/>
            </w:pPr>
            <w:r>
              <w:rPr>
                <w:rFonts w:ascii="宋体" w:eastAsia="宋体" w:hAnsi="宋体" w:cs="宋体"/>
                <w:b w:val="0"/>
                <w:i w:val="0"/>
                <w:color w:val="000000"/>
                <w:sz w:val="18"/>
              </w:rPr>
              <w:t xml:space="preserve">139.22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8.98</w:t>
            </w:r>
          </w:p>
        </w:tc>
        <w:tc>
          <w:tcPr>
            <w:tcW w:w="1420" w:type="dxa"/>
            <w:tcBorders/>
            <w:vAlign w:val="center"/>
          </w:tcPr>
          <w:p>
            <w:pPr>
              <w:jc w:val="right"/>
            </w:pPr>
            <w:r>
              <w:rPr>
                <w:rFonts w:ascii="宋体" w:eastAsia="宋体" w:hAnsi="宋体" w:cs="宋体"/>
                <w:b w:val="0"/>
                <w:i w:val="0"/>
                <w:color w:val="000000"/>
                <w:sz w:val="18"/>
              </w:rPr>
              <w:t xml:space="preserve">8.98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181.51</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181.51</w:t>
            </w:r>
          </w:p>
        </w:tc>
        <w:tc>
          <w:tcPr>
            <w:tcW w:w="1420" w:type="dxa"/>
            <w:tcBorders/>
            <w:vAlign w:val="center"/>
          </w:tcPr>
          <w:p>
            <w:pPr>
              <w:jc w:val="right"/>
            </w:pPr>
            <w:r>
              <w:rPr>
                <w:rFonts w:ascii="宋体" w:eastAsia="宋体" w:hAnsi="宋体" w:cs="宋体"/>
                <w:b w:val="0"/>
                <w:i w:val="0"/>
                <w:color w:val="000000"/>
                <w:sz w:val="18"/>
              </w:rPr>
              <w:t xml:space="preserve">181.51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181.51</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181.51</w:t>
            </w:r>
          </w:p>
        </w:tc>
        <w:tc>
          <w:tcPr>
            <w:tcW w:w="1420" w:type="dxa"/>
            <w:tcBorders/>
            <w:vAlign w:val="center"/>
          </w:tcPr>
          <w:p>
            <w:pPr>
              <w:jc w:val="right"/>
            </w:pPr>
            <w:r>
              <w:rPr>
                <w:rFonts w:ascii="宋体" w:eastAsia="宋体" w:hAnsi="宋体" w:cs="宋体"/>
                <w:b w:val="0"/>
                <w:i w:val="0"/>
                <w:color w:val="000000"/>
                <w:sz w:val="18"/>
              </w:rPr>
              <w:t xml:space="preserve">181.51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单位：许昌市交通局交通工程定额质量监督站</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181.51</w:t>
            </w:r>
          </w:p>
        </w:tc>
        <w:tc>
          <w:tcPr>
            <w:tcW w:w="2700" w:type="dxa"/>
            <w:tcBorders/>
            <w:vAlign w:val="center"/>
          </w:tcPr>
          <w:p>
            <w:pPr>
              <w:jc w:val="right"/>
            </w:pPr>
            <w:r>
              <w:rPr>
                <w:rFonts w:ascii="宋体" w:eastAsia="宋体" w:hAnsi="宋体" w:cs="宋体"/>
                <w:b/>
                <w:i w:val="0"/>
                <w:color w:val="000000"/>
                <w:sz w:val="25"/>
              </w:rPr>
              <w:t xml:space="preserve">181.51</w:t>
            </w:r>
          </w:p>
        </w:tc>
        <w:tc>
          <w:tcPr>
            <w:tcW w:w="2658" w:type="dxa"/>
            <w:tcBorders/>
            <w:vAlign w:val="center"/>
          </w:tcPr>
          <w:p>
            <w:pPr>
              <w:jc w:val="right"/>
            </w:pPr>
            <w:r>
              <w:rPr>
                <w:rFonts w:ascii="宋体" w:eastAsia="宋体" w:hAnsi="宋体" w:cs="宋体"/>
                <w:b/>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0.87</w:t>
            </w:r>
          </w:p>
        </w:tc>
        <w:tc>
          <w:tcPr>
            <w:tcW w:w="2700" w:type="dxa"/>
            <w:tcBorders/>
            <w:vAlign w:val="center"/>
          </w:tcPr>
          <w:p>
            <w:pPr>
              <w:jc w:val="right"/>
            </w:pPr>
            <w:r>
              <w:rPr>
                <w:rFonts w:ascii="宋体" w:eastAsia="宋体" w:hAnsi="宋体" w:cs="宋体"/>
                <w:b w:val="0"/>
                <w:i w:val="0"/>
                <w:color w:val="000000"/>
                <w:sz w:val="25"/>
              </w:rPr>
              <w:t xml:space="preserve">0.87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0.87</w:t>
            </w:r>
          </w:p>
        </w:tc>
        <w:tc>
          <w:tcPr>
            <w:tcW w:w="2700" w:type="dxa"/>
            <w:tcBorders/>
            <w:vAlign w:val="center"/>
          </w:tcPr>
          <w:p>
            <w:pPr>
              <w:jc w:val="right"/>
            </w:pPr>
            <w:r>
              <w:rPr>
                <w:rFonts w:ascii="宋体" w:eastAsia="宋体" w:hAnsi="宋体" w:cs="宋体"/>
                <w:b w:val="0"/>
                <w:i w:val="0"/>
                <w:color w:val="000000"/>
                <w:sz w:val="25"/>
              </w:rPr>
              <w:t xml:space="preserve">0.87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0.87</w:t>
            </w:r>
          </w:p>
        </w:tc>
        <w:tc>
          <w:tcPr>
            <w:tcW w:w="2700" w:type="dxa"/>
            <w:tcBorders/>
            <w:vAlign w:val="center"/>
          </w:tcPr>
          <w:p>
            <w:pPr>
              <w:jc w:val="right"/>
            </w:pPr>
            <w:r>
              <w:rPr>
                <w:rFonts w:ascii="宋体" w:eastAsia="宋体" w:hAnsi="宋体" w:cs="宋体"/>
                <w:b w:val="0"/>
                <w:i w:val="0"/>
                <w:color w:val="000000"/>
                <w:sz w:val="25"/>
              </w:rPr>
              <w:t xml:space="preserve">0.87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27.43</w:t>
            </w:r>
          </w:p>
        </w:tc>
        <w:tc>
          <w:tcPr>
            <w:tcW w:w="2700" w:type="dxa"/>
            <w:tcBorders/>
            <w:vAlign w:val="center"/>
          </w:tcPr>
          <w:p>
            <w:pPr>
              <w:jc w:val="right"/>
            </w:pPr>
            <w:r>
              <w:rPr>
                <w:rFonts w:ascii="宋体" w:eastAsia="宋体" w:hAnsi="宋体" w:cs="宋体"/>
                <w:b w:val="0"/>
                <w:i w:val="0"/>
                <w:color w:val="000000"/>
                <w:sz w:val="25"/>
              </w:rPr>
              <w:t xml:space="preserve">27.43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27.43</w:t>
            </w:r>
          </w:p>
        </w:tc>
        <w:tc>
          <w:tcPr>
            <w:tcW w:w="2700" w:type="dxa"/>
            <w:tcBorders/>
            <w:vAlign w:val="center"/>
          </w:tcPr>
          <w:p>
            <w:pPr>
              <w:jc w:val="right"/>
            </w:pPr>
            <w:r>
              <w:rPr>
                <w:rFonts w:ascii="宋体" w:eastAsia="宋体" w:hAnsi="宋体" w:cs="宋体"/>
                <w:b w:val="0"/>
                <w:i w:val="0"/>
                <w:color w:val="000000"/>
                <w:sz w:val="25"/>
              </w:rPr>
              <w:t xml:space="preserve">27.43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17.22</w:t>
            </w:r>
          </w:p>
        </w:tc>
        <w:tc>
          <w:tcPr>
            <w:tcW w:w="2700" w:type="dxa"/>
            <w:tcBorders/>
            <w:vAlign w:val="center"/>
          </w:tcPr>
          <w:p>
            <w:pPr>
              <w:jc w:val="right"/>
            </w:pPr>
            <w:r>
              <w:rPr>
                <w:rFonts w:ascii="宋体" w:eastAsia="宋体" w:hAnsi="宋体" w:cs="宋体"/>
                <w:b w:val="0"/>
                <w:i w:val="0"/>
                <w:color w:val="000000"/>
                <w:sz w:val="25"/>
              </w:rPr>
              <w:t xml:space="preserve">17.22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10.21</w:t>
            </w:r>
          </w:p>
        </w:tc>
        <w:tc>
          <w:tcPr>
            <w:tcW w:w="2700" w:type="dxa"/>
            <w:tcBorders/>
            <w:vAlign w:val="center"/>
          </w:tcPr>
          <w:p>
            <w:pPr>
              <w:jc w:val="right"/>
            </w:pPr>
            <w:r>
              <w:rPr>
                <w:rFonts w:ascii="宋体" w:eastAsia="宋体" w:hAnsi="宋体" w:cs="宋体"/>
                <w:b w:val="0"/>
                <w:i w:val="0"/>
                <w:color w:val="000000"/>
                <w:sz w:val="25"/>
              </w:rPr>
              <w:t xml:space="preserve">10.21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5.00</w:t>
            </w:r>
          </w:p>
        </w:tc>
        <w:tc>
          <w:tcPr>
            <w:tcW w:w="2700" w:type="dxa"/>
            <w:tcBorders/>
            <w:vAlign w:val="center"/>
          </w:tcPr>
          <w:p>
            <w:pPr>
              <w:jc w:val="right"/>
            </w:pPr>
            <w:r>
              <w:rPr>
                <w:rFonts w:ascii="宋体" w:eastAsia="宋体" w:hAnsi="宋体" w:cs="宋体"/>
                <w:b w:val="0"/>
                <w:i w:val="0"/>
                <w:color w:val="000000"/>
                <w:sz w:val="25"/>
              </w:rPr>
              <w:t xml:space="preserve">5.00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5.00</w:t>
            </w:r>
          </w:p>
        </w:tc>
        <w:tc>
          <w:tcPr>
            <w:tcW w:w="2700" w:type="dxa"/>
            <w:tcBorders/>
            <w:vAlign w:val="center"/>
          </w:tcPr>
          <w:p>
            <w:pPr>
              <w:jc w:val="right"/>
            </w:pPr>
            <w:r>
              <w:rPr>
                <w:rFonts w:ascii="宋体" w:eastAsia="宋体" w:hAnsi="宋体" w:cs="宋体"/>
                <w:b w:val="0"/>
                <w:i w:val="0"/>
                <w:color w:val="000000"/>
                <w:sz w:val="25"/>
              </w:rPr>
              <w:t xml:space="preserve">5.00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5.00</w:t>
            </w:r>
          </w:p>
        </w:tc>
        <w:tc>
          <w:tcPr>
            <w:tcW w:w="2700" w:type="dxa"/>
            <w:tcBorders/>
            <w:vAlign w:val="center"/>
          </w:tcPr>
          <w:p>
            <w:pPr>
              <w:jc w:val="right"/>
            </w:pPr>
            <w:r>
              <w:rPr>
                <w:rFonts w:ascii="宋体" w:eastAsia="宋体" w:hAnsi="宋体" w:cs="宋体"/>
                <w:b w:val="0"/>
                <w:i w:val="0"/>
                <w:color w:val="000000"/>
                <w:sz w:val="25"/>
              </w:rPr>
              <w:t xml:space="preserve">5.00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交通运输支出</w:t>
            </w:r>
          </w:p>
        </w:tc>
        <w:tc>
          <w:tcPr>
            <w:tcW w:w="2700" w:type="dxa"/>
            <w:tcBorders/>
            <w:vAlign w:val="center"/>
          </w:tcPr>
          <w:p>
            <w:pPr>
              <w:jc w:val="right"/>
            </w:pPr>
            <w:r>
              <w:rPr>
                <w:rFonts w:ascii="宋体" w:eastAsia="宋体" w:hAnsi="宋体" w:cs="宋体"/>
                <w:b w:val="0"/>
                <w:i w:val="0"/>
                <w:color w:val="000000"/>
                <w:sz w:val="25"/>
              </w:rPr>
              <w:t xml:space="preserve">139.22</w:t>
            </w:r>
          </w:p>
        </w:tc>
        <w:tc>
          <w:tcPr>
            <w:tcW w:w="2700" w:type="dxa"/>
            <w:tcBorders/>
            <w:vAlign w:val="center"/>
          </w:tcPr>
          <w:p>
            <w:pPr>
              <w:jc w:val="right"/>
            </w:pPr>
            <w:r>
              <w:rPr>
                <w:rFonts w:ascii="宋体" w:eastAsia="宋体" w:hAnsi="宋体" w:cs="宋体"/>
                <w:b w:val="0"/>
                <w:i w:val="0"/>
                <w:color w:val="000000"/>
                <w:sz w:val="25"/>
              </w:rPr>
              <w:t xml:space="preserve">139.22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公路水路运输</w:t>
            </w:r>
          </w:p>
        </w:tc>
        <w:tc>
          <w:tcPr>
            <w:tcW w:w="2700" w:type="dxa"/>
            <w:tcBorders/>
            <w:vAlign w:val="center"/>
          </w:tcPr>
          <w:p>
            <w:pPr>
              <w:jc w:val="right"/>
            </w:pPr>
            <w:r>
              <w:rPr>
                <w:rFonts w:ascii="宋体" w:eastAsia="宋体" w:hAnsi="宋体" w:cs="宋体"/>
                <w:b w:val="0"/>
                <w:i w:val="0"/>
                <w:color w:val="000000"/>
                <w:sz w:val="25"/>
              </w:rPr>
              <w:t xml:space="preserve">125.94</w:t>
            </w:r>
          </w:p>
        </w:tc>
        <w:tc>
          <w:tcPr>
            <w:tcW w:w="2700" w:type="dxa"/>
            <w:tcBorders/>
            <w:vAlign w:val="center"/>
          </w:tcPr>
          <w:p>
            <w:pPr>
              <w:jc w:val="right"/>
            </w:pPr>
            <w:r>
              <w:rPr>
                <w:rFonts w:ascii="宋体" w:eastAsia="宋体" w:hAnsi="宋体" w:cs="宋体"/>
                <w:b w:val="0"/>
                <w:i w:val="0"/>
                <w:color w:val="000000"/>
                <w:sz w:val="25"/>
              </w:rPr>
              <w:t xml:space="preserve">125.94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其他公路水路运输支出</w:t>
            </w:r>
          </w:p>
        </w:tc>
        <w:tc>
          <w:tcPr>
            <w:tcW w:w="2700" w:type="dxa"/>
            <w:tcBorders/>
            <w:vAlign w:val="center"/>
          </w:tcPr>
          <w:p>
            <w:pPr>
              <w:jc w:val="right"/>
            </w:pPr>
            <w:r>
              <w:rPr>
                <w:rFonts w:ascii="宋体" w:eastAsia="宋体" w:hAnsi="宋体" w:cs="宋体"/>
                <w:b w:val="0"/>
                <w:i w:val="0"/>
                <w:color w:val="000000"/>
                <w:sz w:val="25"/>
              </w:rPr>
              <w:t xml:space="preserve">125.94</w:t>
            </w:r>
          </w:p>
        </w:tc>
        <w:tc>
          <w:tcPr>
            <w:tcW w:w="2700" w:type="dxa"/>
            <w:tcBorders/>
            <w:vAlign w:val="center"/>
          </w:tcPr>
          <w:p>
            <w:pPr>
              <w:jc w:val="right"/>
            </w:pPr>
            <w:r>
              <w:rPr>
                <w:rFonts w:ascii="宋体" w:eastAsia="宋体" w:hAnsi="宋体" w:cs="宋体"/>
                <w:b w:val="0"/>
                <w:i w:val="0"/>
                <w:color w:val="000000"/>
                <w:sz w:val="25"/>
              </w:rPr>
              <w:t xml:space="preserve">125.94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其他交通运输支出</w:t>
            </w:r>
          </w:p>
        </w:tc>
        <w:tc>
          <w:tcPr>
            <w:tcW w:w="2700" w:type="dxa"/>
            <w:tcBorders/>
            <w:vAlign w:val="center"/>
          </w:tcPr>
          <w:p>
            <w:pPr>
              <w:jc w:val="right"/>
            </w:pPr>
            <w:r>
              <w:rPr>
                <w:rFonts w:ascii="宋体" w:eastAsia="宋体" w:hAnsi="宋体" w:cs="宋体"/>
                <w:b w:val="0"/>
                <w:i w:val="0"/>
                <w:color w:val="000000"/>
                <w:sz w:val="25"/>
              </w:rPr>
              <w:t xml:space="preserve">13.28</w:t>
            </w:r>
          </w:p>
        </w:tc>
        <w:tc>
          <w:tcPr>
            <w:tcW w:w="2700" w:type="dxa"/>
            <w:tcBorders/>
            <w:vAlign w:val="center"/>
          </w:tcPr>
          <w:p>
            <w:pPr>
              <w:jc w:val="right"/>
            </w:pPr>
            <w:r>
              <w:rPr>
                <w:rFonts w:ascii="宋体" w:eastAsia="宋体" w:hAnsi="宋体" w:cs="宋体"/>
                <w:b w:val="0"/>
                <w:i w:val="0"/>
                <w:color w:val="000000"/>
                <w:sz w:val="25"/>
              </w:rPr>
              <w:t xml:space="preserve">13.28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其他交通运输支出</w:t>
            </w:r>
          </w:p>
        </w:tc>
        <w:tc>
          <w:tcPr>
            <w:tcW w:w="2700" w:type="dxa"/>
            <w:tcBorders/>
            <w:vAlign w:val="center"/>
          </w:tcPr>
          <w:p>
            <w:pPr>
              <w:jc w:val="right"/>
            </w:pPr>
            <w:r>
              <w:rPr>
                <w:rFonts w:ascii="宋体" w:eastAsia="宋体" w:hAnsi="宋体" w:cs="宋体"/>
                <w:b w:val="0"/>
                <w:i w:val="0"/>
                <w:color w:val="000000"/>
                <w:sz w:val="25"/>
              </w:rPr>
              <w:t xml:space="preserve">13.28</w:t>
            </w:r>
          </w:p>
        </w:tc>
        <w:tc>
          <w:tcPr>
            <w:tcW w:w="2700" w:type="dxa"/>
            <w:tcBorders/>
            <w:vAlign w:val="center"/>
          </w:tcPr>
          <w:p>
            <w:pPr>
              <w:jc w:val="right"/>
            </w:pPr>
            <w:r>
              <w:rPr>
                <w:rFonts w:ascii="宋体" w:eastAsia="宋体" w:hAnsi="宋体" w:cs="宋体"/>
                <w:b w:val="0"/>
                <w:i w:val="0"/>
                <w:color w:val="000000"/>
                <w:sz w:val="25"/>
              </w:rPr>
              <w:t xml:space="preserve">13.28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8.98</w:t>
            </w:r>
          </w:p>
        </w:tc>
        <w:tc>
          <w:tcPr>
            <w:tcW w:w="2700" w:type="dxa"/>
            <w:tcBorders/>
            <w:vAlign w:val="center"/>
          </w:tcPr>
          <w:p>
            <w:pPr>
              <w:jc w:val="right"/>
            </w:pPr>
            <w:r>
              <w:rPr>
                <w:rFonts w:ascii="宋体" w:eastAsia="宋体" w:hAnsi="宋体" w:cs="宋体"/>
                <w:b w:val="0"/>
                <w:i w:val="0"/>
                <w:color w:val="000000"/>
                <w:sz w:val="25"/>
              </w:rPr>
              <w:t xml:space="preserve">8.98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8.98</w:t>
            </w:r>
          </w:p>
        </w:tc>
        <w:tc>
          <w:tcPr>
            <w:tcW w:w="2700" w:type="dxa"/>
            <w:tcBorders/>
            <w:vAlign w:val="center"/>
          </w:tcPr>
          <w:p>
            <w:pPr>
              <w:jc w:val="right"/>
            </w:pPr>
            <w:r>
              <w:rPr>
                <w:rFonts w:ascii="宋体" w:eastAsia="宋体" w:hAnsi="宋体" w:cs="宋体"/>
                <w:b w:val="0"/>
                <w:i w:val="0"/>
                <w:color w:val="000000"/>
                <w:sz w:val="25"/>
              </w:rPr>
              <w:t xml:space="preserve">8.98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8.98</w:t>
            </w:r>
          </w:p>
        </w:tc>
        <w:tc>
          <w:tcPr>
            <w:tcW w:w="2700" w:type="dxa"/>
            <w:tcBorders/>
            <w:vAlign w:val="center"/>
          </w:tcPr>
          <w:p>
            <w:pPr>
              <w:jc w:val="right"/>
            </w:pPr>
            <w:r>
              <w:rPr>
                <w:rFonts w:ascii="宋体" w:eastAsia="宋体" w:hAnsi="宋体" w:cs="宋体"/>
                <w:b w:val="0"/>
                <w:i w:val="0"/>
                <w:color w:val="000000"/>
                <w:sz w:val="25"/>
              </w:rPr>
              <w:t xml:space="preserve">8.98</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单位：许昌市交通局交通工程定额质量监督站</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154.93</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9.35</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43.01</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1.74</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2.77</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50.77</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33.64</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10.21</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0.23</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5.00</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0.55</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3.11</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8.98</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0.14</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17.22</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0.54</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17.22</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0.87</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1.05</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1.67</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172.15</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9.35</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单位：许昌市交通局交通工程定额质量监督站</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单位：许昌市交通局交通工程定额质量监督站</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单位：许昌市交通局交通工程定额质量监督站</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1.67</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1.67</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1.67</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1.67</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1.67</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1.67</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181.51</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减少2.37万元，下降1.29%</w:t>
      </w:r>
      <w:r>
        <w:rPr>
          <w:rFonts w:ascii="仿宋" w:eastAsia="仿宋" w:hAnsi="仿宋" w:cs="仿宋" w:hint="eastAsia"/>
          <w:kern w:val="0"/>
          <w:sz w:val="32"/>
          <w:szCs w:val="32"/>
          <w:lang w:val="en-US" w:eastAsia="zh-CN"/>
        </w:rPr>
        <w:t xml:space="preserve">。主要原因是2022年在职转退休1人，经费支出减少。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181.51</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财政拨款收入181.51万元，占100.00%；上级补助收入0.00万元，占0.00%；事业收入0.00万元，占0.00%；经营收入0.00万元，占0.00%；附属单位上缴收入0.00万元，占0.00%；其他收入0.00万元，占0.00%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181.51</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基本支出181.51万元，占100.00%；项目支出0.00万元，占0.00%；上缴上级支出0.00万元，占0.00%；经营支出0.00万元，占0.00%；对附属单位补助支出0.00万元，占0.00%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181.51</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减少2.37万元，下降1.29%</w:t>
      </w:r>
      <w:r>
        <w:rPr>
          <w:rFonts w:ascii="仿宋" w:eastAsia="仿宋" w:hAnsi="仿宋" w:cs="仿宋" w:hint="eastAsia"/>
          <w:kern w:val="0"/>
          <w:sz w:val="32"/>
          <w:szCs w:val="32"/>
          <w:lang w:val="en-US" w:eastAsia="zh-CN"/>
        </w:rPr>
        <w:t xml:space="preserve">。主要原因是2022年在职转退休1人，经费支出减少。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181.51</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减少2.37万元，下降1.29%</w:t>
      </w:r>
      <w:r>
        <w:rPr>
          <w:rFonts w:ascii="仿宋" w:eastAsia="仿宋" w:hAnsi="仿宋" w:cs="仿宋" w:hint="eastAsia"/>
          <w:kern w:val="0"/>
          <w:sz w:val="32"/>
          <w:szCs w:val="32"/>
          <w:lang w:val="en-US" w:eastAsia="zh-CN"/>
        </w:rPr>
        <w:t xml:space="preserve">。主要原因是2022年在职转退休1人，经费支出减少。</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181.51</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一般公共服务支出（类）0.87万元，占0.48%；社会保障和就业支出（类）27.43万元，占15.11%；卫生健康支出（类）5.00万元，占2.75%；交通运输支出（类）139.22万元，占76.70%；住房保障支出（类）8.98万元，占4.96%</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169.11</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181.51</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107.33</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年初预算数为0.87万元，决算数0.87万元,完成年初预算的100.00%，决算数与年初预算数不存在差异。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2.社会保障和就业支出（类）行政事业单位养老支出（款）事业单位离退休（项）</w:t>
      </w:r>
      <w:r>
        <w:rPr>
          <w:rFonts w:ascii="仿宋" w:eastAsia="仿宋" w:hAnsi="仿宋" w:cs="仿宋" w:hint="default"/>
          <w:kern w:val="2"/>
          <w:sz w:val="32"/>
          <w:szCs w:val="32"/>
          <w:lang w:val="en-US" w:eastAsia="zh-CN"/>
        </w:rPr>
        <w:t xml:space="preserve">年初预算数为13.82万元，决算数17.22万元,完成年初预算的124.60%，决算数与年初预算数存在差异的主要原因是退休人员补发以前年度工资。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年初预算数为10.36万元，决算数10.21万元,完成年初预算的98.55%，决算数与年初预算数存在差异的主要原因是2023年养老保险缴费基数减少。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4.卫生健康支出（类）行政事业单位医疗（款）事业单位医疗（项）</w:t>
      </w:r>
      <w:r>
        <w:rPr>
          <w:rFonts w:ascii="仿宋" w:eastAsia="仿宋" w:hAnsi="仿宋" w:cs="仿宋" w:hint="default"/>
          <w:kern w:val="2"/>
          <w:sz w:val="32"/>
          <w:szCs w:val="32"/>
          <w:lang w:val="en-US" w:eastAsia="zh-CN"/>
        </w:rPr>
        <w:t xml:space="preserve">年初预算数为5.00万元，决算数5.00万元,完成年初预算的100.00%，决算数与年初预算数不存在差异。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5.交通运输支出（类）公路水路运输（款）其他公路水路运输支出（项）</w:t>
      </w:r>
      <w:r>
        <w:rPr>
          <w:rFonts w:ascii="仿宋" w:eastAsia="仿宋" w:hAnsi="仿宋" w:cs="仿宋" w:hint="default"/>
          <w:kern w:val="2"/>
          <w:sz w:val="32"/>
          <w:szCs w:val="32"/>
          <w:lang w:val="en-US" w:eastAsia="zh-CN"/>
        </w:rPr>
        <w:t xml:space="preserve">年初预算数为129.97万元，决算数125.94万元,完成年初预算的96.90%，决算数与年初预算数存在差异的主要原因是第四季度平时考核奖未发放。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6.交通运输支出（类）其他交通运输支出（款）其他交通运输支出（项）</w:t>
      </w:r>
      <w:r>
        <w:rPr>
          <w:rFonts w:ascii="仿宋" w:eastAsia="仿宋" w:hAnsi="仿宋" w:cs="仿宋" w:hint="default"/>
          <w:kern w:val="2"/>
          <w:sz w:val="32"/>
          <w:szCs w:val="32"/>
          <w:lang w:val="en-US" w:eastAsia="zh-CN"/>
        </w:rPr>
        <w:t xml:space="preserve">年初预算数为0.00万元，决算数13.28万元,决算数与年初预算数存在差异的主要原因是未休假补贴工资未纳入年初预算。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7.住房保障支出（类）住房改革支出（款）住房公积金（项）</w:t>
      </w:r>
      <w:r>
        <w:rPr>
          <w:rFonts w:ascii="仿宋" w:eastAsia="仿宋" w:hAnsi="仿宋" w:cs="仿宋" w:hint="default"/>
          <w:kern w:val="2"/>
          <w:sz w:val="32"/>
          <w:szCs w:val="32"/>
          <w:lang w:val="en-US" w:eastAsia="zh-CN"/>
        </w:rPr>
        <w:t xml:space="preserve">年初预算数为9.09万元，决算数8.98万元,完成年初预算的98.79%，决算数与年初预算数存在差异的主要原因是2023年养老保险缴费基数减少。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181.51</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其中：人员经费172.15万元，主要包括：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公用经费9.35万元，主要包括：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1.67</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1.67</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1.67</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，占100.00%</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1.67</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1.67</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1.67</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主要用于加油、修理、保险、通行费等费用。</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2</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2</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2</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181.51</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99.5</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指标设定科学、合理，针对性和实现性较强</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eastAsia"/>
          <w:kern w:val="2"/>
          <w:sz w:val="32"/>
          <w:szCs w:val="32"/>
          <w:lang w:val="en-US" w:eastAsia="zh-CN"/>
        </w:rPr>
        <w:t xml:space="preserve">根据工作实际，我单位没有项目需要开展项目绩效自评。</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W w:w="0" w:type="auto"/>
        <w:jc w:val="center"/>
        <w:tblLayout w:type="fixed"/>
        <w:tblCellMar>
          <w:left w:w="20" w:type="dxa"/>
          <w:right w:w="20" w:type="dxa"/>
        </w:tblCellMar>
        <w:tblLook w:firstRow="0" w:lastRow="0" w:firstColumn="0" w:lastColumn="0" w:noHBand="1" w:noVBand="1"/>
      </w:tblPr>
      <w:tblGrid>
        <w:gridCol w:w="1194"/>
        <w:gridCol w:w="1402"/>
        <w:gridCol w:w="1043"/>
        <w:gridCol w:w="872"/>
        <w:gridCol w:w="2388"/>
        <w:gridCol w:w="1440"/>
        <w:gridCol w:w="1914"/>
        <w:gridCol w:w="872"/>
        <w:gridCol w:w="777"/>
        <w:gridCol w:w="1023"/>
        <w:gridCol w:w="1043"/>
        <w:gridCol w:w="872"/>
      </w:tblGrid>
      <w:tr>
        <w:trPr>
          <w:trHeight w:hRule="exact" w:val="616"/>
          <w:jc w:val="center"/>
        </w:trPr>
        <w:tc>
          <w:tcPr>
            <w:tcW w:w="14840" w:type="dxa"/>
            <w:hMerge w:val="restart"/>
            <w:tcBorders>
              <w:bottom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i w:val="0"/>
                <w:color w:val="000000"/>
                <w:sz w:val="36"/>
              </w:rPr>
              <w:t xml:space="preserve">部门整体自评表</w:t>
            </w: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451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部门（单位）名称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32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许昌市交通局交通工程定额质量监督站</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1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部门整体支出情况</w:t>
            </w:r>
          </w:p>
        </w:tc>
        <w:tc>
          <w:tcPr>
            <w:tcW w:w="331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3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全年预算数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全年执行数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分值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06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执行率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7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得分</w:t>
            </w:r>
          </w:p>
        </w:tc>
      </w:tr>
      <w:tr>
        <w:trPr>
          <w:trHeight w:hRule="exact" w:val="301"/>
          <w:jc w:val="center"/>
        </w:trPr>
        <w:tc>
          <w:tcPr>
            <w:tcW w:w="11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31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部门预算总额（万元）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38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169.11</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181.51</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14"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181.51</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06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7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10</w:t>
            </w:r>
          </w:p>
        </w:tc>
      </w:tr>
      <w:tr>
        <w:trPr>
          <w:trHeight w:hRule="exact" w:val="301"/>
          <w:jc w:val="center"/>
        </w:trPr>
        <w:tc>
          <w:tcPr>
            <w:tcW w:w="11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31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7"/>
              </w:rPr>
              <w:t xml:space="preserve">资金来源：（1）政府预算资金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238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169.11</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181.51</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14"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181.51</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06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7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w:t>
            </w:r>
          </w:p>
        </w:tc>
      </w:tr>
      <w:tr>
        <w:trPr>
          <w:trHeight w:hRule="exact" w:val="301"/>
          <w:jc w:val="center"/>
        </w:trPr>
        <w:tc>
          <w:tcPr>
            <w:tcW w:w="11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31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7"/>
              </w:rPr>
              <w:t xml:space="preserve">     （2）财政专户管理资金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23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06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7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w:t>
            </w:r>
          </w:p>
        </w:tc>
      </w:tr>
      <w:tr>
        <w:trPr>
          <w:trHeight w:hRule="exact" w:val="301"/>
          <w:jc w:val="center"/>
        </w:trPr>
        <w:tc>
          <w:tcPr>
            <w:tcW w:w="11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31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7"/>
              </w:rPr>
              <w:t xml:space="preserve">     （3）单位资金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23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06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7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w:t>
            </w:r>
          </w:p>
        </w:tc>
      </w:tr>
      <w:tr>
        <w:trPr>
          <w:trHeight w:hRule="exact" w:val="301"/>
          <w:jc w:val="center"/>
        </w:trPr>
        <w:tc>
          <w:tcPr>
            <w:tcW w:w="11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年度履职目标</w:t>
            </w:r>
          </w:p>
        </w:tc>
        <w:tc>
          <w:tcPr>
            <w:tcW w:w="71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0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717"/>
          <w:jc w:val="center"/>
        </w:trPr>
        <w:tc>
          <w:tcPr>
            <w:tcW w:w="11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贯彻执行国家、交通部和省交通厅颁发的交通基本建设的工作方针、政策和法规，依据国家有关法律、法规、规章和行业技术规范、规程及质量评定标准，对公路工程质量安全进行监督管理；对符合竣（交）工的公路水运工程年积极开展验收。</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01"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7"/>
              </w:rPr>
              <w:t xml:space="preserve">全年在建干线公路建设监督的项目7个，开展综合督查1次，日常巡查检查60次，处理问题梁板2块。对2022年度监理、试验检测机构、相关人员的信用评价初审工作及质量检测指标年度分析工作。完成了2023 年度公路检测机构水泥胶砂强度比对验证工作,参加比对的6个实验室参数检测整体良好。继续开展“平安工地”建设活动，持续推进监督工程项目分片包干负责制，落实“一岗双责”管理督查制度，针对在建项目“两区三场”严格规范管理，落实安全巡查检查记录20份，安全生产排查安全隐患整改13个。</w:t>
            </w:r>
          </w:p>
          <w:p>
            <w:pPr>
              <w:snapToGrid w:val="0"/>
              <w:spacing w:before="0" w:beforeAutospacing="0" w:after="0" w:afterAutospacing="0" w:line="240" w:lineRule="auto"/>
              <w:jc w:val="center"/>
              <w:rP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1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年度主要任务</w:t>
            </w:r>
          </w:p>
        </w:tc>
        <w:tc>
          <w:tcPr>
            <w:tcW w:w="24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任务名称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70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主要内容</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0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921"/>
          <w:jc w:val="center"/>
        </w:trPr>
        <w:tc>
          <w:tcPr>
            <w:tcW w:w="11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4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安全监督、鉴定验收</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70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对在建公路建设项目质量安全监督工作；对符合竣（交）工的公路水运工程开展质量鉴定验收工作。</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01"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7"/>
              </w:rPr>
              <w:t xml:space="preserve">全年在建干线公路建设监督的项目7个，开展综合督查1次，日常巡查检查60次，处理问题梁板2块。对2022年度监理、试验检测机构、相关人员的信用评价初审工作及质量检测指标年度分析工作。完成了2023 年度公路检测机构水泥胶砂强度比对验证工作,参加比对的6个实验室参数检测整体良好。继续开展“平安工地”建设活动，持续推进监督工程项目分片包干负责制，落实“一岗双责”管理督查制度，针对在建项目“两区三场”严格规范管理，落实安全巡查检查记录20份，安全生产排查安全隐患整改13个。</w:t>
            </w:r>
          </w:p>
          <w:p>
            <w:pPr>
              <w:snapToGrid w:val="0"/>
              <w:spacing w:before="0" w:beforeAutospacing="0" w:after="0" w:afterAutospacing="0" w:line="240" w:lineRule="auto"/>
              <w:jc w:val="center"/>
              <w:rP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一级指标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1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二级指标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3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三级指标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年度指标值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实际完成值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7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分值</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得分</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偏差度</w:t>
            </w:r>
          </w:p>
        </w:tc>
        <w:tc>
          <w:tcPr>
            <w:tcW w:w="191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偏差原因分析及改进措施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1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绩效指标</w:t>
            </w:r>
          </w:p>
        </w:tc>
        <w:tc>
          <w:tcPr>
            <w:tcW w:w="1402"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投入管理指标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1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工作目标管理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3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年度履职目标相关性、工作任务科学性、绩效指标合理性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充分、科学、合理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14"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7"/>
              </w:rPr>
              <w:t xml:space="preserve">达成预期</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7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10</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10</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1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1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2"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1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预算和财务管理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3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预算编制完整性、决算真实性、资金使用合规性、资产管理规范性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完整、真实、合规、规范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14"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7"/>
              </w:rPr>
              <w:t xml:space="preserve">达成预期</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7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10</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9.5</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0.05</w:t>
            </w:r>
          </w:p>
        </w:tc>
        <w:tc>
          <w:tcPr>
            <w:tcW w:w="191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偏差原因：部门制度执行不到位。改进措施：完善相关制度，加强人员管理，严格各项制度的落实。</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1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2"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1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绩效管理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3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绩效监控、部门绩效评价、结果应用完成性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完成性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14"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7"/>
              </w:rPr>
              <w:t xml:space="preserve">达成预期</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7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10</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10</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1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1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2"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产出指标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1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重点工作任务完成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3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承接年度总体工作的各牵头单位工作完成情况。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≥98%</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7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15</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15</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1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1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2"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1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履职目标实现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3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部门年度总体工作完成情况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0.99</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7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10</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10</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1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1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2"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1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履职效益</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38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以常态化为中心工作，高效推进科技信息化工作，完善监督机制，强化监督成效。</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0.98</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7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15</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15</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1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1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2"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1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38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群众满意度</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0.99</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7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20</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20</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1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1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05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7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100</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7"/>
              </w:rPr>
              <w:t xml:space="preserve">99.5</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191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bl>
    <w:p>
      <w:pPr>
        <w:sectPr>
          <w:pgSz w:w="16839" w:h="11907" w:orient="landscape"/>
          <w:pgMar w:top="400" w:right="1000" w:bottom="400" w:left="1000" w:header="720" w:footer="720" w:gutter="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88"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3691"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4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14</TotalTime>
  <Pages>44</Pages>
  <Words>6695</Words>
  <Characters>19169</Characters>
  <Application>WPS Office_12.1.0.18240_F1E327BC-269C-435d-A152-05C5408002CA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2024-09-25T01:00:48Z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