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许昌市乡村振兴监测中心单位决算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许昌市乡村振兴监测中心概况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许昌市乡村振兴监测中心概况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（一）承担全市返贫动态监测工作；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（二）承担监测对象风险消除评估工作；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（三）承担脱贫户、脱贫不稳定户、边缘易致贫户、突发严重困难户、出列村以及乡村治理、乡村建设等信息采集、整理、统计分析、反馈发布、咨询服务等工作；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（四）协助做好脱贫评估相关服务工作。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许昌市乡村振兴监测中心内设机构 1个,包括：办公室。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从决算单位构成看，许昌市乡村振兴监测中心单位决算包括：本级决算（1个）。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 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1.许昌市乡村振兴监测中心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单位：许昌市乡村振兴监测中心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218.06</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11.23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11.88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6.07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177.25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11.63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218.06</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218.06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218.06</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218.06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单位：许昌市乡村振兴监测中心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218.06</w:t>
            </w:r>
          </w:p>
        </w:tc>
        <w:tc>
          <w:tcPr>
            <w:tcW w:w="1440" w:type="dxa"/>
            <w:vAlign w:val="center"/>
          </w:tcPr>
          <w:p>
            <w:pPr>
              <w:jc w:val="right"/>
            </w:pPr>
            <w:r>
              <w:rPr>
                <w:rFonts w:ascii="宋体" w:hAnsi="宋体" w:eastAsia="宋体" w:cs="宋体"/>
                <w:b/>
                <w:i w:val="0"/>
                <w:color w:val="000000"/>
                <w:sz w:val="17"/>
              </w:rPr>
              <w:t>218.06</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11.23</w:t>
            </w:r>
          </w:p>
        </w:tc>
        <w:tc>
          <w:tcPr>
            <w:tcW w:w="1440" w:type="dxa"/>
            <w:vAlign w:val="center"/>
          </w:tcPr>
          <w:p>
            <w:pPr>
              <w:jc w:val="right"/>
            </w:pPr>
            <w:r>
              <w:rPr>
                <w:rFonts w:ascii="宋体" w:hAnsi="宋体" w:eastAsia="宋体" w:cs="宋体"/>
                <w:b w:val="0"/>
                <w:i w:val="0"/>
                <w:color w:val="000000"/>
                <w:sz w:val="17"/>
              </w:rPr>
              <w:t>11.23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1.02</w:t>
            </w:r>
          </w:p>
        </w:tc>
        <w:tc>
          <w:tcPr>
            <w:tcW w:w="1440" w:type="dxa"/>
            <w:vAlign w:val="center"/>
          </w:tcPr>
          <w:p>
            <w:pPr>
              <w:jc w:val="right"/>
            </w:pPr>
            <w:r>
              <w:rPr>
                <w:rFonts w:ascii="宋体" w:hAnsi="宋体" w:eastAsia="宋体" w:cs="宋体"/>
                <w:b w:val="0"/>
                <w:i w:val="0"/>
                <w:color w:val="000000"/>
                <w:sz w:val="17"/>
              </w:rPr>
              <w:t>1.02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1.02</w:t>
            </w:r>
          </w:p>
        </w:tc>
        <w:tc>
          <w:tcPr>
            <w:tcW w:w="1440" w:type="dxa"/>
            <w:vAlign w:val="center"/>
          </w:tcPr>
          <w:p>
            <w:pPr>
              <w:jc w:val="right"/>
            </w:pPr>
            <w:r>
              <w:rPr>
                <w:rFonts w:ascii="宋体" w:hAnsi="宋体" w:eastAsia="宋体" w:cs="宋体"/>
                <w:b w:val="0"/>
                <w:i w:val="0"/>
                <w:color w:val="000000"/>
                <w:sz w:val="17"/>
              </w:rPr>
              <w:t>1.02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10.21</w:t>
            </w:r>
          </w:p>
        </w:tc>
        <w:tc>
          <w:tcPr>
            <w:tcW w:w="1440" w:type="dxa"/>
            <w:vAlign w:val="center"/>
          </w:tcPr>
          <w:p>
            <w:pPr>
              <w:jc w:val="right"/>
            </w:pPr>
            <w:r>
              <w:rPr>
                <w:rFonts w:ascii="宋体" w:hAnsi="宋体" w:eastAsia="宋体" w:cs="宋体"/>
                <w:b w:val="0"/>
                <w:i w:val="0"/>
                <w:color w:val="000000"/>
                <w:sz w:val="17"/>
              </w:rPr>
              <w:t>10.21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10.21</w:t>
            </w:r>
          </w:p>
        </w:tc>
        <w:tc>
          <w:tcPr>
            <w:tcW w:w="1440" w:type="dxa"/>
            <w:vAlign w:val="center"/>
          </w:tcPr>
          <w:p>
            <w:pPr>
              <w:jc w:val="right"/>
            </w:pPr>
            <w:r>
              <w:rPr>
                <w:rFonts w:ascii="宋体" w:hAnsi="宋体" w:eastAsia="宋体" w:cs="宋体"/>
                <w:b w:val="0"/>
                <w:i w:val="0"/>
                <w:color w:val="000000"/>
                <w:sz w:val="17"/>
              </w:rPr>
              <w:t>10.21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11.88</w:t>
            </w:r>
          </w:p>
        </w:tc>
        <w:tc>
          <w:tcPr>
            <w:tcW w:w="1440" w:type="dxa"/>
            <w:vAlign w:val="center"/>
          </w:tcPr>
          <w:p>
            <w:pPr>
              <w:jc w:val="right"/>
            </w:pPr>
            <w:r>
              <w:rPr>
                <w:rFonts w:ascii="宋体" w:hAnsi="宋体" w:eastAsia="宋体" w:cs="宋体"/>
                <w:b w:val="0"/>
                <w:i w:val="0"/>
                <w:color w:val="000000"/>
                <w:sz w:val="17"/>
              </w:rPr>
              <w:t>11.88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11.88</w:t>
            </w:r>
          </w:p>
        </w:tc>
        <w:tc>
          <w:tcPr>
            <w:tcW w:w="1440" w:type="dxa"/>
            <w:vAlign w:val="center"/>
          </w:tcPr>
          <w:p>
            <w:pPr>
              <w:jc w:val="right"/>
            </w:pPr>
            <w:r>
              <w:rPr>
                <w:rFonts w:ascii="宋体" w:hAnsi="宋体" w:eastAsia="宋体" w:cs="宋体"/>
                <w:b w:val="0"/>
                <w:i w:val="0"/>
                <w:color w:val="000000"/>
                <w:sz w:val="17"/>
              </w:rPr>
              <w:t>11.88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11.88</w:t>
            </w:r>
          </w:p>
        </w:tc>
        <w:tc>
          <w:tcPr>
            <w:tcW w:w="1440" w:type="dxa"/>
            <w:vAlign w:val="center"/>
          </w:tcPr>
          <w:p>
            <w:pPr>
              <w:jc w:val="right"/>
            </w:pPr>
            <w:r>
              <w:rPr>
                <w:rFonts w:ascii="宋体" w:hAnsi="宋体" w:eastAsia="宋体" w:cs="宋体"/>
                <w:b w:val="0"/>
                <w:i w:val="0"/>
                <w:color w:val="000000"/>
                <w:sz w:val="17"/>
              </w:rPr>
              <w:t>11.88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6.07</w:t>
            </w:r>
          </w:p>
        </w:tc>
        <w:tc>
          <w:tcPr>
            <w:tcW w:w="1440" w:type="dxa"/>
            <w:vAlign w:val="center"/>
          </w:tcPr>
          <w:p>
            <w:pPr>
              <w:jc w:val="right"/>
            </w:pPr>
            <w:r>
              <w:rPr>
                <w:rFonts w:ascii="宋体" w:hAnsi="宋体" w:eastAsia="宋体" w:cs="宋体"/>
                <w:b w:val="0"/>
                <w:i w:val="0"/>
                <w:color w:val="000000"/>
                <w:sz w:val="17"/>
              </w:rPr>
              <w:t>6.07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6.07</w:t>
            </w:r>
          </w:p>
        </w:tc>
        <w:tc>
          <w:tcPr>
            <w:tcW w:w="1440" w:type="dxa"/>
            <w:vAlign w:val="center"/>
          </w:tcPr>
          <w:p>
            <w:pPr>
              <w:jc w:val="right"/>
            </w:pPr>
            <w:r>
              <w:rPr>
                <w:rFonts w:ascii="宋体" w:hAnsi="宋体" w:eastAsia="宋体" w:cs="宋体"/>
                <w:b w:val="0"/>
                <w:i w:val="0"/>
                <w:color w:val="000000"/>
                <w:sz w:val="17"/>
              </w:rPr>
              <w:t>6.07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6.07</w:t>
            </w:r>
          </w:p>
        </w:tc>
        <w:tc>
          <w:tcPr>
            <w:tcW w:w="1440" w:type="dxa"/>
            <w:vAlign w:val="center"/>
          </w:tcPr>
          <w:p>
            <w:pPr>
              <w:jc w:val="right"/>
            </w:pPr>
            <w:r>
              <w:rPr>
                <w:rFonts w:ascii="宋体" w:hAnsi="宋体" w:eastAsia="宋体" w:cs="宋体"/>
                <w:b w:val="0"/>
                <w:i w:val="0"/>
                <w:color w:val="000000"/>
                <w:sz w:val="17"/>
              </w:rPr>
              <w:t>6.07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177.25</w:t>
            </w:r>
          </w:p>
        </w:tc>
        <w:tc>
          <w:tcPr>
            <w:tcW w:w="1440" w:type="dxa"/>
            <w:vAlign w:val="center"/>
          </w:tcPr>
          <w:p>
            <w:pPr>
              <w:jc w:val="right"/>
            </w:pPr>
            <w:r>
              <w:rPr>
                <w:rFonts w:ascii="宋体" w:hAnsi="宋体" w:eastAsia="宋体" w:cs="宋体"/>
                <w:b w:val="0"/>
                <w:i w:val="0"/>
                <w:color w:val="000000"/>
                <w:sz w:val="17"/>
              </w:rPr>
              <w:t>177.25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177.25</w:t>
            </w:r>
          </w:p>
        </w:tc>
        <w:tc>
          <w:tcPr>
            <w:tcW w:w="1440" w:type="dxa"/>
            <w:vAlign w:val="center"/>
          </w:tcPr>
          <w:p>
            <w:pPr>
              <w:jc w:val="right"/>
            </w:pPr>
            <w:r>
              <w:rPr>
                <w:rFonts w:ascii="宋体" w:hAnsi="宋体" w:eastAsia="宋体" w:cs="宋体"/>
                <w:b w:val="0"/>
                <w:i w:val="0"/>
                <w:color w:val="000000"/>
                <w:sz w:val="17"/>
              </w:rPr>
              <w:t>177.25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177.25</w:t>
            </w:r>
          </w:p>
        </w:tc>
        <w:tc>
          <w:tcPr>
            <w:tcW w:w="1440" w:type="dxa"/>
            <w:vAlign w:val="center"/>
          </w:tcPr>
          <w:p>
            <w:pPr>
              <w:jc w:val="right"/>
            </w:pPr>
            <w:r>
              <w:rPr>
                <w:rFonts w:ascii="宋体" w:hAnsi="宋体" w:eastAsia="宋体" w:cs="宋体"/>
                <w:b w:val="0"/>
                <w:i w:val="0"/>
                <w:color w:val="000000"/>
                <w:sz w:val="17"/>
              </w:rPr>
              <w:t>177.25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11.63</w:t>
            </w:r>
          </w:p>
        </w:tc>
        <w:tc>
          <w:tcPr>
            <w:tcW w:w="1440" w:type="dxa"/>
            <w:vAlign w:val="center"/>
          </w:tcPr>
          <w:p>
            <w:pPr>
              <w:jc w:val="right"/>
            </w:pPr>
            <w:r>
              <w:rPr>
                <w:rFonts w:ascii="宋体" w:hAnsi="宋体" w:eastAsia="宋体" w:cs="宋体"/>
                <w:b w:val="0"/>
                <w:i w:val="0"/>
                <w:color w:val="000000"/>
                <w:sz w:val="17"/>
              </w:rPr>
              <w:t>11.63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11.63</w:t>
            </w:r>
          </w:p>
        </w:tc>
        <w:tc>
          <w:tcPr>
            <w:tcW w:w="1440" w:type="dxa"/>
            <w:vAlign w:val="center"/>
          </w:tcPr>
          <w:p>
            <w:pPr>
              <w:jc w:val="right"/>
            </w:pPr>
            <w:r>
              <w:rPr>
                <w:rFonts w:ascii="宋体" w:hAnsi="宋体" w:eastAsia="宋体" w:cs="宋体"/>
                <w:b w:val="0"/>
                <w:i w:val="0"/>
                <w:color w:val="000000"/>
                <w:sz w:val="17"/>
              </w:rPr>
              <w:t>11.63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11.63</w:t>
            </w:r>
          </w:p>
        </w:tc>
        <w:tc>
          <w:tcPr>
            <w:tcW w:w="1440" w:type="dxa"/>
            <w:vAlign w:val="center"/>
          </w:tcPr>
          <w:p>
            <w:pPr>
              <w:jc w:val="right"/>
            </w:pPr>
            <w:r>
              <w:rPr>
                <w:rFonts w:ascii="宋体" w:hAnsi="宋体" w:eastAsia="宋体" w:cs="宋体"/>
                <w:b w:val="0"/>
                <w:i w:val="0"/>
                <w:color w:val="000000"/>
                <w:sz w:val="17"/>
              </w:rPr>
              <w:t>11.63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单位：许昌市乡村振兴监测中心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218.06</w:t>
            </w:r>
          </w:p>
        </w:tc>
        <w:tc>
          <w:tcPr>
            <w:tcW w:w="1600" w:type="dxa"/>
            <w:vAlign w:val="center"/>
          </w:tcPr>
          <w:p>
            <w:pPr>
              <w:jc w:val="right"/>
            </w:pPr>
            <w:r>
              <w:rPr>
                <w:rFonts w:ascii="宋体" w:hAnsi="宋体" w:eastAsia="宋体" w:cs="宋体"/>
                <w:b/>
                <w:i w:val="0"/>
                <w:color w:val="000000"/>
                <w:sz w:val="19"/>
              </w:rPr>
              <w:t>218.06</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11.23</w:t>
            </w:r>
          </w:p>
        </w:tc>
        <w:tc>
          <w:tcPr>
            <w:tcW w:w="1600" w:type="dxa"/>
            <w:vAlign w:val="center"/>
          </w:tcPr>
          <w:p>
            <w:pPr>
              <w:jc w:val="right"/>
            </w:pPr>
            <w:r>
              <w:rPr>
                <w:rFonts w:ascii="宋体" w:hAnsi="宋体" w:eastAsia="宋体" w:cs="宋体"/>
                <w:b w:val="0"/>
                <w:i w:val="0"/>
                <w:color w:val="000000"/>
                <w:sz w:val="19"/>
              </w:rPr>
              <w:t>11.23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1.02</w:t>
            </w:r>
          </w:p>
        </w:tc>
        <w:tc>
          <w:tcPr>
            <w:tcW w:w="1600" w:type="dxa"/>
            <w:vAlign w:val="center"/>
          </w:tcPr>
          <w:p>
            <w:pPr>
              <w:jc w:val="right"/>
            </w:pPr>
            <w:r>
              <w:rPr>
                <w:rFonts w:ascii="宋体" w:hAnsi="宋体" w:eastAsia="宋体" w:cs="宋体"/>
                <w:b w:val="0"/>
                <w:i w:val="0"/>
                <w:color w:val="000000"/>
                <w:sz w:val="19"/>
              </w:rPr>
              <w:t>1.02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1.02</w:t>
            </w:r>
          </w:p>
        </w:tc>
        <w:tc>
          <w:tcPr>
            <w:tcW w:w="1600" w:type="dxa"/>
            <w:vAlign w:val="center"/>
          </w:tcPr>
          <w:p>
            <w:pPr>
              <w:jc w:val="right"/>
            </w:pPr>
            <w:r>
              <w:rPr>
                <w:rFonts w:ascii="宋体" w:hAnsi="宋体" w:eastAsia="宋体" w:cs="宋体"/>
                <w:b w:val="0"/>
                <w:i w:val="0"/>
                <w:color w:val="000000"/>
                <w:sz w:val="19"/>
              </w:rPr>
              <w:t>1.02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10.21</w:t>
            </w:r>
          </w:p>
        </w:tc>
        <w:tc>
          <w:tcPr>
            <w:tcW w:w="1600" w:type="dxa"/>
            <w:vAlign w:val="center"/>
          </w:tcPr>
          <w:p>
            <w:pPr>
              <w:jc w:val="right"/>
            </w:pPr>
            <w:r>
              <w:rPr>
                <w:rFonts w:ascii="宋体" w:hAnsi="宋体" w:eastAsia="宋体" w:cs="宋体"/>
                <w:b w:val="0"/>
                <w:i w:val="0"/>
                <w:color w:val="000000"/>
                <w:sz w:val="19"/>
              </w:rPr>
              <w:t>10.21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10.21</w:t>
            </w:r>
          </w:p>
        </w:tc>
        <w:tc>
          <w:tcPr>
            <w:tcW w:w="1600" w:type="dxa"/>
            <w:vAlign w:val="center"/>
          </w:tcPr>
          <w:p>
            <w:pPr>
              <w:jc w:val="right"/>
            </w:pPr>
            <w:r>
              <w:rPr>
                <w:rFonts w:ascii="宋体" w:hAnsi="宋体" w:eastAsia="宋体" w:cs="宋体"/>
                <w:b w:val="0"/>
                <w:i w:val="0"/>
                <w:color w:val="000000"/>
                <w:sz w:val="19"/>
              </w:rPr>
              <w:t>10.21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11.88</w:t>
            </w:r>
          </w:p>
        </w:tc>
        <w:tc>
          <w:tcPr>
            <w:tcW w:w="1600" w:type="dxa"/>
            <w:vAlign w:val="center"/>
          </w:tcPr>
          <w:p>
            <w:pPr>
              <w:jc w:val="right"/>
            </w:pPr>
            <w:r>
              <w:rPr>
                <w:rFonts w:ascii="宋体" w:hAnsi="宋体" w:eastAsia="宋体" w:cs="宋体"/>
                <w:b w:val="0"/>
                <w:i w:val="0"/>
                <w:color w:val="000000"/>
                <w:sz w:val="19"/>
              </w:rPr>
              <w:t>11.88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11.88</w:t>
            </w:r>
          </w:p>
        </w:tc>
        <w:tc>
          <w:tcPr>
            <w:tcW w:w="1600" w:type="dxa"/>
            <w:vAlign w:val="center"/>
          </w:tcPr>
          <w:p>
            <w:pPr>
              <w:jc w:val="right"/>
            </w:pPr>
            <w:r>
              <w:rPr>
                <w:rFonts w:ascii="宋体" w:hAnsi="宋体" w:eastAsia="宋体" w:cs="宋体"/>
                <w:b w:val="0"/>
                <w:i w:val="0"/>
                <w:color w:val="000000"/>
                <w:sz w:val="19"/>
              </w:rPr>
              <w:t>11.88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11.88</w:t>
            </w:r>
          </w:p>
        </w:tc>
        <w:tc>
          <w:tcPr>
            <w:tcW w:w="1600" w:type="dxa"/>
            <w:vAlign w:val="center"/>
          </w:tcPr>
          <w:p>
            <w:pPr>
              <w:jc w:val="right"/>
            </w:pPr>
            <w:r>
              <w:rPr>
                <w:rFonts w:ascii="宋体" w:hAnsi="宋体" w:eastAsia="宋体" w:cs="宋体"/>
                <w:b w:val="0"/>
                <w:i w:val="0"/>
                <w:color w:val="000000"/>
                <w:sz w:val="19"/>
              </w:rPr>
              <w:t>11.88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6.07</w:t>
            </w:r>
          </w:p>
        </w:tc>
        <w:tc>
          <w:tcPr>
            <w:tcW w:w="1600" w:type="dxa"/>
            <w:vAlign w:val="center"/>
          </w:tcPr>
          <w:p>
            <w:pPr>
              <w:jc w:val="right"/>
            </w:pPr>
            <w:r>
              <w:rPr>
                <w:rFonts w:ascii="宋体" w:hAnsi="宋体" w:eastAsia="宋体" w:cs="宋体"/>
                <w:b w:val="0"/>
                <w:i w:val="0"/>
                <w:color w:val="000000"/>
                <w:sz w:val="19"/>
              </w:rPr>
              <w:t>6.07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6.07</w:t>
            </w:r>
          </w:p>
        </w:tc>
        <w:tc>
          <w:tcPr>
            <w:tcW w:w="1600" w:type="dxa"/>
            <w:vAlign w:val="center"/>
          </w:tcPr>
          <w:p>
            <w:pPr>
              <w:jc w:val="right"/>
            </w:pPr>
            <w:r>
              <w:rPr>
                <w:rFonts w:ascii="宋体" w:hAnsi="宋体" w:eastAsia="宋体" w:cs="宋体"/>
                <w:b w:val="0"/>
                <w:i w:val="0"/>
                <w:color w:val="000000"/>
                <w:sz w:val="19"/>
              </w:rPr>
              <w:t>6.07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6.07</w:t>
            </w:r>
          </w:p>
        </w:tc>
        <w:tc>
          <w:tcPr>
            <w:tcW w:w="1600" w:type="dxa"/>
            <w:vAlign w:val="center"/>
          </w:tcPr>
          <w:p>
            <w:pPr>
              <w:jc w:val="right"/>
            </w:pPr>
            <w:r>
              <w:rPr>
                <w:rFonts w:ascii="宋体" w:hAnsi="宋体" w:eastAsia="宋体" w:cs="宋体"/>
                <w:b w:val="0"/>
                <w:i w:val="0"/>
                <w:color w:val="000000"/>
                <w:sz w:val="19"/>
              </w:rPr>
              <w:t>6.07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177.25</w:t>
            </w:r>
          </w:p>
        </w:tc>
        <w:tc>
          <w:tcPr>
            <w:tcW w:w="1600" w:type="dxa"/>
            <w:vAlign w:val="center"/>
          </w:tcPr>
          <w:p>
            <w:pPr>
              <w:jc w:val="right"/>
            </w:pPr>
            <w:r>
              <w:rPr>
                <w:rFonts w:ascii="宋体" w:hAnsi="宋体" w:eastAsia="宋体" w:cs="宋体"/>
                <w:b w:val="0"/>
                <w:i w:val="0"/>
                <w:color w:val="000000"/>
                <w:sz w:val="19"/>
              </w:rPr>
              <w:t>177.25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177.25</w:t>
            </w:r>
          </w:p>
        </w:tc>
        <w:tc>
          <w:tcPr>
            <w:tcW w:w="1600" w:type="dxa"/>
            <w:vAlign w:val="center"/>
          </w:tcPr>
          <w:p>
            <w:pPr>
              <w:jc w:val="right"/>
            </w:pPr>
            <w:r>
              <w:rPr>
                <w:rFonts w:ascii="宋体" w:hAnsi="宋体" w:eastAsia="宋体" w:cs="宋体"/>
                <w:b w:val="0"/>
                <w:i w:val="0"/>
                <w:color w:val="000000"/>
                <w:sz w:val="19"/>
              </w:rPr>
              <w:t>177.25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177.25</w:t>
            </w:r>
          </w:p>
        </w:tc>
        <w:tc>
          <w:tcPr>
            <w:tcW w:w="1600" w:type="dxa"/>
            <w:vAlign w:val="center"/>
          </w:tcPr>
          <w:p>
            <w:pPr>
              <w:jc w:val="right"/>
            </w:pPr>
            <w:r>
              <w:rPr>
                <w:rFonts w:ascii="宋体" w:hAnsi="宋体" w:eastAsia="宋体" w:cs="宋体"/>
                <w:b w:val="0"/>
                <w:i w:val="0"/>
                <w:color w:val="000000"/>
                <w:sz w:val="19"/>
              </w:rPr>
              <w:t>177.25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11.63</w:t>
            </w:r>
          </w:p>
        </w:tc>
        <w:tc>
          <w:tcPr>
            <w:tcW w:w="1600" w:type="dxa"/>
            <w:vAlign w:val="center"/>
          </w:tcPr>
          <w:p>
            <w:pPr>
              <w:jc w:val="right"/>
            </w:pPr>
            <w:r>
              <w:rPr>
                <w:rFonts w:ascii="宋体" w:hAnsi="宋体" w:eastAsia="宋体" w:cs="宋体"/>
                <w:b w:val="0"/>
                <w:i w:val="0"/>
                <w:color w:val="000000"/>
                <w:sz w:val="19"/>
              </w:rPr>
              <w:t>11.63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11.63</w:t>
            </w:r>
          </w:p>
        </w:tc>
        <w:tc>
          <w:tcPr>
            <w:tcW w:w="1600" w:type="dxa"/>
            <w:vAlign w:val="center"/>
          </w:tcPr>
          <w:p>
            <w:pPr>
              <w:jc w:val="right"/>
            </w:pPr>
            <w:r>
              <w:rPr>
                <w:rFonts w:ascii="宋体" w:hAnsi="宋体" w:eastAsia="宋体" w:cs="宋体"/>
                <w:b w:val="0"/>
                <w:i w:val="0"/>
                <w:color w:val="000000"/>
                <w:sz w:val="19"/>
              </w:rPr>
              <w:t>11.63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11.63</w:t>
            </w:r>
          </w:p>
        </w:tc>
        <w:tc>
          <w:tcPr>
            <w:tcW w:w="1600" w:type="dxa"/>
            <w:vAlign w:val="center"/>
          </w:tcPr>
          <w:p>
            <w:pPr>
              <w:jc w:val="right"/>
            </w:pPr>
            <w:r>
              <w:rPr>
                <w:rFonts w:ascii="宋体" w:hAnsi="宋体" w:eastAsia="宋体" w:cs="宋体"/>
                <w:b w:val="0"/>
                <w:i w:val="0"/>
                <w:color w:val="000000"/>
                <w:sz w:val="19"/>
              </w:rPr>
              <w:t>11.63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单位：许昌市乡村振兴监测中心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218.06</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11.23</w:t>
            </w:r>
          </w:p>
        </w:tc>
        <w:tc>
          <w:tcPr>
            <w:tcW w:w="1420" w:type="dxa"/>
            <w:vAlign w:val="center"/>
          </w:tcPr>
          <w:p>
            <w:pPr>
              <w:jc w:val="right"/>
            </w:pPr>
            <w:r>
              <w:rPr>
                <w:rFonts w:ascii="宋体" w:hAnsi="宋体" w:eastAsia="宋体" w:cs="宋体"/>
                <w:b w:val="0"/>
                <w:i w:val="0"/>
                <w:color w:val="000000"/>
                <w:sz w:val="18"/>
              </w:rPr>
              <w:t>11.23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11.88</w:t>
            </w:r>
          </w:p>
        </w:tc>
        <w:tc>
          <w:tcPr>
            <w:tcW w:w="1420" w:type="dxa"/>
            <w:vAlign w:val="center"/>
          </w:tcPr>
          <w:p>
            <w:pPr>
              <w:jc w:val="right"/>
            </w:pPr>
            <w:r>
              <w:rPr>
                <w:rFonts w:ascii="宋体" w:hAnsi="宋体" w:eastAsia="宋体" w:cs="宋体"/>
                <w:b w:val="0"/>
                <w:i w:val="0"/>
                <w:color w:val="000000"/>
                <w:sz w:val="18"/>
              </w:rPr>
              <w:t>11.88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6.07</w:t>
            </w:r>
          </w:p>
        </w:tc>
        <w:tc>
          <w:tcPr>
            <w:tcW w:w="1420" w:type="dxa"/>
            <w:vAlign w:val="center"/>
          </w:tcPr>
          <w:p>
            <w:pPr>
              <w:jc w:val="right"/>
            </w:pPr>
            <w:r>
              <w:rPr>
                <w:rFonts w:ascii="宋体" w:hAnsi="宋体" w:eastAsia="宋体" w:cs="宋体"/>
                <w:b w:val="0"/>
                <w:i w:val="0"/>
                <w:color w:val="000000"/>
                <w:sz w:val="18"/>
              </w:rPr>
              <w:t>6.07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177.25</w:t>
            </w:r>
          </w:p>
        </w:tc>
        <w:tc>
          <w:tcPr>
            <w:tcW w:w="1420" w:type="dxa"/>
            <w:vAlign w:val="center"/>
          </w:tcPr>
          <w:p>
            <w:pPr>
              <w:jc w:val="right"/>
            </w:pPr>
            <w:r>
              <w:rPr>
                <w:rFonts w:ascii="宋体" w:hAnsi="宋体" w:eastAsia="宋体" w:cs="宋体"/>
                <w:b w:val="0"/>
                <w:i w:val="0"/>
                <w:color w:val="000000"/>
                <w:sz w:val="18"/>
              </w:rPr>
              <w:t>177.25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11.63</w:t>
            </w:r>
          </w:p>
        </w:tc>
        <w:tc>
          <w:tcPr>
            <w:tcW w:w="1420" w:type="dxa"/>
            <w:vAlign w:val="center"/>
          </w:tcPr>
          <w:p>
            <w:pPr>
              <w:jc w:val="right"/>
            </w:pPr>
            <w:r>
              <w:rPr>
                <w:rFonts w:ascii="宋体" w:hAnsi="宋体" w:eastAsia="宋体" w:cs="宋体"/>
                <w:b w:val="0"/>
                <w:i w:val="0"/>
                <w:color w:val="000000"/>
                <w:sz w:val="18"/>
              </w:rPr>
              <w:t>11.63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218.06</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218.06</w:t>
            </w:r>
          </w:p>
        </w:tc>
        <w:tc>
          <w:tcPr>
            <w:tcW w:w="1420" w:type="dxa"/>
            <w:vAlign w:val="center"/>
          </w:tcPr>
          <w:p>
            <w:pPr>
              <w:jc w:val="right"/>
            </w:pPr>
            <w:r>
              <w:rPr>
                <w:rFonts w:ascii="宋体" w:hAnsi="宋体" w:eastAsia="宋体" w:cs="宋体"/>
                <w:b w:val="0"/>
                <w:i w:val="0"/>
                <w:color w:val="000000"/>
                <w:sz w:val="18"/>
              </w:rPr>
              <w:t>218.06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218.06</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218.06</w:t>
            </w:r>
          </w:p>
        </w:tc>
        <w:tc>
          <w:tcPr>
            <w:tcW w:w="1420" w:type="dxa"/>
            <w:vAlign w:val="center"/>
          </w:tcPr>
          <w:p>
            <w:pPr>
              <w:jc w:val="right"/>
            </w:pPr>
            <w:r>
              <w:rPr>
                <w:rFonts w:ascii="宋体" w:hAnsi="宋体" w:eastAsia="宋体" w:cs="宋体"/>
                <w:b w:val="0"/>
                <w:i w:val="0"/>
                <w:color w:val="000000"/>
                <w:sz w:val="18"/>
              </w:rPr>
              <w:t>218.06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单位：许昌市乡村振兴监测中心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218.06</w:t>
            </w:r>
          </w:p>
        </w:tc>
        <w:tc>
          <w:tcPr>
            <w:tcW w:w="2700" w:type="dxa"/>
            <w:vAlign w:val="center"/>
          </w:tcPr>
          <w:p>
            <w:pPr>
              <w:jc w:val="right"/>
            </w:pPr>
            <w:r>
              <w:rPr>
                <w:rFonts w:ascii="宋体" w:hAnsi="宋体" w:eastAsia="宋体" w:cs="宋体"/>
                <w:b/>
                <w:i w:val="0"/>
                <w:color w:val="000000"/>
                <w:sz w:val="25"/>
              </w:rPr>
              <w:t>218.06</w:t>
            </w:r>
          </w:p>
        </w:tc>
        <w:tc>
          <w:tcPr>
            <w:tcW w:w="2658" w:type="dxa"/>
            <w:vAlign w:val="center"/>
          </w:tcPr>
          <w:p>
            <w:pPr>
              <w:jc w:val="right"/>
            </w:pPr>
            <w:r>
              <w:rPr>
                <w:rFonts w:ascii="宋体" w:hAnsi="宋体" w:eastAsia="宋体" w:cs="宋体"/>
                <w:b/>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11.23</w:t>
            </w:r>
          </w:p>
        </w:tc>
        <w:tc>
          <w:tcPr>
            <w:tcW w:w="2700" w:type="dxa"/>
            <w:vAlign w:val="center"/>
          </w:tcPr>
          <w:p>
            <w:pPr>
              <w:jc w:val="right"/>
            </w:pPr>
            <w:r>
              <w:rPr>
                <w:rFonts w:ascii="宋体" w:hAnsi="宋体" w:eastAsia="宋体" w:cs="宋体"/>
                <w:b w:val="0"/>
                <w:i w:val="0"/>
                <w:color w:val="000000"/>
                <w:sz w:val="25"/>
              </w:rPr>
              <w:t>11.23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1.02</w:t>
            </w:r>
          </w:p>
        </w:tc>
        <w:tc>
          <w:tcPr>
            <w:tcW w:w="2700" w:type="dxa"/>
            <w:vAlign w:val="center"/>
          </w:tcPr>
          <w:p>
            <w:pPr>
              <w:jc w:val="right"/>
            </w:pPr>
            <w:r>
              <w:rPr>
                <w:rFonts w:ascii="宋体" w:hAnsi="宋体" w:eastAsia="宋体" w:cs="宋体"/>
                <w:b w:val="0"/>
                <w:i w:val="0"/>
                <w:color w:val="000000"/>
                <w:sz w:val="25"/>
              </w:rPr>
              <w:t>1.02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1.02</w:t>
            </w:r>
          </w:p>
        </w:tc>
        <w:tc>
          <w:tcPr>
            <w:tcW w:w="2700" w:type="dxa"/>
            <w:vAlign w:val="center"/>
          </w:tcPr>
          <w:p>
            <w:pPr>
              <w:jc w:val="right"/>
            </w:pPr>
            <w:r>
              <w:rPr>
                <w:rFonts w:ascii="宋体" w:hAnsi="宋体" w:eastAsia="宋体" w:cs="宋体"/>
                <w:b w:val="0"/>
                <w:i w:val="0"/>
                <w:color w:val="000000"/>
                <w:sz w:val="25"/>
              </w:rPr>
              <w:t>1.02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10.21</w:t>
            </w:r>
          </w:p>
        </w:tc>
        <w:tc>
          <w:tcPr>
            <w:tcW w:w="2700" w:type="dxa"/>
            <w:vAlign w:val="center"/>
          </w:tcPr>
          <w:p>
            <w:pPr>
              <w:jc w:val="right"/>
            </w:pPr>
            <w:r>
              <w:rPr>
                <w:rFonts w:ascii="宋体" w:hAnsi="宋体" w:eastAsia="宋体" w:cs="宋体"/>
                <w:b w:val="0"/>
                <w:i w:val="0"/>
                <w:color w:val="000000"/>
                <w:sz w:val="25"/>
              </w:rPr>
              <w:t>10.21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10.21</w:t>
            </w:r>
          </w:p>
        </w:tc>
        <w:tc>
          <w:tcPr>
            <w:tcW w:w="2700" w:type="dxa"/>
            <w:vAlign w:val="center"/>
          </w:tcPr>
          <w:p>
            <w:pPr>
              <w:jc w:val="right"/>
            </w:pPr>
            <w:r>
              <w:rPr>
                <w:rFonts w:ascii="宋体" w:hAnsi="宋体" w:eastAsia="宋体" w:cs="宋体"/>
                <w:b w:val="0"/>
                <w:i w:val="0"/>
                <w:color w:val="000000"/>
                <w:sz w:val="25"/>
              </w:rPr>
              <w:t>10.21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11.88</w:t>
            </w:r>
          </w:p>
        </w:tc>
        <w:tc>
          <w:tcPr>
            <w:tcW w:w="2700" w:type="dxa"/>
            <w:vAlign w:val="center"/>
          </w:tcPr>
          <w:p>
            <w:pPr>
              <w:jc w:val="right"/>
            </w:pPr>
            <w:r>
              <w:rPr>
                <w:rFonts w:ascii="宋体" w:hAnsi="宋体" w:eastAsia="宋体" w:cs="宋体"/>
                <w:b w:val="0"/>
                <w:i w:val="0"/>
                <w:color w:val="000000"/>
                <w:sz w:val="25"/>
              </w:rPr>
              <w:t>11.88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11.88</w:t>
            </w:r>
          </w:p>
        </w:tc>
        <w:tc>
          <w:tcPr>
            <w:tcW w:w="2700" w:type="dxa"/>
            <w:vAlign w:val="center"/>
          </w:tcPr>
          <w:p>
            <w:pPr>
              <w:jc w:val="right"/>
            </w:pPr>
            <w:r>
              <w:rPr>
                <w:rFonts w:ascii="宋体" w:hAnsi="宋体" w:eastAsia="宋体" w:cs="宋体"/>
                <w:b w:val="0"/>
                <w:i w:val="0"/>
                <w:color w:val="000000"/>
                <w:sz w:val="25"/>
              </w:rPr>
              <w:t>11.88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11.88</w:t>
            </w:r>
          </w:p>
        </w:tc>
        <w:tc>
          <w:tcPr>
            <w:tcW w:w="2700" w:type="dxa"/>
            <w:vAlign w:val="center"/>
          </w:tcPr>
          <w:p>
            <w:pPr>
              <w:jc w:val="right"/>
            </w:pPr>
            <w:r>
              <w:rPr>
                <w:rFonts w:ascii="宋体" w:hAnsi="宋体" w:eastAsia="宋体" w:cs="宋体"/>
                <w:b w:val="0"/>
                <w:i w:val="0"/>
                <w:color w:val="000000"/>
                <w:sz w:val="25"/>
              </w:rPr>
              <w:t>11.88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6.07</w:t>
            </w:r>
          </w:p>
        </w:tc>
        <w:tc>
          <w:tcPr>
            <w:tcW w:w="2700" w:type="dxa"/>
            <w:vAlign w:val="center"/>
          </w:tcPr>
          <w:p>
            <w:pPr>
              <w:jc w:val="right"/>
            </w:pPr>
            <w:r>
              <w:rPr>
                <w:rFonts w:ascii="宋体" w:hAnsi="宋体" w:eastAsia="宋体" w:cs="宋体"/>
                <w:b w:val="0"/>
                <w:i w:val="0"/>
                <w:color w:val="000000"/>
                <w:sz w:val="25"/>
              </w:rPr>
              <w:t>6.07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6.07</w:t>
            </w:r>
          </w:p>
        </w:tc>
        <w:tc>
          <w:tcPr>
            <w:tcW w:w="2700" w:type="dxa"/>
            <w:vAlign w:val="center"/>
          </w:tcPr>
          <w:p>
            <w:pPr>
              <w:jc w:val="right"/>
            </w:pPr>
            <w:r>
              <w:rPr>
                <w:rFonts w:ascii="宋体" w:hAnsi="宋体" w:eastAsia="宋体" w:cs="宋体"/>
                <w:b w:val="0"/>
                <w:i w:val="0"/>
                <w:color w:val="000000"/>
                <w:sz w:val="25"/>
              </w:rPr>
              <w:t>6.07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6.07</w:t>
            </w:r>
          </w:p>
        </w:tc>
        <w:tc>
          <w:tcPr>
            <w:tcW w:w="2700" w:type="dxa"/>
            <w:vAlign w:val="center"/>
          </w:tcPr>
          <w:p>
            <w:pPr>
              <w:jc w:val="right"/>
            </w:pPr>
            <w:r>
              <w:rPr>
                <w:rFonts w:ascii="宋体" w:hAnsi="宋体" w:eastAsia="宋体" w:cs="宋体"/>
                <w:b w:val="0"/>
                <w:i w:val="0"/>
                <w:color w:val="000000"/>
                <w:sz w:val="25"/>
              </w:rPr>
              <w:t>6.07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177.25</w:t>
            </w:r>
          </w:p>
        </w:tc>
        <w:tc>
          <w:tcPr>
            <w:tcW w:w="2700" w:type="dxa"/>
            <w:vAlign w:val="center"/>
          </w:tcPr>
          <w:p>
            <w:pPr>
              <w:jc w:val="right"/>
            </w:pPr>
            <w:r>
              <w:rPr>
                <w:rFonts w:ascii="宋体" w:hAnsi="宋体" w:eastAsia="宋体" w:cs="宋体"/>
                <w:b w:val="0"/>
                <w:i w:val="0"/>
                <w:color w:val="000000"/>
                <w:sz w:val="25"/>
              </w:rPr>
              <w:t>177.25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177.25</w:t>
            </w:r>
          </w:p>
        </w:tc>
        <w:tc>
          <w:tcPr>
            <w:tcW w:w="2700" w:type="dxa"/>
            <w:vAlign w:val="center"/>
          </w:tcPr>
          <w:p>
            <w:pPr>
              <w:jc w:val="right"/>
            </w:pPr>
            <w:r>
              <w:rPr>
                <w:rFonts w:ascii="宋体" w:hAnsi="宋体" w:eastAsia="宋体" w:cs="宋体"/>
                <w:b w:val="0"/>
                <w:i w:val="0"/>
                <w:color w:val="000000"/>
                <w:sz w:val="25"/>
              </w:rPr>
              <w:t>177.25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177.25</w:t>
            </w:r>
          </w:p>
        </w:tc>
        <w:tc>
          <w:tcPr>
            <w:tcW w:w="2700" w:type="dxa"/>
            <w:vAlign w:val="center"/>
          </w:tcPr>
          <w:p>
            <w:pPr>
              <w:jc w:val="right"/>
            </w:pPr>
            <w:r>
              <w:rPr>
                <w:rFonts w:ascii="宋体" w:hAnsi="宋体" w:eastAsia="宋体" w:cs="宋体"/>
                <w:b w:val="0"/>
                <w:i w:val="0"/>
                <w:color w:val="000000"/>
                <w:sz w:val="25"/>
              </w:rPr>
              <w:t>177.25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11.63</w:t>
            </w:r>
          </w:p>
        </w:tc>
        <w:tc>
          <w:tcPr>
            <w:tcW w:w="2700" w:type="dxa"/>
            <w:vAlign w:val="center"/>
          </w:tcPr>
          <w:p>
            <w:pPr>
              <w:jc w:val="right"/>
            </w:pPr>
            <w:r>
              <w:rPr>
                <w:rFonts w:ascii="宋体" w:hAnsi="宋体" w:eastAsia="宋体" w:cs="宋体"/>
                <w:b w:val="0"/>
                <w:i w:val="0"/>
                <w:color w:val="000000"/>
                <w:sz w:val="25"/>
              </w:rPr>
              <w:t>11.63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11.63</w:t>
            </w:r>
          </w:p>
        </w:tc>
        <w:tc>
          <w:tcPr>
            <w:tcW w:w="2700" w:type="dxa"/>
            <w:vAlign w:val="center"/>
          </w:tcPr>
          <w:p>
            <w:pPr>
              <w:jc w:val="right"/>
            </w:pPr>
            <w:r>
              <w:rPr>
                <w:rFonts w:ascii="宋体" w:hAnsi="宋体" w:eastAsia="宋体" w:cs="宋体"/>
                <w:b w:val="0"/>
                <w:i w:val="0"/>
                <w:color w:val="000000"/>
                <w:sz w:val="25"/>
              </w:rPr>
              <w:t>11.63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11.63</w:t>
            </w:r>
          </w:p>
        </w:tc>
        <w:tc>
          <w:tcPr>
            <w:tcW w:w="2700" w:type="dxa"/>
            <w:vAlign w:val="center"/>
          </w:tcPr>
          <w:p>
            <w:pPr>
              <w:jc w:val="right"/>
            </w:pPr>
            <w:r>
              <w:rPr>
                <w:rFonts w:ascii="宋体" w:hAnsi="宋体" w:eastAsia="宋体" w:cs="宋体"/>
                <w:b w:val="0"/>
                <w:i w:val="0"/>
                <w:color w:val="000000"/>
                <w:sz w:val="25"/>
              </w:rPr>
              <w:t>11.63</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单位：许昌市乡村振兴监测中心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207.20</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10.86</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51.74</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2.69</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31.96</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1.50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61.07</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31.24</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12.48</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0.64</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6.07</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0.67</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2.81</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11.63</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0.49</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0.34</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1.02</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1.21</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0.50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207.20</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10.86</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单位：许昌市乡村振兴监测中心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单位：许昌市乡村振兴监测中心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单位：许昌市乡村振兴监测中心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2023年度收、支总计均为218.06万元。与上年度相比，收、支总计各增加13.46万元，增长6.58%。主要原因是本年度存在人员晋级晋档及职务晋升，人员经费支出增加。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218.06万元，其中：财政拨款收入218.06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2023年度支出合计218.06万元，其中：基本支出218.06万元，占100.00%；项目支出0.00万元，占0.00%；上缴上级支出0.00万元，占0.00%；经营支出0.00万元，占0.00%；对附属单位补助支出0.00万元，占0.00%。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2023年度财政拨款收、支总计均为218.06万元。与上年度相比，财政拨款收、支总计各增加13.46万元，增长6.58%。主要原因是本年度存在人员晋级晋档及职务晋升，人员经费支出增加。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2023年度一般公共预算财政拨款支出218.06万元，占支出合计的100.00%。与上年度相比，一般公共预算财政拨款支出增加13.46万元，增长6.58%。主要原因是本年度存在人员晋级晋档及职务晋升，人员经费支出增加。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218.06万元，主要用于以下方面：一般公共服务支出（类）11.23万元，占5.15%；社会保障和就业支出（类）11.88万元，占5.45%；卫生健康支出（类）6.07万元，占2.78%；农林水支出（类）177.25万元，占81.28%；住房保障支出（类）11.63万元，占5.34%。</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2023年度一般公共预算财政拨款支出年初预算为197.18万元，支出决算为218.06万元，完成年初预算的110.59%。其中：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年初预算数为1.02万元，决算数1.02万元,完成年初预算的100.00%，决算数与年初预算数不存在差异。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年初预算数为0.00万元，决算数10.21万元,决算数与年初预算数存在差异的主要原因是本年度发放2021年度平安建设奖支出。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年初预算数为11.88万元，决算数11.88万元,完成年初预算的100.00%，决算数与年初预算数不存在差异。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4.卫生健康支出（类）行政事业单位医疗（款）事业单位医疗（项）</w:t>
      </w:r>
      <w:r>
        <w:rPr>
          <w:rFonts w:hint="default" w:ascii="仿宋" w:hAnsi="仿宋" w:eastAsia="仿宋" w:cs="仿宋"/>
          <w:kern w:val="2"/>
          <w:sz w:val="32"/>
          <w:szCs w:val="32"/>
          <w:lang w:val="en-US" w:eastAsia="zh-CN"/>
        </w:rPr>
        <w:t>年初预算数为6.07万元，决算数6.07万元,完成年初预算的100.00%，决算数与年初预算数不存在差异。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5.农林水支出（类）巩固脱贫攻坚成果衔接乡村振兴（款）事业运行（项）</w:t>
      </w:r>
      <w:r>
        <w:rPr>
          <w:rFonts w:hint="default" w:ascii="仿宋" w:hAnsi="仿宋" w:eastAsia="仿宋" w:cs="仿宋"/>
          <w:kern w:val="2"/>
          <w:sz w:val="32"/>
          <w:szCs w:val="32"/>
          <w:lang w:val="en-US" w:eastAsia="zh-CN"/>
        </w:rPr>
        <w:t>年初预算数为166.56万元，决算数177.25万元,完成年初预算的106.42%，决算数与年初预算数存在差异的主要原因是本年度存在人员晋级晋档及职务晋升，人员经费支出增加。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6.住房保障支出（类）住房改革支出（款）住房公积金（项）</w:t>
      </w:r>
      <w:r>
        <w:rPr>
          <w:rFonts w:hint="default" w:ascii="仿宋" w:hAnsi="仿宋" w:eastAsia="仿宋" w:cs="仿宋"/>
          <w:kern w:val="2"/>
          <w:sz w:val="32"/>
          <w:szCs w:val="32"/>
          <w:lang w:val="en-US" w:eastAsia="zh-CN"/>
        </w:rPr>
        <w:t>年初预算数为11.63万元，决算数11.63万元,完成年初预算的100.00%，决算数与年初预算数不存在差异。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218.06万元。其中：人员经费207.20万元，主要包括：基本工资、津贴补贴、奖金、绩效工资、机关事业单位基本养老保险缴费、职工基本医疗保险缴费、其他社会保障缴费、住房公积金、其他工资福利支出。公用经费10.86万元，主要包括：办公费、印刷费、邮电费、差旅费、维修（护）费、工会经费、福利费、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预算为0.00万元，支出决算为0.00万元。决算数与预算数无差异。全年因公出国（境）团组0.00个，累计0.00人次。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0.00</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2023年期末，本单位共有车辆0.00辆，其中：省级领导干部用车0.00辆、主要领导干部用车0.00辆、机要通信用车0.00辆、应急保障车0.00辆、执法执勤用车0.00辆、特种专业技术用车0.00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辆、离退休干部用车0.00辆、其他用车0.00辆；单价100万元（含）以上设备（不含车辆）0.00台（套）。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219.33万元。自评得分为100分，等级为“优”。从单位整体自评情况来看，我单位认真贯彻落实预算绩效管理方面的规定及关于推进预算绩效管理改革各项要求的情况。通过科学规范制定管理制度有效的加强了预算绩效管理，基本构建起“预算编制有目标、预算执行有监控、预算完成有评价、评价结果有反馈、反馈结果有应用”的预算绩效管理机制和覆盖预算管理事前、事中、事后全过程的预算绩效管理体系，有效促进了财政资金使用效益的提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bookmarkStart w:id="0" w:name="_GoBack"/>
      <w:bookmarkEnd w:id="0"/>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3"/>
        <w:gridCol w:w="1829"/>
        <w:gridCol w:w="302"/>
        <w:gridCol w:w="302"/>
        <w:gridCol w:w="2386"/>
        <w:gridCol w:w="1218"/>
        <w:gridCol w:w="2215"/>
        <w:gridCol w:w="1243"/>
        <w:gridCol w:w="1242"/>
        <w:gridCol w:w="1667"/>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eastAsia="宋体" w:cs="宋体"/>
                <w:b/>
                <w:bCs/>
                <w:i w:val="0"/>
                <w:iCs w:val="0"/>
                <w:color w:val="000000"/>
                <w:kern w:val="0"/>
                <w:sz w:val="38"/>
                <w:szCs w:val="38"/>
                <w:u w:val="none"/>
                <w:lang w:val="en-US" w:eastAsia="zh-CN" w:bidi="en-AU"/>
              </w:rPr>
              <w:t>单位</w:t>
            </w:r>
            <w:r>
              <w:rPr>
                <w:rFonts w:ascii="宋体" w:hAnsi="宋体" w:eastAsia="宋体" w:cs="宋体"/>
                <w:b/>
                <w:bCs/>
                <w:i w:val="0"/>
                <w:iCs w:val="0"/>
                <w:color w:val="000000"/>
                <w:kern w:val="0"/>
                <w:sz w:val="38"/>
                <w:szCs w:val="38"/>
                <w:u w:val="none"/>
                <w:lang w:val="en-US" w:eastAsia="zh-CN" w:bidi="en-AU"/>
              </w:rPr>
              <w:t>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w:t>
            </w:r>
            <w:r>
              <w:rPr>
                <w:rFonts w:hint="eastAsia" w:ascii="宋体" w:hAnsi="宋体" w:eastAsia="宋体" w:cs="宋体"/>
                <w:i w:val="0"/>
                <w:iCs w:val="0"/>
                <w:color w:val="000000"/>
                <w:kern w:val="0"/>
                <w:sz w:val="18"/>
                <w:szCs w:val="18"/>
                <w:u w:val="none"/>
                <w:lang w:val="en-US" w:eastAsia="zh-CN" w:bidi="en-AU"/>
              </w:rPr>
              <w:t>监测中心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单位</w:t>
            </w:r>
            <w:r>
              <w:rPr>
                <w:rFonts w:ascii="宋体" w:hAnsi="宋体" w:eastAsia="宋体" w:cs="宋体"/>
                <w:i w:val="0"/>
                <w:iCs w:val="0"/>
                <w:color w:val="000000"/>
                <w:kern w:val="0"/>
                <w:sz w:val="18"/>
                <w:szCs w:val="18"/>
                <w:u w:val="none"/>
                <w:lang w:val="en-US" w:eastAsia="zh-CN" w:bidi="en-AU"/>
              </w:rPr>
              <w:t>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单位</w:t>
            </w:r>
            <w:r>
              <w:rPr>
                <w:rFonts w:ascii="宋体" w:hAnsi="宋体" w:eastAsia="宋体" w:cs="宋体"/>
                <w:i w:val="0"/>
                <w:iCs w:val="0"/>
                <w:color w:val="000000"/>
                <w:kern w:val="0"/>
                <w:sz w:val="18"/>
                <w:szCs w:val="18"/>
                <w:u w:val="none"/>
                <w:lang w:val="en-US" w:eastAsia="zh-CN" w:bidi="en-AU"/>
              </w:rPr>
              <w:t>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219.33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218.06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219.33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218.06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紧盯巩固拓展脱贫攻坚成果这一任务，持续健全完善防返贫监测帮扶机制，指导县（市、区）抓好财政衔接资金项目建设，协调部门落实帮扶举措，确保不发生规模性返贫底线，确保脱贫群众收入增速高于当地农民收入增速、脱贫地区农民收入增速高于全市农民收入增速。</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以来，先后开展两轮集中排查，新识别监测对象684户2248人，累计消除风险3873户11023人，风险消除率49.7%，较2022年度提高6.7%；先后与民政、医保、教育等八部门进行3次数据比对，累计推送预警数据1.8万条，及时消除风险隐患，坚决守牢防止规模性返贫的底线。不断拓宽脱贫群众增收致富渠道，2023年全市脱贫人口人均纯收入16485元，较2022年增长14.7%，完成年初设定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巩固拓展脱贫攻坚成果衔接乡村振兴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坚持“守底线、抓衔接、促振兴”总基调，健全落实防止返贫监测帮扶机制，抓好财政衔接资金项目建设，持续巩固拓展脱贫攻坚成果。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持续优化动态摸排、数据比对、长效帮扶和防范因灾返贫等工作机制，全市监测对象户均享受帮扶措施4.73项，未发生返贫致贫现象.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巩固拓展脱贫攻坚成果衔接乡村振兴完成率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2023年度巩固脱贫成果实现率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脱贫户生活得到保障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FAAAAAgAh07iQLl1uVLQAAAA&#10;BQEAAA8AAAAAAAAAAQAgAAAAOAAAAGRycy9kb3ducmV2LnhtbFBLAQIUABQAAAAIAIdO4kCajTNf&#10;AwIAAAwEAAAOAAAAAAAAAAEAIAAAADUBAABkcnMvZTJvRG9jLnhtbFBLAQIUAAoAAAAAAIdO4kAA&#10;AAAAAAAAAAAAAAAEAAAAAAAAAAAAEAAAABYAAABkcnMvUEsBAhQACgAAAAAAh07iQAAAAAAAAAAA&#10;AAAAAAYAAAAAAAAAAAAQAAAAZAMAAF9yZWxzL1BLBQYAAAAABgAGAFkBAACq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5F4988"/>
    <w:multiLevelType w:val="multilevel"/>
    <w:tmpl w:val="BD5F4988"/>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FFD75EF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6a4b416b-135c-42f7-965c-2c53a690696f"/>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15</TotalTime>
  <ScaleCrop>false</ScaleCrop>
  <LinksUpToDate>false</LinksUpToDate>
  <CharactersWithSpaces>19414</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2024-10-10T15:52:17Z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DF94CE1DC53D4C5F990C8EECCB3F5EB2_13</vt:lpwstr>
  </property>
</Properties>
</file>