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许昌市乡村振兴局（本级）</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许昌市乡村振兴局（本级）</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许昌市乡村振兴局（本级）概况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 组织拟订全市扶贫开发工作规划、年度计划并会同有关单位监督检查执行情况。</w:t>
        <w:br/>
        <w:t xml:space="preserve">    （二） 贯彻执行贫困退出机制，负责全市贫困人口建档立卡、精准扶贫工作。</w:t>
        <w:br/>
        <w:t xml:space="preserve">    （三） 统筹协调行业扶贫工作，动员组织推动社会扶贫工作，联系协调党政机关、企事业单位、社会团体定点扶贫工作。</w:t>
        <w:br/>
        <w:t xml:space="preserve">    （四） 参与制定全市财政专项扶贫资金分配方案，检查扶贫开发资金的使用，指导全市扶贫开发内部审计工作，会同有关单位负责贫困村扶贫开发目标任务完成情况监督、考核、评估，指导项目库建设。</w:t>
        <w:br/>
        <w:t xml:space="preserve">    （五） 指导全市产业扶贫工作，会同有关单位拟订扶贫开发产业相关规范性文件，协同推进金融扶贫工作。</w:t>
        <w:br/>
        <w:t xml:space="preserve">    （六） 协调指导全市革命老区扶贫开发工作。 </w:t>
        <w:br/>
        <w:t xml:space="preserve">    （七） 负责组织指导农村贫困劳动力技能培训、扶贫干部教育培训工作，负责扶贫开发宣传工作。</w:t>
        <w:br/>
        <w:t xml:space="preserve">    （八） 负责组织全市脱贫攻坚督查巡查工作。</w:t>
        <w:br/>
        <w:t xml:space="preserve">    （九） 负责全市扶贫系统信息化建设和统计工作。</w:t>
        <w:br/>
        <w:t xml:space="preserve">    （十） 参与开展有关扶贫的对外交流与合作。</w:t>
        <w:br/>
        <w:t xml:space="preserve">    （十一） 完成市委、市政府交办的其他任务。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许昌市乡村振兴局（本级）</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综合科、规划评价科、行业和社会扶贫科、督查考核科、产业开发科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许昌市乡村振兴局（本级）</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1.许昌市乡村振兴局（本级）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单位：许昌市乡村振兴局（本级）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1,501.75</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14.58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16.69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18.50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1,448.65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16.53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1,501.75</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1,514.96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13.20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1,514.96</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1,514.96</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单位：许昌市乡村振兴局（本级）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1,501.75</w:t>
            </w:r>
          </w:p>
        </w:tc>
        <w:tc>
          <w:tcPr>
            <w:tcW w:w="1440" w:type="dxa"/>
            <w:tcBorders/>
            <w:vAlign w:val="center"/>
          </w:tcPr>
          <w:p>
            <w:pPr>
              <w:jc w:val="right"/>
            </w:pPr>
            <w:r>
              <w:rPr>
                <w:rFonts w:ascii="宋体" w:eastAsia="宋体" w:hAnsi="宋体" w:cs="宋体"/>
                <w:b/>
                <w:i w:val="0"/>
                <w:color w:val="000000"/>
                <w:sz w:val="17"/>
              </w:rPr>
              <w:t xml:space="preserve">1,501.75</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14.58</w:t>
            </w:r>
          </w:p>
        </w:tc>
        <w:tc>
          <w:tcPr>
            <w:tcW w:w="1440" w:type="dxa"/>
            <w:tcBorders/>
            <w:vAlign w:val="center"/>
          </w:tcPr>
          <w:p>
            <w:pPr>
              <w:jc w:val="right"/>
            </w:pPr>
            <w:r>
              <w:rPr>
                <w:rFonts w:ascii="宋体" w:eastAsia="宋体" w:hAnsi="宋体" w:cs="宋体"/>
                <w:b w:val="0"/>
                <w:i w:val="0"/>
                <w:color w:val="000000"/>
                <w:sz w:val="17"/>
              </w:rPr>
              <w:t xml:space="preserve">14.58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1.40</w:t>
            </w:r>
          </w:p>
        </w:tc>
        <w:tc>
          <w:tcPr>
            <w:tcW w:w="1440" w:type="dxa"/>
            <w:tcBorders/>
            <w:vAlign w:val="center"/>
          </w:tcPr>
          <w:p>
            <w:pPr>
              <w:jc w:val="right"/>
            </w:pPr>
            <w:r>
              <w:rPr>
                <w:rFonts w:ascii="宋体" w:eastAsia="宋体" w:hAnsi="宋体" w:cs="宋体"/>
                <w:b w:val="0"/>
                <w:i w:val="0"/>
                <w:color w:val="000000"/>
                <w:sz w:val="17"/>
              </w:rPr>
              <w:t xml:space="preserve">1.40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1.40</w:t>
            </w:r>
          </w:p>
        </w:tc>
        <w:tc>
          <w:tcPr>
            <w:tcW w:w="1440" w:type="dxa"/>
            <w:tcBorders/>
            <w:vAlign w:val="center"/>
          </w:tcPr>
          <w:p>
            <w:pPr>
              <w:jc w:val="right"/>
            </w:pPr>
            <w:r>
              <w:rPr>
                <w:rFonts w:ascii="宋体" w:eastAsia="宋体" w:hAnsi="宋体" w:cs="宋体"/>
                <w:b w:val="0"/>
                <w:i w:val="0"/>
                <w:color w:val="000000"/>
                <w:sz w:val="17"/>
              </w:rPr>
              <w:t xml:space="preserve">1.40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13.18</w:t>
            </w:r>
          </w:p>
        </w:tc>
        <w:tc>
          <w:tcPr>
            <w:tcW w:w="1440" w:type="dxa"/>
            <w:tcBorders/>
            <w:vAlign w:val="center"/>
          </w:tcPr>
          <w:p>
            <w:pPr>
              <w:jc w:val="right"/>
            </w:pPr>
            <w:r>
              <w:rPr>
                <w:rFonts w:ascii="宋体" w:eastAsia="宋体" w:hAnsi="宋体" w:cs="宋体"/>
                <w:b w:val="0"/>
                <w:i w:val="0"/>
                <w:color w:val="000000"/>
                <w:sz w:val="17"/>
              </w:rPr>
              <w:t xml:space="preserve">13.18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13.18</w:t>
            </w:r>
          </w:p>
        </w:tc>
        <w:tc>
          <w:tcPr>
            <w:tcW w:w="1440" w:type="dxa"/>
            <w:tcBorders/>
            <w:vAlign w:val="center"/>
          </w:tcPr>
          <w:p>
            <w:pPr>
              <w:jc w:val="right"/>
            </w:pPr>
            <w:r>
              <w:rPr>
                <w:rFonts w:ascii="宋体" w:eastAsia="宋体" w:hAnsi="宋体" w:cs="宋体"/>
                <w:b w:val="0"/>
                <w:i w:val="0"/>
                <w:color w:val="000000"/>
                <w:sz w:val="17"/>
              </w:rPr>
              <w:t xml:space="preserve">13.18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16.69</w:t>
            </w:r>
          </w:p>
        </w:tc>
        <w:tc>
          <w:tcPr>
            <w:tcW w:w="1440" w:type="dxa"/>
            <w:tcBorders/>
            <w:vAlign w:val="center"/>
          </w:tcPr>
          <w:p>
            <w:pPr>
              <w:jc w:val="right"/>
            </w:pPr>
            <w:r>
              <w:rPr>
                <w:rFonts w:ascii="宋体" w:eastAsia="宋体" w:hAnsi="宋体" w:cs="宋体"/>
                <w:b w:val="0"/>
                <w:i w:val="0"/>
                <w:color w:val="000000"/>
                <w:sz w:val="17"/>
              </w:rPr>
              <w:t xml:space="preserve">16.69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16.13</w:t>
            </w:r>
          </w:p>
        </w:tc>
        <w:tc>
          <w:tcPr>
            <w:tcW w:w="1440" w:type="dxa"/>
            <w:tcBorders/>
            <w:vAlign w:val="center"/>
          </w:tcPr>
          <w:p>
            <w:pPr>
              <w:jc w:val="right"/>
            </w:pPr>
            <w:r>
              <w:rPr>
                <w:rFonts w:ascii="宋体" w:eastAsia="宋体" w:hAnsi="宋体" w:cs="宋体"/>
                <w:b w:val="0"/>
                <w:i w:val="0"/>
                <w:color w:val="000000"/>
                <w:sz w:val="17"/>
              </w:rPr>
              <w:t xml:space="preserve">16.13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16.13</w:t>
            </w:r>
          </w:p>
        </w:tc>
        <w:tc>
          <w:tcPr>
            <w:tcW w:w="1440" w:type="dxa"/>
            <w:tcBorders/>
            <w:vAlign w:val="center"/>
          </w:tcPr>
          <w:p>
            <w:pPr>
              <w:jc w:val="right"/>
            </w:pPr>
            <w:r>
              <w:rPr>
                <w:rFonts w:ascii="宋体" w:eastAsia="宋体" w:hAnsi="宋体" w:cs="宋体"/>
                <w:b w:val="0"/>
                <w:i w:val="0"/>
                <w:color w:val="000000"/>
                <w:sz w:val="17"/>
              </w:rPr>
              <w:t xml:space="preserve">16.13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18.50</w:t>
            </w:r>
          </w:p>
        </w:tc>
        <w:tc>
          <w:tcPr>
            <w:tcW w:w="1440" w:type="dxa"/>
            <w:tcBorders/>
            <w:vAlign w:val="center"/>
          </w:tcPr>
          <w:p>
            <w:pPr>
              <w:jc w:val="right"/>
            </w:pPr>
            <w:r>
              <w:rPr>
                <w:rFonts w:ascii="宋体" w:eastAsia="宋体" w:hAnsi="宋体" w:cs="宋体"/>
                <w:b w:val="0"/>
                <w:i w:val="0"/>
                <w:color w:val="000000"/>
                <w:sz w:val="17"/>
              </w:rPr>
              <w:t xml:space="preserve">18.50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18.50</w:t>
            </w:r>
          </w:p>
        </w:tc>
        <w:tc>
          <w:tcPr>
            <w:tcW w:w="1440" w:type="dxa"/>
            <w:tcBorders/>
            <w:vAlign w:val="center"/>
          </w:tcPr>
          <w:p>
            <w:pPr>
              <w:jc w:val="right"/>
            </w:pPr>
            <w:r>
              <w:rPr>
                <w:rFonts w:ascii="宋体" w:eastAsia="宋体" w:hAnsi="宋体" w:cs="宋体"/>
                <w:b w:val="0"/>
                <w:i w:val="0"/>
                <w:color w:val="000000"/>
                <w:sz w:val="17"/>
              </w:rPr>
              <w:t xml:space="preserve">18.50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8.75</w:t>
            </w:r>
          </w:p>
        </w:tc>
        <w:tc>
          <w:tcPr>
            <w:tcW w:w="1440" w:type="dxa"/>
            <w:tcBorders/>
            <w:vAlign w:val="center"/>
          </w:tcPr>
          <w:p>
            <w:pPr>
              <w:jc w:val="right"/>
            </w:pPr>
            <w:r>
              <w:rPr>
                <w:rFonts w:ascii="宋体" w:eastAsia="宋体" w:hAnsi="宋体" w:cs="宋体"/>
                <w:b w:val="0"/>
                <w:i w:val="0"/>
                <w:color w:val="000000"/>
                <w:sz w:val="17"/>
              </w:rPr>
              <w:t xml:space="preserve">8.75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9.75</w:t>
            </w:r>
          </w:p>
        </w:tc>
        <w:tc>
          <w:tcPr>
            <w:tcW w:w="1440" w:type="dxa"/>
            <w:tcBorders/>
            <w:vAlign w:val="center"/>
          </w:tcPr>
          <w:p>
            <w:pPr>
              <w:jc w:val="right"/>
            </w:pPr>
            <w:r>
              <w:rPr>
                <w:rFonts w:ascii="宋体" w:eastAsia="宋体" w:hAnsi="宋体" w:cs="宋体"/>
                <w:b w:val="0"/>
                <w:i w:val="0"/>
                <w:color w:val="000000"/>
                <w:sz w:val="17"/>
              </w:rPr>
              <w:t xml:space="preserve">9.75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1,435.45</w:t>
            </w:r>
          </w:p>
        </w:tc>
        <w:tc>
          <w:tcPr>
            <w:tcW w:w="1440" w:type="dxa"/>
            <w:tcBorders/>
            <w:vAlign w:val="center"/>
          </w:tcPr>
          <w:p>
            <w:pPr>
              <w:jc w:val="right"/>
            </w:pPr>
            <w:r>
              <w:rPr>
                <w:rFonts w:ascii="宋体" w:eastAsia="宋体" w:hAnsi="宋体" w:cs="宋体"/>
                <w:b w:val="0"/>
                <w:i w:val="0"/>
                <w:color w:val="000000"/>
                <w:sz w:val="17"/>
              </w:rPr>
              <w:t xml:space="preserve">1,435.45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1,435.45</w:t>
            </w:r>
          </w:p>
        </w:tc>
        <w:tc>
          <w:tcPr>
            <w:tcW w:w="1440" w:type="dxa"/>
            <w:tcBorders/>
            <w:vAlign w:val="center"/>
          </w:tcPr>
          <w:p>
            <w:pPr>
              <w:jc w:val="right"/>
            </w:pPr>
            <w:r>
              <w:rPr>
                <w:rFonts w:ascii="宋体" w:eastAsia="宋体" w:hAnsi="宋体" w:cs="宋体"/>
                <w:b w:val="0"/>
                <w:i w:val="0"/>
                <w:color w:val="000000"/>
                <w:sz w:val="17"/>
              </w:rPr>
              <w:t xml:space="preserve">1,435.45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283.25</w:t>
            </w:r>
          </w:p>
        </w:tc>
        <w:tc>
          <w:tcPr>
            <w:tcW w:w="1440" w:type="dxa"/>
            <w:tcBorders/>
            <w:vAlign w:val="center"/>
          </w:tcPr>
          <w:p>
            <w:pPr>
              <w:jc w:val="right"/>
            </w:pPr>
            <w:r>
              <w:rPr>
                <w:rFonts w:ascii="宋体" w:eastAsia="宋体" w:hAnsi="宋体" w:cs="宋体"/>
                <w:b w:val="0"/>
                <w:i w:val="0"/>
                <w:color w:val="000000"/>
                <w:sz w:val="17"/>
              </w:rPr>
              <w:t xml:space="preserve">283.25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2.20</w:t>
            </w:r>
          </w:p>
        </w:tc>
        <w:tc>
          <w:tcPr>
            <w:tcW w:w="1440" w:type="dxa"/>
            <w:tcBorders/>
            <w:vAlign w:val="center"/>
          </w:tcPr>
          <w:p>
            <w:pPr>
              <w:jc w:val="right"/>
            </w:pPr>
            <w:r>
              <w:rPr>
                <w:rFonts w:ascii="宋体" w:eastAsia="宋体" w:hAnsi="宋体" w:cs="宋体"/>
                <w:b w:val="0"/>
                <w:i w:val="0"/>
                <w:color w:val="000000"/>
                <w:sz w:val="17"/>
              </w:rPr>
              <w:t xml:space="preserve">2.20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其他巩固脱贫攻坚成果衔接乡村振兴支出</w:t>
            </w:r>
          </w:p>
        </w:tc>
        <w:tc>
          <w:tcPr>
            <w:tcW w:w="1440" w:type="dxa"/>
            <w:tcBorders/>
            <w:vAlign w:val="center"/>
          </w:tcPr>
          <w:p>
            <w:pPr>
              <w:jc w:val="right"/>
            </w:pPr>
            <w:r>
              <w:rPr>
                <w:rFonts w:ascii="宋体" w:eastAsia="宋体" w:hAnsi="宋体" w:cs="宋体"/>
                <w:b w:val="0"/>
                <w:i w:val="0"/>
                <w:color w:val="000000"/>
                <w:sz w:val="17"/>
              </w:rPr>
              <w:t xml:space="preserve">1,150.00</w:t>
            </w:r>
          </w:p>
        </w:tc>
        <w:tc>
          <w:tcPr>
            <w:tcW w:w="1440" w:type="dxa"/>
            <w:tcBorders/>
            <w:vAlign w:val="center"/>
          </w:tcPr>
          <w:p>
            <w:pPr>
              <w:jc w:val="right"/>
            </w:pPr>
            <w:r>
              <w:rPr>
                <w:rFonts w:ascii="宋体" w:eastAsia="宋体" w:hAnsi="宋体" w:cs="宋体"/>
                <w:b w:val="0"/>
                <w:i w:val="0"/>
                <w:color w:val="000000"/>
                <w:sz w:val="17"/>
              </w:rPr>
              <w:t xml:space="preserve">1,150.00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16.53</w:t>
            </w:r>
          </w:p>
        </w:tc>
        <w:tc>
          <w:tcPr>
            <w:tcW w:w="1440" w:type="dxa"/>
            <w:tcBorders/>
            <w:vAlign w:val="center"/>
          </w:tcPr>
          <w:p>
            <w:pPr>
              <w:jc w:val="right"/>
            </w:pPr>
            <w:r>
              <w:rPr>
                <w:rFonts w:ascii="宋体" w:eastAsia="宋体" w:hAnsi="宋体" w:cs="宋体"/>
                <w:b w:val="0"/>
                <w:i w:val="0"/>
                <w:color w:val="000000"/>
                <w:sz w:val="17"/>
              </w:rPr>
              <w:t xml:space="preserve">16.53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16.53</w:t>
            </w:r>
          </w:p>
        </w:tc>
        <w:tc>
          <w:tcPr>
            <w:tcW w:w="1440" w:type="dxa"/>
            <w:tcBorders/>
            <w:vAlign w:val="center"/>
          </w:tcPr>
          <w:p>
            <w:pPr>
              <w:jc w:val="right"/>
            </w:pPr>
            <w:r>
              <w:rPr>
                <w:rFonts w:ascii="宋体" w:eastAsia="宋体" w:hAnsi="宋体" w:cs="宋体"/>
                <w:b w:val="0"/>
                <w:i w:val="0"/>
                <w:color w:val="000000"/>
                <w:sz w:val="17"/>
              </w:rPr>
              <w:t xml:space="preserve">16.53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16.53</w:t>
            </w:r>
          </w:p>
        </w:tc>
        <w:tc>
          <w:tcPr>
            <w:tcW w:w="1440" w:type="dxa"/>
            <w:tcBorders/>
            <w:vAlign w:val="center"/>
          </w:tcPr>
          <w:p>
            <w:pPr>
              <w:jc w:val="right"/>
            </w:pPr>
            <w:r>
              <w:rPr>
                <w:rFonts w:ascii="宋体" w:eastAsia="宋体" w:hAnsi="宋体" w:cs="宋体"/>
                <w:b w:val="0"/>
                <w:i w:val="0"/>
                <w:color w:val="000000"/>
                <w:sz w:val="17"/>
              </w:rPr>
              <w:t xml:space="preserve">16.53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单位：许昌市乡村振兴局（本级）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1,514.96</w:t>
            </w:r>
          </w:p>
        </w:tc>
        <w:tc>
          <w:tcPr>
            <w:tcW w:w="1600" w:type="dxa"/>
            <w:tcBorders/>
            <w:vAlign w:val="center"/>
          </w:tcPr>
          <w:p>
            <w:pPr>
              <w:jc w:val="right"/>
            </w:pPr>
            <w:r>
              <w:rPr>
                <w:rFonts w:ascii="宋体" w:eastAsia="宋体" w:hAnsi="宋体" w:cs="宋体"/>
                <w:b/>
                <w:i w:val="0"/>
                <w:color w:val="000000"/>
                <w:sz w:val="19"/>
              </w:rPr>
              <w:t xml:space="preserve">348.99</w:t>
            </w:r>
          </w:p>
        </w:tc>
        <w:tc>
          <w:tcPr>
            <w:tcW w:w="1600" w:type="dxa"/>
            <w:tcBorders/>
            <w:vAlign w:val="center"/>
          </w:tcPr>
          <w:p>
            <w:pPr>
              <w:jc w:val="right"/>
            </w:pPr>
            <w:r>
              <w:rPr>
                <w:rFonts w:ascii="宋体" w:eastAsia="宋体" w:hAnsi="宋体" w:cs="宋体"/>
                <w:b/>
                <w:i w:val="0"/>
                <w:color w:val="000000"/>
                <w:sz w:val="19"/>
              </w:rPr>
              <w:t xml:space="preserve">1,165.97</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14.58</w:t>
            </w:r>
          </w:p>
        </w:tc>
        <w:tc>
          <w:tcPr>
            <w:tcW w:w="1600" w:type="dxa"/>
            <w:tcBorders/>
            <w:vAlign w:val="center"/>
          </w:tcPr>
          <w:p>
            <w:pPr>
              <w:jc w:val="right"/>
            </w:pPr>
            <w:r>
              <w:rPr>
                <w:rFonts w:ascii="宋体" w:eastAsia="宋体" w:hAnsi="宋体" w:cs="宋体"/>
                <w:b w:val="0"/>
                <w:i w:val="0"/>
                <w:color w:val="000000"/>
                <w:sz w:val="19"/>
              </w:rPr>
              <w:t xml:space="preserve">14.58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1.40</w:t>
            </w:r>
          </w:p>
        </w:tc>
        <w:tc>
          <w:tcPr>
            <w:tcW w:w="1600" w:type="dxa"/>
            <w:tcBorders/>
            <w:vAlign w:val="center"/>
          </w:tcPr>
          <w:p>
            <w:pPr>
              <w:jc w:val="right"/>
            </w:pPr>
            <w:r>
              <w:rPr>
                <w:rFonts w:ascii="宋体" w:eastAsia="宋体" w:hAnsi="宋体" w:cs="宋体"/>
                <w:b w:val="0"/>
                <w:i w:val="0"/>
                <w:color w:val="000000"/>
                <w:sz w:val="19"/>
              </w:rPr>
              <w:t xml:space="preserve">1.40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1.40</w:t>
            </w:r>
          </w:p>
        </w:tc>
        <w:tc>
          <w:tcPr>
            <w:tcW w:w="1600" w:type="dxa"/>
            <w:tcBorders/>
            <w:vAlign w:val="center"/>
          </w:tcPr>
          <w:p>
            <w:pPr>
              <w:jc w:val="right"/>
            </w:pPr>
            <w:r>
              <w:rPr>
                <w:rFonts w:ascii="宋体" w:eastAsia="宋体" w:hAnsi="宋体" w:cs="宋体"/>
                <w:b w:val="0"/>
                <w:i w:val="0"/>
                <w:color w:val="000000"/>
                <w:sz w:val="19"/>
              </w:rPr>
              <w:t xml:space="preserve">1.40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13.18</w:t>
            </w:r>
          </w:p>
        </w:tc>
        <w:tc>
          <w:tcPr>
            <w:tcW w:w="1600" w:type="dxa"/>
            <w:tcBorders/>
            <w:vAlign w:val="center"/>
          </w:tcPr>
          <w:p>
            <w:pPr>
              <w:jc w:val="right"/>
            </w:pPr>
            <w:r>
              <w:rPr>
                <w:rFonts w:ascii="宋体" w:eastAsia="宋体" w:hAnsi="宋体" w:cs="宋体"/>
                <w:b w:val="0"/>
                <w:i w:val="0"/>
                <w:color w:val="000000"/>
                <w:sz w:val="19"/>
              </w:rPr>
              <w:t xml:space="preserve">13.18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13.18</w:t>
            </w:r>
          </w:p>
        </w:tc>
        <w:tc>
          <w:tcPr>
            <w:tcW w:w="1600" w:type="dxa"/>
            <w:tcBorders/>
            <w:vAlign w:val="center"/>
          </w:tcPr>
          <w:p>
            <w:pPr>
              <w:jc w:val="right"/>
            </w:pPr>
            <w:r>
              <w:rPr>
                <w:rFonts w:ascii="宋体" w:eastAsia="宋体" w:hAnsi="宋体" w:cs="宋体"/>
                <w:b w:val="0"/>
                <w:i w:val="0"/>
                <w:color w:val="000000"/>
                <w:sz w:val="19"/>
              </w:rPr>
              <w:t xml:space="preserve">13.18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16.69</w:t>
            </w:r>
          </w:p>
        </w:tc>
        <w:tc>
          <w:tcPr>
            <w:tcW w:w="1600" w:type="dxa"/>
            <w:tcBorders/>
            <w:vAlign w:val="center"/>
          </w:tcPr>
          <w:p>
            <w:pPr>
              <w:jc w:val="right"/>
            </w:pPr>
            <w:r>
              <w:rPr>
                <w:rFonts w:ascii="宋体" w:eastAsia="宋体" w:hAnsi="宋体" w:cs="宋体"/>
                <w:b w:val="0"/>
                <w:i w:val="0"/>
                <w:color w:val="000000"/>
                <w:sz w:val="19"/>
              </w:rPr>
              <w:t xml:space="preserve">16.13</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16.13</w:t>
            </w:r>
          </w:p>
        </w:tc>
        <w:tc>
          <w:tcPr>
            <w:tcW w:w="1600" w:type="dxa"/>
            <w:tcBorders/>
            <w:vAlign w:val="center"/>
          </w:tcPr>
          <w:p>
            <w:pPr>
              <w:jc w:val="right"/>
            </w:pPr>
            <w:r>
              <w:rPr>
                <w:rFonts w:ascii="宋体" w:eastAsia="宋体" w:hAnsi="宋体" w:cs="宋体"/>
                <w:b w:val="0"/>
                <w:i w:val="0"/>
                <w:color w:val="000000"/>
                <w:sz w:val="19"/>
              </w:rPr>
              <w:t xml:space="preserve">16.13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16.13</w:t>
            </w:r>
          </w:p>
        </w:tc>
        <w:tc>
          <w:tcPr>
            <w:tcW w:w="1600" w:type="dxa"/>
            <w:tcBorders/>
            <w:vAlign w:val="center"/>
          </w:tcPr>
          <w:p>
            <w:pPr>
              <w:jc w:val="right"/>
            </w:pPr>
            <w:r>
              <w:rPr>
                <w:rFonts w:ascii="宋体" w:eastAsia="宋体" w:hAnsi="宋体" w:cs="宋体"/>
                <w:b w:val="0"/>
                <w:i w:val="0"/>
                <w:color w:val="000000"/>
                <w:sz w:val="19"/>
              </w:rPr>
              <w:t xml:space="preserve">16.13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18.50</w:t>
            </w:r>
          </w:p>
        </w:tc>
        <w:tc>
          <w:tcPr>
            <w:tcW w:w="1600" w:type="dxa"/>
            <w:tcBorders/>
            <w:vAlign w:val="center"/>
          </w:tcPr>
          <w:p>
            <w:pPr>
              <w:jc w:val="right"/>
            </w:pPr>
            <w:r>
              <w:rPr>
                <w:rFonts w:ascii="宋体" w:eastAsia="宋体" w:hAnsi="宋体" w:cs="宋体"/>
                <w:b w:val="0"/>
                <w:i w:val="0"/>
                <w:color w:val="000000"/>
                <w:sz w:val="19"/>
              </w:rPr>
              <w:t xml:space="preserve">18.50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18.50</w:t>
            </w:r>
          </w:p>
        </w:tc>
        <w:tc>
          <w:tcPr>
            <w:tcW w:w="1600" w:type="dxa"/>
            <w:tcBorders/>
            <w:vAlign w:val="center"/>
          </w:tcPr>
          <w:p>
            <w:pPr>
              <w:jc w:val="right"/>
            </w:pPr>
            <w:r>
              <w:rPr>
                <w:rFonts w:ascii="宋体" w:eastAsia="宋体" w:hAnsi="宋体" w:cs="宋体"/>
                <w:b w:val="0"/>
                <w:i w:val="0"/>
                <w:color w:val="000000"/>
                <w:sz w:val="19"/>
              </w:rPr>
              <w:t xml:space="preserve">18.50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8.75</w:t>
            </w:r>
          </w:p>
        </w:tc>
        <w:tc>
          <w:tcPr>
            <w:tcW w:w="1600" w:type="dxa"/>
            <w:tcBorders/>
            <w:vAlign w:val="center"/>
          </w:tcPr>
          <w:p>
            <w:pPr>
              <w:jc w:val="right"/>
            </w:pPr>
            <w:r>
              <w:rPr>
                <w:rFonts w:ascii="宋体" w:eastAsia="宋体" w:hAnsi="宋体" w:cs="宋体"/>
                <w:b w:val="0"/>
                <w:i w:val="0"/>
                <w:color w:val="000000"/>
                <w:sz w:val="19"/>
              </w:rPr>
              <w:t xml:space="preserve">8.75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9.75</w:t>
            </w:r>
          </w:p>
        </w:tc>
        <w:tc>
          <w:tcPr>
            <w:tcW w:w="1600" w:type="dxa"/>
            <w:tcBorders/>
            <w:vAlign w:val="center"/>
          </w:tcPr>
          <w:p>
            <w:pPr>
              <w:jc w:val="right"/>
            </w:pPr>
            <w:r>
              <w:rPr>
                <w:rFonts w:ascii="宋体" w:eastAsia="宋体" w:hAnsi="宋体" w:cs="宋体"/>
                <w:b w:val="0"/>
                <w:i w:val="0"/>
                <w:color w:val="000000"/>
                <w:sz w:val="19"/>
              </w:rPr>
              <w:t xml:space="preserve">9.75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1,448.65</w:t>
            </w:r>
          </w:p>
        </w:tc>
        <w:tc>
          <w:tcPr>
            <w:tcW w:w="1600" w:type="dxa"/>
            <w:tcBorders/>
            <w:vAlign w:val="center"/>
          </w:tcPr>
          <w:p>
            <w:pPr>
              <w:jc w:val="right"/>
            </w:pPr>
            <w:r>
              <w:rPr>
                <w:rFonts w:ascii="宋体" w:eastAsia="宋体" w:hAnsi="宋体" w:cs="宋体"/>
                <w:b w:val="0"/>
                <w:i w:val="0"/>
                <w:color w:val="000000"/>
                <w:sz w:val="19"/>
              </w:rPr>
              <w:t xml:space="preserve">283.25</w:t>
            </w:r>
          </w:p>
        </w:tc>
        <w:tc>
          <w:tcPr>
            <w:tcW w:w="1600" w:type="dxa"/>
            <w:tcBorders/>
            <w:vAlign w:val="center"/>
          </w:tcPr>
          <w:p>
            <w:pPr>
              <w:jc w:val="right"/>
            </w:pPr>
            <w:r>
              <w:rPr>
                <w:rFonts w:ascii="宋体" w:eastAsia="宋体" w:hAnsi="宋体" w:cs="宋体"/>
                <w:b w:val="0"/>
                <w:i w:val="0"/>
                <w:color w:val="000000"/>
                <w:sz w:val="19"/>
              </w:rPr>
              <w:t xml:space="preserve">1,165.40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1,448.65</w:t>
            </w:r>
          </w:p>
        </w:tc>
        <w:tc>
          <w:tcPr>
            <w:tcW w:w="1600" w:type="dxa"/>
            <w:tcBorders/>
            <w:vAlign w:val="center"/>
          </w:tcPr>
          <w:p>
            <w:pPr>
              <w:jc w:val="right"/>
            </w:pPr>
            <w:r>
              <w:rPr>
                <w:rFonts w:ascii="宋体" w:eastAsia="宋体" w:hAnsi="宋体" w:cs="宋体"/>
                <w:b w:val="0"/>
                <w:i w:val="0"/>
                <w:color w:val="000000"/>
                <w:sz w:val="19"/>
              </w:rPr>
              <w:t xml:space="preserve">283.25</w:t>
            </w:r>
          </w:p>
        </w:tc>
        <w:tc>
          <w:tcPr>
            <w:tcW w:w="1600" w:type="dxa"/>
            <w:tcBorders/>
            <w:vAlign w:val="center"/>
          </w:tcPr>
          <w:p>
            <w:pPr>
              <w:jc w:val="right"/>
            </w:pPr>
            <w:r>
              <w:rPr>
                <w:rFonts w:ascii="宋体" w:eastAsia="宋体" w:hAnsi="宋体" w:cs="宋体"/>
                <w:b w:val="0"/>
                <w:i w:val="0"/>
                <w:color w:val="000000"/>
                <w:sz w:val="19"/>
              </w:rPr>
              <w:t xml:space="preserve">1,165.40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283.25</w:t>
            </w:r>
          </w:p>
        </w:tc>
        <w:tc>
          <w:tcPr>
            <w:tcW w:w="1600" w:type="dxa"/>
            <w:tcBorders/>
            <w:vAlign w:val="center"/>
          </w:tcPr>
          <w:p>
            <w:pPr>
              <w:jc w:val="right"/>
            </w:pPr>
            <w:r>
              <w:rPr>
                <w:rFonts w:ascii="宋体" w:eastAsia="宋体" w:hAnsi="宋体" w:cs="宋体"/>
                <w:b w:val="0"/>
                <w:i w:val="0"/>
                <w:color w:val="000000"/>
                <w:sz w:val="19"/>
              </w:rPr>
              <w:t xml:space="preserve">283.25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15.40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15.40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其他巩固脱贫攻坚成果衔接乡村振兴支出</w:t>
            </w:r>
          </w:p>
        </w:tc>
        <w:tc>
          <w:tcPr>
            <w:tcW w:w="1600" w:type="dxa"/>
            <w:tcBorders/>
            <w:vAlign w:val="center"/>
          </w:tcPr>
          <w:p>
            <w:pPr>
              <w:jc w:val="right"/>
            </w:pPr>
            <w:r>
              <w:rPr>
                <w:rFonts w:ascii="宋体" w:eastAsia="宋体" w:hAnsi="宋体" w:cs="宋体"/>
                <w:b w:val="0"/>
                <w:i w:val="0"/>
                <w:color w:val="000000"/>
                <w:sz w:val="19"/>
              </w:rPr>
              <w:t xml:space="preserve">1,150.00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1,150.00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16.53</w:t>
            </w:r>
          </w:p>
        </w:tc>
        <w:tc>
          <w:tcPr>
            <w:tcW w:w="1600" w:type="dxa"/>
            <w:tcBorders/>
            <w:vAlign w:val="center"/>
          </w:tcPr>
          <w:p>
            <w:pPr>
              <w:jc w:val="right"/>
            </w:pPr>
            <w:r>
              <w:rPr>
                <w:rFonts w:ascii="宋体" w:eastAsia="宋体" w:hAnsi="宋体" w:cs="宋体"/>
                <w:b w:val="0"/>
                <w:i w:val="0"/>
                <w:color w:val="000000"/>
                <w:sz w:val="19"/>
              </w:rPr>
              <w:t xml:space="preserve">16.53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16.53</w:t>
            </w:r>
          </w:p>
        </w:tc>
        <w:tc>
          <w:tcPr>
            <w:tcW w:w="1600" w:type="dxa"/>
            <w:tcBorders/>
            <w:vAlign w:val="center"/>
          </w:tcPr>
          <w:p>
            <w:pPr>
              <w:jc w:val="right"/>
            </w:pPr>
            <w:r>
              <w:rPr>
                <w:rFonts w:ascii="宋体" w:eastAsia="宋体" w:hAnsi="宋体" w:cs="宋体"/>
                <w:b w:val="0"/>
                <w:i w:val="0"/>
                <w:color w:val="000000"/>
                <w:sz w:val="19"/>
              </w:rPr>
              <w:t xml:space="preserve">16.53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16.53</w:t>
            </w:r>
          </w:p>
        </w:tc>
        <w:tc>
          <w:tcPr>
            <w:tcW w:w="1600" w:type="dxa"/>
            <w:tcBorders/>
            <w:vAlign w:val="center"/>
          </w:tcPr>
          <w:p>
            <w:pPr>
              <w:jc w:val="right"/>
            </w:pPr>
            <w:r>
              <w:rPr>
                <w:rFonts w:ascii="宋体" w:eastAsia="宋体" w:hAnsi="宋体" w:cs="宋体"/>
                <w:b w:val="0"/>
                <w:i w:val="0"/>
                <w:color w:val="000000"/>
                <w:sz w:val="19"/>
              </w:rPr>
              <w:t xml:space="preserve">16.53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单位：许昌市乡村振兴局（本级）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1,501.75</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14.58</w:t>
            </w:r>
          </w:p>
        </w:tc>
        <w:tc>
          <w:tcPr>
            <w:tcW w:w="1420" w:type="dxa"/>
            <w:tcBorders/>
            <w:vAlign w:val="center"/>
          </w:tcPr>
          <w:p>
            <w:pPr>
              <w:jc w:val="right"/>
            </w:pPr>
            <w:r>
              <w:rPr>
                <w:rFonts w:ascii="宋体" w:eastAsia="宋体" w:hAnsi="宋体" w:cs="宋体"/>
                <w:b w:val="0"/>
                <w:i w:val="0"/>
                <w:color w:val="000000"/>
                <w:sz w:val="18"/>
              </w:rPr>
              <w:t xml:space="preserve">14.58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16.69</w:t>
            </w:r>
          </w:p>
        </w:tc>
        <w:tc>
          <w:tcPr>
            <w:tcW w:w="1420" w:type="dxa"/>
            <w:tcBorders/>
            <w:vAlign w:val="center"/>
          </w:tcPr>
          <w:p>
            <w:pPr>
              <w:jc w:val="right"/>
            </w:pPr>
            <w:r>
              <w:rPr>
                <w:rFonts w:ascii="宋体" w:eastAsia="宋体" w:hAnsi="宋体" w:cs="宋体"/>
                <w:b w:val="0"/>
                <w:i w:val="0"/>
                <w:color w:val="000000"/>
                <w:sz w:val="18"/>
              </w:rPr>
              <w:t xml:space="preserve">16.69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18.50</w:t>
            </w:r>
          </w:p>
        </w:tc>
        <w:tc>
          <w:tcPr>
            <w:tcW w:w="1420" w:type="dxa"/>
            <w:tcBorders/>
            <w:vAlign w:val="center"/>
          </w:tcPr>
          <w:p>
            <w:pPr>
              <w:jc w:val="right"/>
            </w:pPr>
            <w:r>
              <w:rPr>
                <w:rFonts w:ascii="宋体" w:eastAsia="宋体" w:hAnsi="宋体" w:cs="宋体"/>
                <w:b w:val="0"/>
                <w:i w:val="0"/>
                <w:color w:val="000000"/>
                <w:sz w:val="18"/>
              </w:rPr>
              <w:t xml:space="preserve">18.50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1,448.65</w:t>
            </w:r>
          </w:p>
        </w:tc>
        <w:tc>
          <w:tcPr>
            <w:tcW w:w="1420" w:type="dxa"/>
            <w:tcBorders/>
            <w:vAlign w:val="center"/>
          </w:tcPr>
          <w:p>
            <w:pPr>
              <w:jc w:val="right"/>
            </w:pPr>
            <w:r>
              <w:rPr>
                <w:rFonts w:ascii="宋体" w:eastAsia="宋体" w:hAnsi="宋体" w:cs="宋体"/>
                <w:b w:val="0"/>
                <w:i w:val="0"/>
                <w:color w:val="000000"/>
                <w:sz w:val="18"/>
              </w:rPr>
              <w:t xml:space="preserve">1,448.65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16.53</w:t>
            </w:r>
          </w:p>
        </w:tc>
        <w:tc>
          <w:tcPr>
            <w:tcW w:w="1420" w:type="dxa"/>
            <w:tcBorders/>
            <w:vAlign w:val="center"/>
          </w:tcPr>
          <w:p>
            <w:pPr>
              <w:jc w:val="right"/>
            </w:pPr>
            <w:r>
              <w:rPr>
                <w:rFonts w:ascii="宋体" w:eastAsia="宋体" w:hAnsi="宋体" w:cs="宋体"/>
                <w:b w:val="0"/>
                <w:i w:val="0"/>
                <w:color w:val="000000"/>
                <w:sz w:val="18"/>
              </w:rPr>
              <w:t xml:space="preserve">16.53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1,501.75</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1,514.96</w:t>
            </w:r>
          </w:p>
        </w:tc>
        <w:tc>
          <w:tcPr>
            <w:tcW w:w="1420" w:type="dxa"/>
            <w:tcBorders/>
            <w:vAlign w:val="center"/>
          </w:tcPr>
          <w:p>
            <w:pPr>
              <w:jc w:val="right"/>
            </w:pPr>
            <w:r>
              <w:rPr>
                <w:rFonts w:ascii="宋体" w:eastAsia="宋体" w:hAnsi="宋体" w:cs="宋体"/>
                <w:b w:val="0"/>
                <w:i w:val="0"/>
                <w:color w:val="000000"/>
                <w:sz w:val="18"/>
              </w:rPr>
              <w:t xml:space="preserve">1,514.96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13.20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13.20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1,514.96</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1,514.96</w:t>
            </w:r>
          </w:p>
        </w:tc>
        <w:tc>
          <w:tcPr>
            <w:tcW w:w="1420" w:type="dxa"/>
            <w:tcBorders/>
            <w:vAlign w:val="center"/>
          </w:tcPr>
          <w:p>
            <w:pPr>
              <w:jc w:val="right"/>
            </w:pPr>
            <w:r>
              <w:rPr>
                <w:rFonts w:ascii="宋体" w:eastAsia="宋体" w:hAnsi="宋体" w:cs="宋体"/>
                <w:b w:val="0"/>
                <w:i w:val="0"/>
                <w:color w:val="000000"/>
                <w:sz w:val="18"/>
              </w:rPr>
              <w:t xml:space="preserve">1,514.96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单位：许昌市乡村振兴局（本级）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1,514.96</w:t>
            </w:r>
          </w:p>
        </w:tc>
        <w:tc>
          <w:tcPr>
            <w:tcW w:w="2700" w:type="dxa"/>
            <w:tcBorders/>
            <w:vAlign w:val="center"/>
          </w:tcPr>
          <w:p>
            <w:pPr>
              <w:jc w:val="right"/>
            </w:pPr>
            <w:r>
              <w:rPr>
                <w:rFonts w:ascii="宋体" w:eastAsia="宋体" w:hAnsi="宋体" w:cs="宋体"/>
                <w:b/>
                <w:i w:val="0"/>
                <w:color w:val="000000"/>
                <w:sz w:val="25"/>
              </w:rPr>
              <w:t xml:space="preserve">348.99</w:t>
            </w:r>
          </w:p>
        </w:tc>
        <w:tc>
          <w:tcPr>
            <w:tcW w:w="2658" w:type="dxa"/>
            <w:tcBorders/>
            <w:vAlign w:val="center"/>
          </w:tcPr>
          <w:p>
            <w:pPr>
              <w:jc w:val="right"/>
            </w:pPr>
            <w:r>
              <w:rPr>
                <w:rFonts w:ascii="宋体" w:eastAsia="宋体" w:hAnsi="宋体" w:cs="宋体"/>
                <w:b/>
                <w:i w:val="0"/>
                <w:color w:val="000000"/>
                <w:sz w:val="25"/>
              </w:rPr>
              <w:t xml:space="preserve">1,165.97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14.58</w:t>
            </w:r>
          </w:p>
        </w:tc>
        <w:tc>
          <w:tcPr>
            <w:tcW w:w="2700" w:type="dxa"/>
            <w:tcBorders/>
            <w:vAlign w:val="center"/>
          </w:tcPr>
          <w:p>
            <w:pPr>
              <w:jc w:val="right"/>
            </w:pPr>
            <w:r>
              <w:rPr>
                <w:rFonts w:ascii="宋体" w:eastAsia="宋体" w:hAnsi="宋体" w:cs="宋体"/>
                <w:b w:val="0"/>
                <w:i w:val="0"/>
                <w:color w:val="000000"/>
                <w:sz w:val="25"/>
              </w:rPr>
              <w:t xml:space="preserve">14.58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1.40</w:t>
            </w:r>
          </w:p>
        </w:tc>
        <w:tc>
          <w:tcPr>
            <w:tcW w:w="2700" w:type="dxa"/>
            <w:tcBorders/>
            <w:vAlign w:val="center"/>
          </w:tcPr>
          <w:p>
            <w:pPr>
              <w:jc w:val="right"/>
            </w:pPr>
            <w:r>
              <w:rPr>
                <w:rFonts w:ascii="宋体" w:eastAsia="宋体" w:hAnsi="宋体" w:cs="宋体"/>
                <w:b w:val="0"/>
                <w:i w:val="0"/>
                <w:color w:val="000000"/>
                <w:sz w:val="25"/>
              </w:rPr>
              <w:t xml:space="preserve">1.40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1.40</w:t>
            </w:r>
          </w:p>
        </w:tc>
        <w:tc>
          <w:tcPr>
            <w:tcW w:w="2700" w:type="dxa"/>
            <w:tcBorders/>
            <w:vAlign w:val="center"/>
          </w:tcPr>
          <w:p>
            <w:pPr>
              <w:jc w:val="right"/>
            </w:pPr>
            <w:r>
              <w:rPr>
                <w:rFonts w:ascii="宋体" w:eastAsia="宋体" w:hAnsi="宋体" w:cs="宋体"/>
                <w:b w:val="0"/>
                <w:i w:val="0"/>
                <w:color w:val="000000"/>
                <w:sz w:val="25"/>
              </w:rPr>
              <w:t xml:space="preserve">1.40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13.18</w:t>
            </w:r>
          </w:p>
        </w:tc>
        <w:tc>
          <w:tcPr>
            <w:tcW w:w="2700" w:type="dxa"/>
            <w:tcBorders/>
            <w:vAlign w:val="center"/>
          </w:tcPr>
          <w:p>
            <w:pPr>
              <w:jc w:val="right"/>
            </w:pPr>
            <w:r>
              <w:rPr>
                <w:rFonts w:ascii="宋体" w:eastAsia="宋体" w:hAnsi="宋体" w:cs="宋体"/>
                <w:b w:val="0"/>
                <w:i w:val="0"/>
                <w:color w:val="000000"/>
                <w:sz w:val="25"/>
              </w:rPr>
              <w:t xml:space="preserve">13.18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13.18</w:t>
            </w:r>
          </w:p>
        </w:tc>
        <w:tc>
          <w:tcPr>
            <w:tcW w:w="2700" w:type="dxa"/>
            <w:tcBorders/>
            <w:vAlign w:val="center"/>
          </w:tcPr>
          <w:p>
            <w:pPr>
              <w:jc w:val="right"/>
            </w:pPr>
            <w:r>
              <w:rPr>
                <w:rFonts w:ascii="宋体" w:eastAsia="宋体" w:hAnsi="宋体" w:cs="宋体"/>
                <w:b w:val="0"/>
                <w:i w:val="0"/>
                <w:color w:val="000000"/>
                <w:sz w:val="25"/>
              </w:rPr>
              <w:t xml:space="preserve">13.18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16.69</w:t>
            </w:r>
          </w:p>
        </w:tc>
        <w:tc>
          <w:tcPr>
            <w:tcW w:w="2700" w:type="dxa"/>
            <w:tcBorders/>
            <w:vAlign w:val="center"/>
          </w:tcPr>
          <w:p>
            <w:pPr>
              <w:jc w:val="right"/>
            </w:pPr>
            <w:r>
              <w:rPr>
                <w:rFonts w:ascii="宋体" w:eastAsia="宋体" w:hAnsi="宋体" w:cs="宋体"/>
                <w:b w:val="0"/>
                <w:i w:val="0"/>
                <w:color w:val="000000"/>
                <w:sz w:val="25"/>
              </w:rPr>
              <w:t xml:space="preserve">16.13</w:t>
            </w:r>
          </w:p>
        </w:tc>
        <w:tc>
          <w:tcPr>
            <w:tcW w:w="2658" w:type="dxa"/>
            <w:tcBorders/>
            <w:vAlign w:val="center"/>
          </w:tcPr>
          <w:p>
            <w:pPr>
              <w:jc w:val="right"/>
            </w:pPr>
            <w:r>
              <w:rPr>
                <w:rFonts w:ascii="宋体" w:eastAsia="宋体" w:hAnsi="宋体" w:cs="宋体"/>
                <w:b w:val="0"/>
                <w:i w:val="0"/>
                <w:color w:val="000000"/>
                <w:sz w:val="25"/>
              </w:rPr>
              <w:t xml:space="preserve">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16.13</w:t>
            </w:r>
          </w:p>
        </w:tc>
        <w:tc>
          <w:tcPr>
            <w:tcW w:w="2700" w:type="dxa"/>
            <w:tcBorders/>
            <w:vAlign w:val="center"/>
          </w:tcPr>
          <w:p>
            <w:pPr>
              <w:jc w:val="right"/>
            </w:pPr>
            <w:r>
              <w:rPr>
                <w:rFonts w:ascii="宋体" w:eastAsia="宋体" w:hAnsi="宋体" w:cs="宋体"/>
                <w:b w:val="0"/>
                <w:i w:val="0"/>
                <w:color w:val="000000"/>
                <w:sz w:val="25"/>
              </w:rPr>
              <w:t xml:space="preserve">16.13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16.13</w:t>
            </w:r>
          </w:p>
        </w:tc>
        <w:tc>
          <w:tcPr>
            <w:tcW w:w="2700" w:type="dxa"/>
            <w:tcBorders/>
            <w:vAlign w:val="center"/>
          </w:tcPr>
          <w:p>
            <w:pPr>
              <w:jc w:val="right"/>
            </w:pPr>
            <w:r>
              <w:rPr>
                <w:rFonts w:ascii="宋体" w:eastAsia="宋体" w:hAnsi="宋体" w:cs="宋体"/>
                <w:b w:val="0"/>
                <w:i w:val="0"/>
                <w:color w:val="000000"/>
                <w:sz w:val="25"/>
              </w:rPr>
              <w:t xml:space="preserve">16.13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18.50</w:t>
            </w:r>
          </w:p>
        </w:tc>
        <w:tc>
          <w:tcPr>
            <w:tcW w:w="2700" w:type="dxa"/>
            <w:tcBorders/>
            <w:vAlign w:val="center"/>
          </w:tcPr>
          <w:p>
            <w:pPr>
              <w:jc w:val="right"/>
            </w:pPr>
            <w:r>
              <w:rPr>
                <w:rFonts w:ascii="宋体" w:eastAsia="宋体" w:hAnsi="宋体" w:cs="宋体"/>
                <w:b w:val="0"/>
                <w:i w:val="0"/>
                <w:color w:val="000000"/>
                <w:sz w:val="25"/>
              </w:rPr>
              <w:t xml:space="preserve">18.50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18.50</w:t>
            </w:r>
          </w:p>
        </w:tc>
        <w:tc>
          <w:tcPr>
            <w:tcW w:w="2700" w:type="dxa"/>
            <w:tcBorders/>
            <w:vAlign w:val="center"/>
          </w:tcPr>
          <w:p>
            <w:pPr>
              <w:jc w:val="right"/>
            </w:pPr>
            <w:r>
              <w:rPr>
                <w:rFonts w:ascii="宋体" w:eastAsia="宋体" w:hAnsi="宋体" w:cs="宋体"/>
                <w:b w:val="0"/>
                <w:i w:val="0"/>
                <w:color w:val="000000"/>
                <w:sz w:val="25"/>
              </w:rPr>
              <w:t xml:space="preserve">18.50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8.75</w:t>
            </w:r>
          </w:p>
        </w:tc>
        <w:tc>
          <w:tcPr>
            <w:tcW w:w="2700" w:type="dxa"/>
            <w:tcBorders/>
            <w:vAlign w:val="center"/>
          </w:tcPr>
          <w:p>
            <w:pPr>
              <w:jc w:val="right"/>
            </w:pPr>
            <w:r>
              <w:rPr>
                <w:rFonts w:ascii="宋体" w:eastAsia="宋体" w:hAnsi="宋体" w:cs="宋体"/>
                <w:b w:val="0"/>
                <w:i w:val="0"/>
                <w:color w:val="000000"/>
                <w:sz w:val="25"/>
              </w:rPr>
              <w:t xml:space="preserve">8.75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9.75</w:t>
            </w:r>
          </w:p>
        </w:tc>
        <w:tc>
          <w:tcPr>
            <w:tcW w:w="2700" w:type="dxa"/>
            <w:tcBorders/>
            <w:vAlign w:val="center"/>
          </w:tcPr>
          <w:p>
            <w:pPr>
              <w:jc w:val="right"/>
            </w:pPr>
            <w:r>
              <w:rPr>
                <w:rFonts w:ascii="宋体" w:eastAsia="宋体" w:hAnsi="宋体" w:cs="宋体"/>
                <w:b w:val="0"/>
                <w:i w:val="0"/>
                <w:color w:val="000000"/>
                <w:sz w:val="25"/>
              </w:rPr>
              <w:t xml:space="preserve">9.75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1,448.65</w:t>
            </w:r>
          </w:p>
        </w:tc>
        <w:tc>
          <w:tcPr>
            <w:tcW w:w="2700" w:type="dxa"/>
            <w:tcBorders/>
            <w:vAlign w:val="center"/>
          </w:tcPr>
          <w:p>
            <w:pPr>
              <w:jc w:val="right"/>
            </w:pPr>
            <w:r>
              <w:rPr>
                <w:rFonts w:ascii="宋体" w:eastAsia="宋体" w:hAnsi="宋体" w:cs="宋体"/>
                <w:b w:val="0"/>
                <w:i w:val="0"/>
                <w:color w:val="000000"/>
                <w:sz w:val="25"/>
              </w:rPr>
              <w:t xml:space="preserve">283.25</w:t>
            </w:r>
          </w:p>
        </w:tc>
        <w:tc>
          <w:tcPr>
            <w:tcW w:w="2658" w:type="dxa"/>
            <w:tcBorders/>
            <w:vAlign w:val="center"/>
          </w:tcPr>
          <w:p>
            <w:pPr>
              <w:jc w:val="right"/>
            </w:pPr>
            <w:r>
              <w:rPr>
                <w:rFonts w:ascii="宋体" w:eastAsia="宋体" w:hAnsi="宋体" w:cs="宋体"/>
                <w:b w:val="0"/>
                <w:i w:val="0"/>
                <w:color w:val="000000"/>
                <w:sz w:val="25"/>
              </w:rPr>
              <w:t xml:space="preserve">1,165.40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1,448.65</w:t>
            </w:r>
          </w:p>
        </w:tc>
        <w:tc>
          <w:tcPr>
            <w:tcW w:w="2700" w:type="dxa"/>
            <w:tcBorders/>
            <w:vAlign w:val="center"/>
          </w:tcPr>
          <w:p>
            <w:pPr>
              <w:jc w:val="right"/>
            </w:pPr>
            <w:r>
              <w:rPr>
                <w:rFonts w:ascii="宋体" w:eastAsia="宋体" w:hAnsi="宋体" w:cs="宋体"/>
                <w:b w:val="0"/>
                <w:i w:val="0"/>
                <w:color w:val="000000"/>
                <w:sz w:val="25"/>
              </w:rPr>
              <w:t xml:space="preserve">283.25</w:t>
            </w:r>
          </w:p>
        </w:tc>
        <w:tc>
          <w:tcPr>
            <w:tcW w:w="2658" w:type="dxa"/>
            <w:tcBorders/>
            <w:vAlign w:val="center"/>
          </w:tcPr>
          <w:p>
            <w:pPr>
              <w:jc w:val="right"/>
            </w:pPr>
            <w:r>
              <w:rPr>
                <w:rFonts w:ascii="宋体" w:eastAsia="宋体" w:hAnsi="宋体" w:cs="宋体"/>
                <w:b w:val="0"/>
                <w:i w:val="0"/>
                <w:color w:val="000000"/>
                <w:sz w:val="25"/>
              </w:rPr>
              <w:t xml:space="preserve">1,165.40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283.25</w:t>
            </w:r>
          </w:p>
        </w:tc>
        <w:tc>
          <w:tcPr>
            <w:tcW w:w="2700" w:type="dxa"/>
            <w:tcBorders/>
            <w:vAlign w:val="center"/>
          </w:tcPr>
          <w:p>
            <w:pPr>
              <w:jc w:val="right"/>
            </w:pPr>
            <w:r>
              <w:rPr>
                <w:rFonts w:ascii="宋体" w:eastAsia="宋体" w:hAnsi="宋体" w:cs="宋体"/>
                <w:b w:val="0"/>
                <w:i w:val="0"/>
                <w:color w:val="000000"/>
                <w:sz w:val="25"/>
              </w:rPr>
              <w:t xml:space="preserve">283.25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15.40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15.40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其他巩固脱贫攻坚成果衔接乡村振兴支出</w:t>
            </w:r>
          </w:p>
        </w:tc>
        <w:tc>
          <w:tcPr>
            <w:tcW w:w="2700" w:type="dxa"/>
            <w:tcBorders/>
            <w:vAlign w:val="center"/>
          </w:tcPr>
          <w:p>
            <w:pPr>
              <w:jc w:val="right"/>
            </w:pPr>
            <w:r>
              <w:rPr>
                <w:rFonts w:ascii="宋体" w:eastAsia="宋体" w:hAnsi="宋体" w:cs="宋体"/>
                <w:b w:val="0"/>
                <w:i w:val="0"/>
                <w:color w:val="000000"/>
                <w:sz w:val="25"/>
              </w:rPr>
              <w:t xml:space="preserve">1,150.00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1,150.00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16.53</w:t>
            </w:r>
          </w:p>
        </w:tc>
        <w:tc>
          <w:tcPr>
            <w:tcW w:w="2700" w:type="dxa"/>
            <w:tcBorders/>
            <w:vAlign w:val="center"/>
          </w:tcPr>
          <w:p>
            <w:pPr>
              <w:jc w:val="right"/>
            </w:pPr>
            <w:r>
              <w:rPr>
                <w:rFonts w:ascii="宋体" w:eastAsia="宋体" w:hAnsi="宋体" w:cs="宋体"/>
                <w:b w:val="0"/>
                <w:i w:val="0"/>
                <w:color w:val="000000"/>
                <w:sz w:val="25"/>
              </w:rPr>
              <w:t xml:space="preserve">16.53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16.53</w:t>
            </w:r>
          </w:p>
        </w:tc>
        <w:tc>
          <w:tcPr>
            <w:tcW w:w="2700" w:type="dxa"/>
            <w:tcBorders/>
            <w:vAlign w:val="center"/>
          </w:tcPr>
          <w:p>
            <w:pPr>
              <w:jc w:val="right"/>
            </w:pPr>
            <w:r>
              <w:rPr>
                <w:rFonts w:ascii="宋体" w:eastAsia="宋体" w:hAnsi="宋体" w:cs="宋体"/>
                <w:b w:val="0"/>
                <w:i w:val="0"/>
                <w:color w:val="000000"/>
                <w:sz w:val="25"/>
              </w:rPr>
              <w:t xml:space="preserve">16.53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16.53</w:t>
            </w:r>
          </w:p>
        </w:tc>
        <w:tc>
          <w:tcPr>
            <w:tcW w:w="2700" w:type="dxa"/>
            <w:tcBorders/>
            <w:vAlign w:val="center"/>
          </w:tcPr>
          <w:p>
            <w:pPr>
              <w:jc w:val="right"/>
            </w:pPr>
            <w:r>
              <w:rPr>
                <w:rFonts w:ascii="宋体" w:eastAsia="宋体" w:hAnsi="宋体" w:cs="宋体"/>
                <w:b w:val="0"/>
                <w:i w:val="0"/>
                <w:color w:val="000000"/>
                <w:sz w:val="25"/>
              </w:rPr>
              <w:t xml:space="preserve">16.53</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单位：许昌市乡村振兴局（本级）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301.10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47.89</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73.99</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14.04</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108.55</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2.07</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67.29</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16.13</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2.21</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0.97</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8.75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9.75</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0.11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1.80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16.53</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1.19</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1.40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1.72</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3.88</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17.08</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1.53</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301.10</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47.89</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单位：许昌市乡村振兴局（本级）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单位：许昌市乡村振兴局（本级）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单位：许昌市乡村振兴局（本级）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5.50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1.50</w:t>
            </w:r>
          </w:p>
        </w:tc>
        <w:tc>
          <w:tcPr>
            <w:tcW w:w="1160" w:type="dxa"/>
            <w:tcBorders/>
            <w:vAlign w:val="center"/>
          </w:tcPr>
          <w:p>
            <w:pPr>
              <w:jc w:val="right"/>
            </w:pPr>
            <w:r>
              <w:rPr>
                <w:rFonts w:ascii="宋体" w:eastAsia="宋体" w:hAnsi="宋体" w:cs="宋体"/>
                <w:b w:val="0"/>
                <w:i w:val="0"/>
                <w:color w:val="000000"/>
                <w:sz w:val="17"/>
              </w:rPr>
              <w:t xml:space="preserve">5.08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3.88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3.88</w:t>
            </w:r>
          </w:p>
        </w:tc>
        <w:tc>
          <w:tcPr>
            <w:tcW w:w="1198" w:type="dxa"/>
            <w:tcBorders/>
            <w:vAlign w:val="center"/>
          </w:tcPr>
          <w:p>
            <w:pPr>
              <w:jc w:val="right"/>
            </w:pPr>
            <w:r>
              <w:rPr>
                <w:rFonts w:ascii="宋体" w:eastAsia="宋体" w:hAnsi="宋体" w:cs="宋体"/>
                <w:b w:val="0"/>
                <w:i w:val="0"/>
                <w:color w:val="000000"/>
                <w:sz w:val="17"/>
              </w:rPr>
              <w:t xml:space="preserve">1.19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1514.96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增加55.71万元，增长3.82%</w:t>
      </w:r>
      <w:r>
        <w:rPr>
          <w:rFonts w:ascii="仿宋" w:eastAsia="仿宋" w:hAnsi="仿宋" w:cs="仿宋" w:hint="eastAsia"/>
          <w:kern w:val="0"/>
          <w:sz w:val="32"/>
          <w:szCs w:val="32"/>
          <w:lang w:val="en-US" w:eastAsia="zh-CN"/>
        </w:rPr>
        <w:t xml:space="preserve">。主要原因是人员经费及公用经费支出增加。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1501.75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财政拨款收入1501.75万元，占100.00%；上级补助收入0.00万元，占0.00%；事业收入0.00万元，占0.00%；经营收入0.00万元，占0.00%；附属单位上缴收入0.00万元，占0.00%；其他收入0.00万元，占0.00%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1514.96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基本支出348.99万元，占23.04%；项目支出1165.97万元，占76.96%；上缴上级支出0.00万元，占0.00%；经营支出0.00万元，占0.00%；对附属单位补助支出0.00万元，占0.00%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1514.96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增加55.71万元，增长3.82%</w:t>
      </w:r>
      <w:r>
        <w:rPr>
          <w:rFonts w:ascii="仿宋" w:eastAsia="仿宋" w:hAnsi="仿宋" w:cs="仿宋" w:hint="eastAsia"/>
          <w:kern w:val="0"/>
          <w:sz w:val="32"/>
          <w:szCs w:val="32"/>
          <w:lang w:val="en-US" w:eastAsia="zh-CN"/>
        </w:rPr>
        <w:t xml:space="preserve">。主要原因是人员经费及公用经费支出增加。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1514.96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增加55.71万元，增长3.82%</w:t>
      </w:r>
      <w:r>
        <w:rPr>
          <w:rFonts w:ascii="仿宋" w:eastAsia="仿宋" w:hAnsi="仿宋" w:cs="仿宋" w:hint="eastAsia"/>
          <w:kern w:val="0"/>
          <w:sz w:val="32"/>
          <w:szCs w:val="32"/>
          <w:lang w:val="en-US" w:eastAsia="zh-CN"/>
        </w:rPr>
        <w:t xml:space="preserve">。主要原因是人员经费及公用经费支出增加。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1514.96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一般公共服务支出（类）14.58万元，占0.96%；社会保障和就业支出（类）16.69万元，占1.10%；卫生健康支出（类）18.50万元，占1.22%；农林水支出（类）1448.65万元，占95.62%；住房保障支出（类）16.53万元，占1.10%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9283.76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1514.96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16.32</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年初预算数为1.40万元，决算数1.40万元,完成年初预算的100.00%，决算数与年初预算数不存在差异。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年初预算数为3.00万元，决算数13.18万元,完成年初预算的439.33%，决算数与年初预算数存在差异的主要原因是本年度发放2021年度平安建设奖支出。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年初预算数为16.13万元，决算数16.13万元,完成年初预算的100.00%，决算数与年初预算数不存在差异。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4.社会保障和就业支出（类）就业补助（款）其他就业补助支出（项）</w:t>
      </w:r>
      <w:r>
        <w:rPr>
          <w:rFonts w:ascii="仿宋" w:eastAsia="仿宋" w:hAnsi="仿宋" w:cs="仿宋" w:hint="default"/>
          <w:kern w:val="2"/>
          <w:sz w:val="32"/>
          <w:szCs w:val="32"/>
          <w:lang w:val="en-US" w:eastAsia="zh-CN"/>
        </w:rPr>
        <w:t xml:space="preserve">年初预算数为0.00万元，决算数0.57万元,决算数与年初预算数存在差异的主要原因是2023年公益岗位人员工资及社保。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5.卫生健康支出（类）行政事业单位医疗（款）行政单位医疗（项）</w:t>
      </w:r>
      <w:r>
        <w:rPr>
          <w:rFonts w:ascii="仿宋" w:eastAsia="仿宋" w:hAnsi="仿宋" w:cs="仿宋" w:hint="default"/>
          <w:kern w:val="2"/>
          <w:sz w:val="32"/>
          <w:szCs w:val="32"/>
          <w:lang w:val="en-US" w:eastAsia="zh-CN"/>
        </w:rPr>
        <w:t xml:space="preserve">年初预算数为8.78万元，决算数8.75万元,完成年初预算的99.66%，决算数与年初预算数存在差异的主要原因是严格按照征缴计划单缴纳，基本不存在差异。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6.卫生健康支出（类）行政事业单位医疗（款）公务员医疗补助（项）</w:t>
      </w:r>
      <w:r>
        <w:rPr>
          <w:rFonts w:ascii="仿宋" w:eastAsia="仿宋" w:hAnsi="仿宋" w:cs="仿宋" w:hint="default"/>
          <w:kern w:val="2"/>
          <w:sz w:val="32"/>
          <w:szCs w:val="32"/>
          <w:lang w:val="en-US" w:eastAsia="zh-CN"/>
        </w:rPr>
        <w:t xml:space="preserve">年初预算数为9.75万元，决算数9.75万元,完成年初预算的100.00%，决算数与年初预算数不存在差异。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7.农林水支出（类）巩固脱贫攻坚成果衔接乡村振兴（款）行政运行（项）</w:t>
      </w:r>
      <w:r>
        <w:rPr>
          <w:rFonts w:ascii="仿宋" w:eastAsia="仿宋" w:hAnsi="仿宋" w:cs="仿宋" w:hint="default"/>
          <w:kern w:val="2"/>
          <w:sz w:val="32"/>
          <w:szCs w:val="32"/>
          <w:lang w:val="en-US" w:eastAsia="zh-CN"/>
        </w:rPr>
        <w:t xml:space="preserve">年初预算数为248.79万元，决算数283.25万元,完成年初预算的113.85%，决算数与年初预算数存在差异的主要原因是本年度存在人员晋级晋档及职务晋升，人员经费支出增加。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年初预算数为0.00万元，决算数15.40万元,决算数与年初预算数存在差异的主要原因是巩固拓展脱贫攻坚工作经费支出、淅川工作组工作经费支出、调研指导组工作经费支出。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9.农林水支出（类）巩固脱贫攻坚成果衔接乡村振兴（款）其他巩固脱贫攻坚成果衔接乡村振兴支出（项）</w:t>
      </w:r>
      <w:r>
        <w:rPr>
          <w:rFonts w:ascii="仿宋" w:eastAsia="仿宋" w:hAnsi="仿宋" w:cs="仿宋" w:hint="default"/>
          <w:kern w:val="2"/>
          <w:sz w:val="32"/>
          <w:szCs w:val="32"/>
          <w:lang w:val="en-US" w:eastAsia="zh-CN"/>
        </w:rPr>
        <w:t xml:space="preserve">年初预算数为8670.00万元，决算数1150.00万元,完成年初预算的13.26%，决算数与年初预算数存在差异的主要原因是乡村振兴衔接资金7520万元由财政局直接拨付至各县（市、区）。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10.住房保障支出（类）住房改革支出（款）住房公积金（项）</w:t>
      </w:r>
      <w:r>
        <w:rPr>
          <w:rFonts w:ascii="仿宋" w:eastAsia="仿宋" w:hAnsi="仿宋" w:cs="仿宋" w:hint="default"/>
          <w:kern w:val="2"/>
          <w:sz w:val="32"/>
          <w:szCs w:val="32"/>
          <w:lang w:val="en-US" w:eastAsia="zh-CN"/>
        </w:rPr>
        <w:t xml:space="preserve">年初预算数为16.72万元，决算数16.53万元,完成年初预算的98.86%，决算数与年初预算数存在差异的主要原因是严格按照征缴计划单缴纳，基本不存在差异。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348.99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其中：人员经费301.10万元，主要包括：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公用经费47.89万元，主要包括：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5.50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5.08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，完成预算的92.36%</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2023年度“三公”经费支出决算数与预算数存在差异的主要原因是贯彻落实上级过紧日子要求，厉行节约，压减支出。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3.88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,完成预算的97.00%</w:t>
      </w:r>
      <w:r>
        <w:rPr>
          <w:rFonts w:ascii="仿宋" w:eastAsia="仿宋" w:hAnsi="仿宋" w:cs="仿宋" w:hint="eastAsia"/>
          <w:kern w:val="0"/>
          <w:sz w:val="32"/>
          <w:szCs w:val="32"/>
          <w:lang w:val="en-US" w:eastAsia="zh-CN"/>
        </w:rPr>
        <w:t xml:space="preserve">，占76.38%</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1.19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，完成预算的79.33%</w:t>
      </w:r>
      <w:r>
        <w:rPr>
          <w:rFonts w:ascii="仿宋" w:eastAsia="仿宋" w:hAnsi="仿宋" w:cs="仿宋" w:hint="eastAsia"/>
          <w:kern w:val="0"/>
          <w:sz w:val="32"/>
          <w:szCs w:val="32"/>
          <w:lang w:val="en-US" w:eastAsia="zh-CN"/>
        </w:rPr>
        <w:t xml:space="preserve">，占23.43%</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3.88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，完成预算的97.00%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决算数与预算数存在差异的主要原因是贯彻落实上级过紧日子要求，厉行节约，压减支出。</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3.88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主要用于支付保险费、维修费、油费、过路费等。</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1.50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1.19</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，完成预算的79.33%</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决算数与预算数存在差异的主要原因是贯彻落实上级过紧日子要求，厉行节约，压减支出。</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1.19</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主要用于巩固拓展脱贫攻坚成果暨乡村振兴业务接待。</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60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2023年度机关运行经费支出47.89万元，</w:t>
      </w:r>
      <w:r>
        <w:rPr>
          <w:rFonts w:ascii="仿宋" w:eastAsia="仿宋" w:hAnsi="仿宋" w:cs="仿宋" w:hint="eastAsia"/>
          <w:kern w:val="0"/>
          <w:sz w:val="32"/>
          <w:szCs w:val="32"/>
          <w:lang w:val="en-US" w:eastAsia="zh-CN"/>
        </w:rPr>
        <w:t xml:space="preserve">较2022年度增长14.05万元，</w:t>
      </w:r>
      <w:r>
        <w:rPr>
          <w:rFonts w:ascii="仿宋" w:eastAsia="仿宋" w:hAnsi="仿宋" w:cs="仿宋" w:hint="eastAsia"/>
          <w:kern w:val="0"/>
          <w:sz w:val="32"/>
          <w:szCs w:val="32"/>
          <w:lang w:val="en-US" w:eastAsia="zh-CN"/>
        </w:rPr>
        <w:t xml:space="preserve">增长41.52%，</w:t>
      </w:r>
      <w:r>
        <w:rPr>
          <w:rFonts w:ascii="仿宋" w:eastAsia="仿宋" w:hAnsi="仿宋" w:cs="仿宋" w:hint="eastAsia"/>
          <w:kern w:val="0"/>
          <w:sz w:val="32"/>
          <w:szCs w:val="32"/>
          <w:lang w:val="en-US" w:eastAsia="zh-CN"/>
        </w:rPr>
        <w:t xml:space="preserve">主要原因是各项业务有序开展，经费支出增加。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1544.86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本单位资金到位及时，预算资金执行率达到98.06%。在资金管理上强化责任意识，建立健全管理制度，落实帮扶淅川县乡村建设项目、财政衔接推进乡村振兴补助资金，定期查看资金拨付情况，提高执行效率和资金使用效益，确保财政资金使用安全</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基于项目预期目标的实现程度，我单位对2023年度单位预算项目支出（含单位参与分配的转移支付项目）开展绩效自评，涉及项目9个，项目金额6772.4万元。其中：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提前下达财政衔接推进乡村振兴补助资金，自评得分为100分，等级为“优”。该项目共设置7个小指标，其中：完成7个指标，完成率100%。预算数5300万元，预算执行率为100%。2023年度，我部门以坚决守牢防止规模性返贫为底线，以强产业、稳就业、促增收为抓手，有力推动财政衔接资金项目，有效巩固拓展脱贫攻坚成果。下一步，将继续加强巩固拓展脱贫攻坚成果和乡村振兴项目库管理水平，强化项目论证，加强项目储备，突出衔接资金支持重点；继续加强资金监管力度，结合绩效评价要求，坚持对衔接资金的监管贯穿项目实施全过程。</w:t>
        <w:br/>
        <w:t xml:space="preserve">    （2）2023年许昌市派驻村第一书记补助经费，自评得分为97.14分，等级为“优”。该项目共设置12个小指标，其中：完成12个指标，完成率100%。预算数为271万元，预算执行率为71.43%。2023年度，我部门认真落实省委市委关于《第一书记专项资金、工作经费、驻村补助等费用纳入财政预算，予以充分保障，为第一书记发挥作用提供助力》相关要求，对2023年度市派第一书记伙食补助及交通补助予以保障。下一步，将继续按照相关要求，将驻村第一书记补助经费纳入财政预算。</w:t>
        <w:br/>
        <w:t xml:space="preserve">    （3）市脱贫攻坚调研指导工作下乡补助经费，自评得分为98.17分，等级为“优”。该项目共设置9个小指标，其中：完成9个指标，完成率100%。预算数为25.2万元，预算执行率为81.71%。2023年度，根据《关于调整和加强巩固拓展脱贫攻坚成果调研指导组的通知》文件要求，参照《许昌市市直机关差旅费管理办法》，对巩固拓展脱贫攻坚成果调研指导组共28人在工作期间，产生的差旅费予以保障。下一步，将继续按照相关要求，将市脱贫攻坚调研指导工作下乡补助经费纳入财政预算。</w:t>
        <w:br/>
        <w:t xml:space="preserve">    （4）许昌市脱贫攻坚调研指导（联乡帮村服务）工作经费（结转本级资金），自评得分为100分，等级为“优”。该项目共设置7个小指标，其中：完成7个指标，完成率100%。预算数为1.63万元，预算执行率为100%。  2023年，市巩固拓展脱贫攻坚调研指导组围绕防返贫监测帮扶、就业产业、群众增收、综合保障、政策落实、项目管理等方面，对5个县市区开展专项调研活动37次，形成调研问题清单、报告、通报等31份，帮助基层解决一批脱贫攻坚中遇到的实际问题和困难，并总结推广一批各地可复制、可推广的特色经验做法，督促乡村理清思路、制定规划、发展产业、完善基础设施和公共服务设施等，落实各项帮扶政策，坚决守住了不发生规模性返贫的底线。</w:t>
        <w:br/>
        <w:t xml:space="preserve">    （5）结对帮扶淅川县乡村建设项目，自评得分为100分，等级为“优”。该项目共设置6个小指标，其中：完成6个指标，完成率100%。预算数为1150万元，预算执行率为100%。经两地各有关部门通力合作，项目已顺利完工投用，实现了54个村卫生室产权公有化，为山区群众就医提供了硬件设施保障，进一步完善了村级医疗卫生公共服务条件。</w:t>
        <w:br/>
        <w:t xml:space="preserve">    （6）巩固拓展脱贫攻坚成果专项工作经费（结转本级资金），自评得分为100分，等级为“优”。该项目共设置13个小指标，其中：完成13个指标，完成率100%。预算数为9.08万元，预算执行率为100%。2023年度，市乡村振兴局围绕防返贫动态监测、政策落实、人居环境整治、户厕改造、产业发展、基层党建等六个方面重点任务，开展了一系列业务活动，按照资金管理要求，合理分配和利用经费，保障了单位日常工作的正常运转。</w:t>
        <w:br/>
        <w:t xml:space="preserve">    （7）市巩固拓展脱贫攻坚成果调研指导（联乡帮村服务）工作经费，自评得分为95.51分，等级为“优”。该项目共设置6个小指标，其中：完成6个指标，完成率100%。预算数为7.2万元，预算执行率为55.14%。 2023年，市巩固拓展脱贫攻坚调研指导组围绕防返贫监测帮扶、就业产业、群众增收、综合保障、政策落实、项目管理等方面，对5个县市区开展专项调研活动37次，形成调研问题清单、报告、通报等31份，帮助基层解决一批脱贫攻坚中遇到的实际问题和困难，并总结推广一批各地可复制、可推广的特色经验做法，督促乡村理清思路、制定规划、发展产业、完善基础设施和公共服务设施等，落实各项帮扶政策，坚决守住了不发生规模性返贫的底线。</w:t>
        <w:br/>
        <w:t xml:space="preserve">    （8）市驻淅川县工作队工作经费，自评得分为96.05分，等级为“优”。该项目共设置11个小指标，其中：完成11个指标，完成率100%。预算数为5.8万元，预算执行率为60.52%。2023年度，根据文件精神，许昌市继续结对帮扶省级乡村振兴重点县淅川县，通过结对帮扶促进被帮扶县实现巩固拓展脱贫攻坚成果同乡村振兴有效衔接。帮扶方向结对帮扶县派驻工作队，并根据实际，保障其必要的工作经费。</w:t>
        <w:br/>
        <w:t xml:space="preserve">    （9）许昌市驻淅川县工作队工作经费（结转本级资金），自评得分为100分，等级为“优”。该项目共设置11个小指标，其中：完成11个指标，完成率100%。预算数为2.49万元，预算执行率为100%。2023年度，根据文件精神，许昌市继续结对帮扶省级乡村振兴重点县淅川县，通过结对帮扶促进被帮扶县实现巩固拓展脱贫攻坚成果同乡村振兴有效衔接。帮扶方向结对帮扶县派驻工作队，并根据实际，保障其必要的工作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对绩效评价工作“谁使用、谁评价”的原则执行不够到位，项目成本管理目标设置还不够具体，对项目资金使用成本的控制有待进一步加强。下一步，我部门将继续完善预算绩效管理体系，建立预算编制有目标、预算执行有监控、预算完成有评价、评价结果有反馈、反馈结果有因由的预算绩效管理机制，完善全过程预算绩效管理链条。</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default"/>
          <w:kern w:val="2"/>
          <w:sz w:val="32"/>
          <w:szCs w:val="32"/>
          <w:lang w:val="en-US" w:eastAsia="zh-CN"/>
        </w:rPr>
        <w:t xml:space="preserve">根据工作需要，我单位以下项目被主管部门选中开展重点绩效评价：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1.提前下达财政衔接推进乡村振兴补助资金，自评得分为100分，等级为“优”。</w:t>
        <w:br/>
        <w:t xml:space="preserve">    2023年全市共到位各级财政衔接推进乡村振兴补助资金60809万元（其中:中央资金14653万元、省级资金8826万元、市级资金7520万元、县级资金29810万元），主要用于脱贫村和脱贫人口较多的非贫困村改善基础设施条件及助力其产业发展。涉及任务两项:巩固拓展脱贫攻坚成果和乡村振兴任务60506万元、少数民族发展任务303万元，2023年我市不涉及以工代赈、欠发达国有农场巩固提升和欠发达国有林场巩固提升三项任务。共对接项目426个，截至2023年12月31日，项目完工率100%，资金支付率98.34%。</w:t>
        <w:br/>
        <w:t xml:space="preserve">    2023年，许昌市严格按照资金项目有关政策开展工作，积极落实省乡村振兴局安排的各项工作，按时报送资金项目有关材料，下一步，将继续按照工作安排，建立问题整改台账，督促问题整改成效，进一步提高我市资金项目管理水平。</w:t>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316"/>
        <w:gridCol w:w="4422"/>
        <w:gridCol w:w="1699"/>
        <w:gridCol w:w="1482"/>
        <w:gridCol w:w="10984"/>
        <w:gridCol w:w="3331"/>
        <w:gridCol w:w="1755"/>
        <w:gridCol w:w="921"/>
        <w:gridCol w:w="921"/>
        <w:gridCol w:w="1207"/>
        <w:gridCol w:w="86"/>
        <w:gridCol w:w="3369"/>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hint="eastAsia"/>
                <w:b/>
                <w:bCs/>
                <w:i w:val="0"/>
                <w:iCs w:val="0"/>
                <w:color w:val="000000"/>
                <w:kern w:val="0"/>
                <w:sz w:val="38"/>
                <w:szCs w:val="38"/>
                <w:u w:val="none"/>
                <w:lang w:val="en-US" w:eastAsia="zh-CN" w:bidi="en-AU"/>
              </w:rPr>
              <w:t xml:space="preserve">单位</w:t>
            </w:r>
            <w:r>
              <w:rPr>
                <w:rFonts w:ascii="宋体" w:eastAsia="宋体" w:hAnsi="宋体" w:cs="宋体"/>
                <w:b/>
                <w:bCs/>
                <w:i w:val="0"/>
                <w:iCs w:val="0"/>
                <w:color w:val="000000"/>
                <w:kern w:val="0"/>
                <w:sz w:val="38"/>
                <w:szCs w:val="38"/>
                <w:u w:val="none"/>
                <w:lang w:val="en-US" w:eastAsia="zh-CN" w:bidi="en-AU"/>
              </w:rPr>
              <w:t xml:space="preserve">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单位</w:t>
            </w:r>
            <w:r>
              <w:rPr>
                <w:rFonts w:ascii="宋体" w:eastAsia="宋体" w:hAnsi="宋体" w:cs="宋体"/>
                <w:i w:val="0"/>
                <w:iCs w:val="0"/>
                <w:color w:val="000000"/>
                <w:kern w:val="0"/>
                <w:sz w:val="18"/>
                <w:szCs w:val="18"/>
                <w:u w:val="none"/>
                <w:lang w:val="en-US" w:eastAsia="zh-CN" w:bidi="en-AU"/>
              </w:rPr>
              <w:t xml:space="preserve">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单位</w:t>
            </w:r>
            <w:r>
              <w:rPr>
                <w:rFonts w:ascii="宋体" w:eastAsia="宋体" w:hAnsi="宋体" w:cs="宋体"/>
                <w:i w:val="0"/>
                <w:iCs w:val="0"/>
                <w:color w:val="000000"/>
                <w:kern w:val="0"/>
                <w:sz w:val="18"/>
                <w:szCs w:val="18"/>
                <w:u w:val="none"/>
                <w:lang w:val="en-US" w:eastAsia="zh-CN" w:bidi="en-AU"/>
              </w:rPr>
              <w:t xml:space="preserve">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9283.76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1544.86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1514.96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98.06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资金来源：</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9283.76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1543.85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1514.96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98.13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紧盯巩固拓展脱贫攻坚成果这一任务，持续健全完善防返贫监测帮扶机制，指导县（市、区）抓好财政衔接资金项目建设，协调部门落实帮扶举措，确保不发生规模性返贫底线，确保脱贫群众收入增速高于当地农民收入增速、脱贫地区农民收入增速高于全市农民收入增速。</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年以来，先后开展两轮集中排查，新识别监测对</w:t>
            </w:r>
            <w:r>
              <w:rPr>
                <w:rFonts w:ascii="宋体" w:eastAsia="宋体" w:hAnsi="宋体" w:cs="宋体"/>
                <w:i w:val="0"/>
                <w:iCs w:val="0"/>
                <w:color w:val="000000"/>
                <w:kern w:val="0"/>
                <w:sz w:val="18"/>
                <w:szCs w:val="18"/>
                <w:u w:val="none"/>
                <w:lang w:val="en-US" w:eastAsia="zh-CN" w:bidi="en-AU"/>
              </w:rPr>
              <w:t xml:space="preserve">象</w:t>
            </w:r>
            <w:r>
              <w:rPr>
                <w:rFonts w:ascii="宋体" w:eastAsia="宋体" w:hAnsi="宋体" w:cs="宋体"/>
                <w:i w:val="0"/>
                <w:iCs w:val="0"/>
                <w:color w:val="000000"/>
                <w:kern w:val="0"/>
                <w:sz w:val="18"/>
                <w:szCs w:val="18"/>
                <w:u w:val="none"/>
                <w:lang w:val="en-US" w:eastAsia="zh-CN" w:bidi="en-AU"/>
              </w:rPr>
              <w:t xml:space="preserve">68</w:t>
            </w:r>
            <w:r>
              <w:rPr>
                <w:rFonts w:ascii="宋体" w:eastAsia="宋体" w:hAnsi="宋体" w:cs="宋体"/>
                <w:i w:val="0"/>
                <w:iCs w:val="0"/>
                <w:color w:val="000000"/>
                <w:kern w:val="0"/>
                <w:sz w:val="18"/>
                <w:szCs w:val="18"/>
                <w:u w:val="none"/>
                <w:lang w:val="en-US" w:eastAsia="zh-CN" w:bidi="en-AU"/>
              </w:rPr>
              <w:t xml:space="preserve">4</w:t>
            </w:r>
            <w:r>
              <w:rPr>
                <w:rFonts w:ascii="宋体" w:eastAsia="宋体" w:hAnsi="宋体" w:cs="宋体"/>
                <w:i w:val="0"/>
                <w:iCs w:val="0"/>
                <w:color w:val="000000"/>
                <w:kern w:val="0"/>
                <w:sz w:val="18"/>
                <w:szCs w:val="18"/>
                <w:u w:val="none"/>
                <w:lang w:val="en-US" w:eastAsia="zh-CN" w:bidi="en-AU"/>
              </w:rPr>
              <w:t xml:space="preserve">户</w:t>
            </w:r>
            <w:r>
              <w:rPr>
                <w:rFonts w:ascii="宋体" w:eastAsia="宋体" w:hAnsi="宋体" w:cs="宋体"/>
                <w:i w:val="0"/>
                <w:iCs w:val="0"/>
                <w:color w:val="000000"/>
                <w:kern w:val="0"/>
                <w:sz w:val="18"/>
                <w:szCs w:val="18"/>
                <w:u w:val="none"/>
                <w:lang w:val="en-US" w:eastAsia="zh-CN" w:bidi="en-AU"/>
              </w:rPr>
              <w:t xml:space="preserve">224</w:t>
            </w:r>
            <w:r>
              <w:rPr>
                <w:rFonts w:ascii="宋体" w:eastAsia="宋体" w:hAnsi="宋体" w:cs="宋体"/>
                <w:i w:val="0"/>
                <w:iCs w:val="0"/>
                <w:color w:val="000000"/>
                <w:kern w:val="0"/>
                <w:sz w:val="18"/>
                <w:szCs w:val="18"/>
                <w:u w:val="none"/>
                <w:lang w:val="en-US" w:eastAsia="zh-CN" w:bidi="en-AU"/>
              </w:rPr>
              <w:t xml:space="preserve">8</w:t>
            </w:r>
            <w:r>
              <w:rPr>
                <w:rFonts w:ascii="宋体" w:eastAsia="宋体" w:hAnsi="宋体" w:cs="宋体"/>
                <w:i w:val="0"/>
                <w:iCs w:val="0"/>
                <w:color w:val="000000"/>
                <w:kern w:val="0"/>
                <w:sz w:val="18"/>
                <w:szCs w:val="18"/>
                <w:u w:val="none"/>
                <w:lang w:val="en-US" w:eastAsia="zh-CN" w:bidi="en-AU"/>
              </w:rPr>
              <w:t xml:space="preserve">人，累计消除风</w:t>
            </w:r>
            <w:r>
              <w:rPr>
                <w:rFonts w:ascii="宋体" w:eastAsia="宋体" w:hAnsi="宋体" w:cs="宋体"/>
                <w:i w:val="0"/>
                <w:iCs w:val="0"/>
                <w:color w:val="000000"/>
                <w:kern w:val="0"/>
                <w:sz w:val="18"/>
                <w:szCs w:val="18"/>
                <w:u w:val="none"/>
                <w:lang w:val="en-US" w:eastAsia="zh-CN" w:bidi="en-AU"/>
              </w:rPr>
              <w:t xml:space="preserve">险</w:t>
            </w:r>
            <w:r>
              <w:rPr>
                <w:rFonts w:ascii="宋体" w:eastAsia="宋体" w:hAnsi="宋体" w:cs="宋体"/>
                <w:i w:val="0"/>
                <w:iCs w:val="0"/>
                <w:color w:val="000000"/>
                <w:kern w:val="0"/>
                <w:sz w:val="18"/>
                <w:szCs w:val="18"/>
                <w:u w:val="none"/>
                <w:lang w:val="en-US" w:eastAsia="zh-CN" w:bidi="en-AU"/>
              </w:rPr>
              <w:t xml:space="preserve">387</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户</w:t>
            </w:r>
            <w:r>
              <w:rPr>
                <w:rFonts w:ascii="宋体" w:eastAsia="宋体" w:hAnsi="宋体" w:cs="宋体"/>
                <w:i w:val="0"/>
                <w:iCs w:val="0"/>
                <w:color w:val="000000"/>
                <w:kern w:val="0"/>
                <w:sz w:val="18"/>
                <w:szCs w:val="18"/>
                <w:u w:val="none"/>
                <w:lang w:val="en-US" w:eastAsia="zh-CN" w:bidi="en-AU"/>
              </w:rPr>
              <w:t xml:space="preserve">1102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人，风险消除</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49.7</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较</w:t>
            </w: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年度提</w:t>
            </w:r>
            <w:r>
              <w:rPr>
                <w:rFonts w:ascii="宋体" w:eastAsia="宋体" w:hAnsi="宋体" w:cs="宋体"/>
                <w:i w:val="0"/>
                <w:iCs w:val="0"/>
                <w:color w:val="000000"/>
                <w:kern w:val="0"/>
                <w:sz w:val="18"/>
                <w:szCs w:val="18"/>
                <w:u w:val="none"/>
                <w:lang w:val="en-US" w:eastAsia="zh-CN" w:bidi="en-AU"/>
              </w:rPr>
              <w:t xml:space="preserve">高</w:t>
            </w:r>
            <w:r>
              <w:rPr>
                <w:rFonts w:ascii="宋体" w:eastAsia="宋体" w:hAnsi="宋体" w:cs="宋体"/>
                <w:i w:val="0"/>
                <w:iCs w:val="0"/>
                <w:color w:val="000000"/>
                <w:kern w:val="0"/>
                <w:sz w:val="18"/>
                <w:szCs w:val="18"/>
                <w:u w:val="none"/>
                <w:lang w:val="en-US" w:eastAsia="zh-CN" w:bidi="en-AU"/>
              </w:rPr>
              <w:t xml:space="preserve">6.7</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；先后与民政、医保、教育等八部门进</w:t>
            </w:r>
            <w:r>
              <w:rPr>
                <w:rFonts w:ascii="宋体" w:eastAsia="宋体" w:hAnsi="宋体" w:cs="宋体"/>
                <w:i w:val="0"/>
                <w:iCs w:val="0"/>
                <w:color w:val="000000"/>
                <w:kern w:val="0"/>
                <w:sz w:val="18"/>
                <w:szCs w:val="18"/>
                <w:u w:val="none"/>
                <w:lang w:val="en-US" w:eastAsia="zh-CN" w:bidi="en-AU"/>
              </w:rPr>
              <w:t xml:space="preserve">行</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次数据比对，累计推送预警数</w:t>
            </w:r>
            <w:r>
              <w:rPr>
                <w:rFonts w:ascii="宋体" w:eastAsia="宋体" w:hAnsi="宋体" w:cs="宋体"/>
                <w:i w:val="0"/>
                <w:iCs w:val="0"/>
                <w:color w:val="000000"/>
                <w:kern w:val="0"/>
                <w:sz w:val="18"/>
                <w:szCs w:val="18"/>
                <w:u w:val="none"/>
                <w:lang w:val="en-US" w:eastAsia="zh-CN" w:bidi="en-AU"/>
              </w:rPr>
              <w:t xml:space="preserve">据</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8</w:t>
            </w:r>
            <w:r>
              <w:rPr>
                <w:rFonts w:ascii="宋体" w:eastAsia="宋体" w:hAnsi="宋体" w:cs="宋体"/>
                <w:i w:val="0"/>
                <w:iCs w:val="0"/>
                <w:color w:val="000000"/>
                <w:kern w:val="0"/>
                <w:sz w:val="18"/>
                <w:szCs w:val="18"/>
                <w:u w:val="none"/>
                <w:lang w:val="en-US" w:eastAsia="zh-CN" w:bidi="en-AU"/>
              </w:rPr>
              <w:t xml:space="preserve">万条，及时消除风险隐患，坚决守牢防止规模性返贫的底线。不断拓宽脱贫群众增收致富渠道</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年全市脱贫人口人均纯收</w:t>
            </w:r>
            <w:r>
              <w:rPr>
                <w:rFonts w:ascii="宋体" w:eastAsia="宋体" w:hAnsi="宋体" w:cs="宋体"/>
                <w:i w:val="0"/>
                <w:iCs w:val="0"/>
                <w:color w:val="000000"/>
                <w:kern w:val="0"/>
                <w:sz w:val="18"/>
                <w:szCs w:val="18"/>
                <w:u w:val="none"/>
                <w:lang w:val="en-US" w:eastAsia="zh-CN" w:bidi="en-AU"/>
              </w:rPr>
              <w:t xml:space="preserve">入</w:t>
            </w:r>
            <w:r>
              <w:rPr>
                <w:rFonts w:ascii="宋体" w:eastAsia="宋体" w:hAnsi="宋体" w:cs="宋体"/>
                <w:i w:val="0"/>
                <w:iCs w:val="0"/>
                <w:color w:val="000000"/>
                <w:kern w:val="0"/>
                <w:sz w:val="18"/>
                <w:szCs w:val="18"/>
                <w:u w:val="none"/>
                <w:lang w:val="en-US" w:eastAsia="zh-CN" w:bidi="en-AU"/>
              </w:rPr>
              <w:t xml:space="preserve">1648</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元，</w:t>
            </w:r>
            <w:r>
              <w:rPr>
                <w:rFonts w:ascii="宋体" w:eastAsia="宋体" w:hAnsi="宋体" w:cs="宋体"/>
                <w:i w:val="0"/>
                <w:iCs w:val="0"/>
                <w:color w:val="000000"/>
                <w:kern w:val="0"/>
                <w:sz w:val="18"/>
                <w:szCs w:val="18"/>
                <w:u w:val="none"/>
                <w:lang w:val="en-US" w:eastAsia="zh-CN" w:bidi="en-AU"/>
              </w:rPr>
              <w:t xml:space="preserve">较</w:t>
            </w: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年增</w:t>
            </w:r>
            <w:r>
              <w:rPr>
                <w:rFonts w:ascii="宋体" w:eastAsia="宋体" w:hAnsi="宋体" w:cs="宋体"/>
                <w:i w:val="0"/>
                <w:iCs w:val="0"/>
                <w:color w:val="000000"/>
                <w:kern w:val="0"/>
                <w:sz w:val="18"/>
                <w:szCs w:val="18"/>
                <w:u w:val="none"/>
                <w:lang w:val="en-US" w:eastAsia="zh-CN" w:bidi="en-AU"/>
              </w:rPr>
              <w:t xml:space="preserve">长</w:t>
            </w:r>
            <w:r>
              <w:rPr>
                <w:rFonts w:ascii="宋体" w:eastAsia="宋体" w:hAnsi="宋体" w:cs="宋体"/>
                <w:i w:val="0"/>
                <w:iCs w:val="0"/>
                <w:color w:val="000000"/>
                <w:kern w:val="0"/>
                <w:sz w:val="18"/>
                <w:szCs w:val="18"/>
                <w:u w:val="none"/>
                <w:lang w:val="en-US" w:eastAsia="zh-CN" w:bidi="en-AU"/>
              </w:rPr>
              <w:t xml:space="preserve">14.7</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，完成年初设定目标。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巩固拓展脱贫攻坚成果衔接乡村振兴</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坚</w:t>
            </w:r>
            <w:r>
              <w:rPr>
                <w:rFonts w:ascii="宋体" w:eastAsia="宋体" w:hAnsi="宋体" w:cs="宋体"/>
                <w:i w:val="0"/>
                <w:iCs w:val="0"/>
                <w:color w:val="000000"/>
                <w:kern w:val="0"/>
                <w:sz w:val="18"/>
                <w:szCs w:val="18"/>
                <w:u w:val="none"/>
                <w:lang w:val="en-US" w:eastAsia="zh-CN" w:bidi="en-AU"/>
              </w:rPr>
              <w:t xml:space="preserve">持</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守底线、抓衔接、促振</w:t>
            </w:r>
            <w:r>
              <w:rPr>
                <w:rFonts w:ascii="宋体" w:eastAsia="宋体" w:hAnsi="宋体" w:cs="宋体"/>
                <w:i w:val="0"/>
                <w:iCs w:val="0"/>
                <w:color w:val="000000"/>
                <w:kern w:val="0"/>
                <w:sz w:val="18"/>
                <w:szCs w:val="18"/>
                <w:u w:val="none"/>
                <w:lang w:val="en-US" w:eastAsia="zh-CN" w:bidi="en-AU"/>
              </w:rPr>
              <w:t xml:space="preserve">兴</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总基调，健全落实防止返贫监测帮扶机制，抓好财政衔接资金项目建设，持续巩固拓展脱贫攻坚成果。</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持续优化动态摸排、数据比对、长效帮扶和防范因灾返贫等工作机制，全市监测对象户均享受帮扶措</w:t>
            </w:r>
            <w:r>
              <w:rPr>
                <w:rFonts w:ascii="宋体" w:eastAsia="宋体" w:hAnsi="宋体" w:cs="宋体"/>
                <w:i w:val="0"/>
                <w:iCs w:val="0"/>
                <w:color w:val="000000"/>
                <w:kern w:val="0"/>
                <w:sz w:val="18"/>
                <w:szCs w:val="18"/>
                <w:u w:val="none"/>
                <w:lang w:val="en-US" w:eastAsia="zh-CN" w:bidi="en-AU"/>
              </w:rPr>
              <w:t xml:space="preserve">施</w:t>
            </w:r>
            <w:r>
              <w:rPr>
                <w:rFonts w:ascii="宋体" w:eastAsia="宋体" w:hAnsi="宋体" w:cs="宋体"/>
                <w:i w:val="0"/>
                <w:iCs w:val="0"/>
                <w:color w:val="000000"/>
                <w:kern w:val="0"/>
                <w:sz w:val="18"/>
                <w:szCs w:val="18"/>
                <w:u w:val="none"/>
                <w:lang w:val="en-US" w:eastAsia="zh-CN" w:bidi="en-AU"/>
              </w:rPr>
              <w:t xml:space="preserve">4.7</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项，未发生返贫致贫现</w:t>
            </w:r>
            <w:r>
              <w:rPr>
                <w:rFonts w:ascii="宋体" w:eastAsia="宋体" w:hAnsi="宋体" w:cs="宋体"/>
                <w:i w:val="0"/>
                <w:iCs w:val="0"/>
                <w:color w:val="000000"/>
                <w:kern w:val="0"/>
                <w:sz w:val="18"/>
                <w:szCs w:val="18"/>
                <w:u w:val="none"/>
                <w:lang w:val="en-US" w:eastAsia="zh-CN" w:bidi="en-AU"/>
              </w:rPr>
              <w:t xml:space="preserve">象</w:t>
            </w: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三公经</w:t>
            </w:r>
            <w:r>
              <w:rPr>
                <w:rFonts w:ascii="宋体" w:eastAsia="宋体" w:hAnsi="宋体" w:cs="宋体"/>
                <w:i w:val="0"/>
                <w:iCs w:val="0"/>
                <w:color w:val="000000"/>
                <w:kern w:val="0"/>
                <w:sz w:val="18"/>
                <w:szCs w:val="18"/>
                <w:u w:val="none"/>
                <w:lang w:val="en-US" w:eastAsia="zh-CN" w:bidi="en-AU"/>
              </w:rPr>
              <w:t xml:space="preserve">费</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巩固拓展脱贫攻坚成果衔接乡村振兴完成率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年度巩固脱贫成果实现率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脱贫户生活得到保障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保障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bl>
    <w:p>
      <w:pPr>
        <w:pStyle w:val="Normal_5468fe8d-794a-4d69-81b8-cbfcb908f617"/>
        <w:sectPr>
          <w:pgSz w:w="16838" w:h="11906" w:orient="landscape"/>
          <w:pgMar w:top="1800" w:right="1440" w:bottom="1800" w:left="1440" w:header="851" w:footer="992" w:gutter="0"/>
          <w:docGrid w:type="lines" w:linePitch="312"/>
        </w:sectPr>
      </w:pP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219"/>
        <w:gridCol w:w="2786"/>
        <w:gridCol w:w="5727"/>
        <w:gridCol w:w="4561"/>
        <w:gridCol w:w="133"/>
        <w:gridCol w:w="2142"/>
        <w:gridCol w:w="1133"/>
        <w:gridCol w:w="1133"/>
        <w:gridCol w:w="1133"/>
        <w:gridCol w:w="1816"/>
        <w:gridCol w:w="4210"/>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提前下达财政衔接推进乡村振兴补助资金</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5300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5300</w:t>
            </w:r>
          </w:p>
        </w:tc>
        <w:tc>
          <w:tcPr>
            <w:tcW w:type="auto" w:w="0"/>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5300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5300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目</w:t>
            </w:r>
            <w:r>
              <w:rPr>
                <w:rFonts w:ascii="宋体" w:eastAsia="宋体" w:hAnsi="宋体" w:cs="宋体"/>
                <w:i w:val="0"/>
                <w:iCs w:val="0"/>
                <w:color w:val="000000"/>
                <w:kern w:val="0"/>
                <w:sz w:val="18"/>
                <w:szCs w:val="18"/>
                <w:u w:val="none"/>
                <w:lang w:val="en-US" w:eastAsia="zh-CN" w:bidi="en-AU"/>
              </w:rPr>
              <w:t xml:space="preserve">标</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：为全市支持巩固拓展脱贫攻坚成果和衔接推进乡村振兴提供资金保障。</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目</w:t>
            </w:r>
            <w:r>
              <w:rPr>
                <w:rFonts w:ascii="宋体" w:eastAsia="宋体" w:hAnsi="宋体" w:cs="宋体"/>
                <w:i w:val="0"/>
                <w:iCs w:val="0"/>
                <w:color w:val="000000"/>
                <w:kern w:val="0"/>
                <w:sz w:val="18"/>
                <w:szCs w:val="18"/>
                <w:u w:val="none"/>
                <w:lang w:val="en-US" w:eastAsia="zh-CN" w:bidi="en-AU"/>
              </w:rPr>
              <w:t xml:space="preserve">标</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：培育和壮大欠发达地区特色优势产业并逐年提高资金占比。</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目</w:t>
            </w:r>
            <w:r>
              <w:rPr>
                <w:rFonts w:ascii="宋体" w:eastAsia="宋体" w:hAnsi="宋体" w:cs="宋体"/>
                <w:i w:val="0"/>
                <w:iCs w:val="0"/>
                <w:color w:val="000000"/>
                <w:kern w:val="0"/>
                <w:sz w:val="18"/>
                <w:szCs w:val="18"/>
                <w:u w:val="none"/>
                <w:lang w:val="en-US" w:eastAsia="zh-CN" w:bidi="en-AU"/>
              </w:rPr>
              <w:t xml:space="preserve">标</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：补齐必要的农村人居环境整治和小型公益性基础设施建设短板等。</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实施了一批产业项目培育壮大了县域优势特色产业发展，并通过乡村建设项目补充了必要的农村人居环境整治和小型公益性基础设施建设短板。</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w:t>
            </w:r>
            <w:r>
              <w:rPr>
                <w:rFonts w:ascii="宋体" w:eastAsia="宋体" w:hAnsi="宋体" w:cs="宋体"/>
                <w:i w:val="0"/>
                <w:iCs w:val="0"/>
                <w:color w:val="000000"/>
                <w:kern w:val="0"/>
                <w:sz w:val="18"/>
                <w:szCs w:val="18"/>
                <w:u w:val="none"/>
                <w:lang w:val="en-US" w:eastAsia="zh-CN" w:bidi="en-AU"/>
              </w:rPr>
              <w:t xml:space="preserve">施</w:t>
            </w: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年财政衔接推进乡村振兴补助资金项目</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752</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530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资金足额安排及支付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保障资金使用安全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不出现违规违纪问题</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资金及时拨付到位</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规定时间内拨付到位</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补齐必要的农村人居环境整治和小型公益性基础设施建设短板</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持续改善</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财政衔接推进乡村振兴补助资金使用部门满意度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项目实施地群众满意度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bl>
    <w:p>
      <w:pPr>
        <w:pStyle w:val="Normal_5468fe8d-794a-4d69-81b8-cbfcb908f617"/>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425"/>
        <w:gridCol w:w="2781"/>
        <w:gridCol w:w="2141"/>
        <w:gridCol w:w="5165"/>
        <w:gridCol w:w="4107"/>
        <w:gridCol w:w="158"/>
        <w:gridCol w:w="2172"/>
        <w:gridCol w:w="1148"/>
        <w:gridCol w:w="1322"/>
        <w:gridCol w:w="1148"/>
        <w:gridCol w:w="1842"/>
        <w:gridCol w:w="4269"/>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年许昌市派驻村第一书记补助经费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271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271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193.58</w:t>
            </w:r>
          </w:p>
        </w:tc>
        <w:tc>
          <w:tcPr>
            <w:tcW w:type="auto" w:w="0"/>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71.43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7.14</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271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271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193.58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71.43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按照部门预算编制和资金管理办法的要求，按照核定审批人数、天数及补贴标准申报预算。</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严格按照国库集中支付制度有关规定支付资金，按照实际人数及天数拨付资金。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为认真落实省委市委关于《第一书记专项资金、工作经费、驻村补助等费用纳入财政预算，予以充分保障，为第一书记发挥作用提供助力》相关要求，确保第一书记工作派的出、驻的安，更好落</w:t>
            </w:r>
            <w:r>
              <w:rPr>
                <w:rFonts w:ascii="宋体" w:eastAsia="宋体" w:hAnsi="宋体" w:cs="宋体"/>
                <w:i w:val="0"/>
                <w:iCs w:val="0"/>
                <w:color w:val="000000"/>
                <w:kern w:val="0"/>
                <w:sz w:val="18"/>
                <w:szCs w:val="18"/>
                <w:u w:val="none"/>
                <w:lang w:val="en-US" w:eastAsia="zh-CN" w:bidi="en-AU"/>
              </w:rPr>
              <w:t xml:space="preserve">实</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五天四</w:t>
            </w:r>
            <w:r>
              <w:rPr>
                <w:rFonts w:ascii="宋体" w:eastAsia="宋体" w:hAnsi="宋体" w:cs="宋体"/>
                <w:i w:val="0"/>
                <w:iCs w:val="0"/>
                <w:color w:val="000000"/>
                <w:kern w:val="0"/>
                <w:sz w:val="18"/>
                <w:szCs w:val="18"/>
                <w:u w:val="none"/>
                <w:lang w:val="en-US" w:eastAsia="zh-CN" w:bidi="en-AU"/>
              </w:rPr>
              <w:t xml:space="preserve">夜</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工作制，确保第一书记生活上无后顾之忧，放心大胆工作，为巩固脱贫攻坚成果努力工作。</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认真落实省委市委关于《第一书记专项资金、工作经费、驻村补助等费用纳入财政预算，予以充分保障，为第一书记发挥作用提供助力》相关要求，</w:t>
            </w:r>
            <w:r>
              <w:rPr>
                <w:rFonts w:ascii="宋体" w:eastAsia="宋体" w:hAnsi="宋体" w:cs="宋体"/>
                <w:i w:val="0"/>
                <w:iCs w:val="0"/>
                <w:color w:val="000000"/>
                <w:kern w:val="0"/>
                <w:sz w:val="18"/>
                <w:szCs w:val="18"/>
                <w:u w:val="none"/>
                <w:lang w:val="en-US" w:eastAsia="zh-CN" w:bidi="en-AU"/>
              </w:rPr>
              <w:t xml:space="preserve">对</w:t>
            </w: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年度市派第一书记伙食补助及交通补助予以保障。</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市派驻村第一书记工作经费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27</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193.5</w:t>
            </w:r>
            <w:r>
              <w:rPr>
                <w:rFonts w:ascii="宋体" w:eastAsia="宋体" w:hAnsi="宋体" w:cs="宋体"/>
                <w:i w:val="0"/>
                <w:iCs w:val="0"/>
                <w:color w:val="000000"/>
                <w:kern w:val="0"/>
                <w:sz w:val="18"/>
                <w:szCs w:val="18"/>
                <w:u w:val="none"/>
                <w:lang w:val="en-US" w:eastAsia="zh-CN" w:bidi="en-AU"/>
              </w:rPr>
              <w:t xml:space="preserve">8</w:t>
            </w:r>
            <w:r>
              <w:rPr>
                <w:rFonts w:ascii="宋体" w:eastAsia="宋体" w:hAnsi="宋体" w:cs="宋体"/>
                <w:i w:val="0"/>
                <w:iCs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每人每天伙食补助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7</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7</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每人每天交通补助</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公里以下）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每人每天交通补助</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30-5</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公里）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每人每天交通补助</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公里以上）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市派第一书记补助人数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11</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11</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市派第一书记每人每年工作补助天数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资金使用合规率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资金发放到位率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资金发放及时率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按时发放</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保障第一书记工作有序开展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保持稳定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第一书记满意度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97.14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bl>
    <w:p>
      <w:pPr>
        <w:pStyle w:val="Normal_5468fe8d-794a-4d69-81b8-cbfcb908f617"/>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7"/>
        <w:gridCol w:w="2219"/>
        <w:gridCol w:w="2296"/>
        <w:gridCol w:w="4655"/>
        <w:gridCol w:w="2753"/>
        <w:gridCol w:w="147"/>
        <w:gridCol w:w="2404"/>
        <w:gridCol w:w="1271"/>
        <w:gridCol w:w="1463"/>
        <w:gridCol w:w="1271"/>
        <w:gridCol w:w="2038"/>
        <w:gridCol w:w="4725"/>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市脱贫攻坚调研指导工作下乡补助经费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bidi="en-AU"/>
              </w:rPr>
              <w:t xml:space="preserve">25.2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20.59</w:t>
            </w:r>
          </w:p>
        </w:tc>
        <w:tc>
          <w:tcPr>
            <w:tcW w:type="auto" w:w="0"/>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bidi="en-AU"/>
              </w:rPr>
              <w:t xml:space="preserve">81.71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bidi="en-AU"/>
              </w:rPr>
              <w:t xml:space="preserve">8.17</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bidi="en-AU"/>
              </w:rPr>
              <w:t xml:space="preserve">25.2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20.59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bidi="en-AU"/>
              </w:rPr>
              <w:t xml:space="preserve">81.71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按照部门预算编制和资金管理办法的要求，按照核定审批人数、天数及补贴标准申报预算。</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严格按照国库集中支付制度有关规定支付资金，按照实际人数及天数拨付资金。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5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做好全市巩固脱贫成效和联乡帮村调研工作，形成一系列高质量调研报告，为市领导决策提供参考；</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对全市巩固脱贫成效和联乡帮村工作开展情况进行调研，发现典型问题，帮助基层解决一批工作中遇到的实际问题和困难；</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对全市巩固脱贫成效和联乡帮村工作开展情况调研，总结推广一批各地可复制、可推广的特色经验做法。</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年度，根据《关于调整和加强巩固拓展脱贫攻坚成果调研指导组的通知》文件要求，参照《许昌市市直机关差旅费管理办法》，对巩固拓展脱贫攻坚成果调研指导组</w:t>
            </w:r>
            <w:r>
              <w:rPr>
                <w:rFonts w:ascii="宋体" w:eastAsia="宋体" w:hAnsi="宋体" w:cs="宋体"/>
                <w:i w:val="0"/>
                <w:iCs w:val="0"/>
                <w:color w:val="000000"/>
                <w:kern w:val="0"/>
                <w:sz w:val="18"/>
                <w:szCs w:val="18"/>
                <w:u w:val="none"/>
                <w:lang w:val="en-US" w:eastAsia="zh-CN" w:bidi="en-AU"/>
              </w:rPr>
              <w:t xml:space="preserve">共</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8</w:t>
            </w:r>
            <w:r>
              <w:rPr>
                <w:rFonts w:ascii="宋体" w:eastAsia="宋体" w:hAnsi="宋体" w:cs="宋体"/>
                <w:i w:val="0"/>
                <w:iCs w:val="0"/>
                <w:color w:val="000000"/>
                <w:kern w:val="0"/>
                <w:sz w:val="18"/>
                <w:szCs w:val="18"/>
                <w:u w:val="none"/>
                <w:lang w:val="en-US" w:eastAsia="zh-CN" w:bidi="en-AU"/>
              </w:rPr>
              <w:t xml:space="preserve">人在工作期间，产生的差旅费予以保障。</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市巩固拓展脱贫攻坚成果调研指导组成员补助经费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25.</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20.5</w:t>
            </w:r>
            <w:r>
              <w:rPr>
                <w:rFonts w:ascii="宋体" w:eastAsia="宋体" w:hAnsi="宋体" w:cs="宋体"/>
                <w:i w:val="0"/>
                <w:iCs w:val="0"/>
                <w:color w:val="000000"/>
                <w:kern w:val="0"/>
                <w:sz w:val="18"/>
                <w:szCs w:val="18"/>
                <w:u w:val="none"/>
                <w:lang w:val="en-US" w:eastAsia="zh-CN" w:bidi="en-AU"/>
              </w:rPr>
              <w:t xml:space="preserve">9</w:t>
            </w:r>
            <w:r>
              <w:rPr>
                <w:rFonts w:ascii="宋体" w:eastAsia="宋体" w:hAnsi="宋体" w:cs="宋体"/>
                <w:i w:val="0"/>
                <w:iCs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每人每天伙食补助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调研指导组补助人数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8</w:t>
            </w:r>
            <w:r>
              <w:rPr>
                <w:rFonts w:ascii="宋体" w:eastAsia="宋体" w:hAnsi="宋体" w:cs="宋体"/>
                <w:i w:val="0"/>
                <w:iCs w:val="0"/>
                <w:color w:val="000000"/>
                <w:kern w:val="0"/>
                <w:sz w:val="18"/>
                <w:szCs w:val="18"/>
                <w:u w:val="none"/>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8</w:t>
            </w:r>
            <w:r>
              <w:rPr>
                <w:rFonts w:ascii="宋体" w:eastAsia="宋体" w:hAnsi="宋体" w:cs="宋体"/>
                <w:i w:val="0"/>
                <w:iCs w:val="0"/>
                <w:color w:val="000000"/>
                <w:kern w:val="0"/>
                <w:sz w:val="18"/>
                <w:szCs w:val="18"/>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每人每年补助天数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18</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18</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资金发放到位率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资金使用合规率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资金发放及时率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保障调研指导组工作的有序开展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稳定有序</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调研指导组成员满意度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bidi="en-AU"/>
              </w:rPr>
              <w:t xml:space="preserve">98.17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bl>
    <w:p>
      <w:pPr>
        <w:pStyle w:val="Normal_5468fe8d-794a-4d69-81b8-cbfcb908f617"/>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219"/>
        <w:gridCol w:w="4746"/>
        <w:gridCol w:w="8008"/>
        <w:gridCol w:w="2291"/>
        <w:gridCol w:w="207"/>
        <w:gridCol w:w="4063"/>
        <w:gridCol w:w="2148"/>
        <w:gridCol w:w="2148"/>
        <w:gridCol w:w="2148"/>
        <w:gridCol w:w="1250"/>
        <w:gridCol w:w="2194"/>
        <w:gridCol w:w="258"/>
        <w:gridCol w:w="7725"/>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许昌市脱贫攻坚调研指导（联乡帮村服务）工作经费（结转本级资金）</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1.63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1.63</w:t>
            </w:r>
          </w:p>
        </w:tc>
        <w:tc>
          <w:tcPr>
            <w:tcW w:type="auto" w:w="0"/>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1.63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1.63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5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目</w:t>
            </w:r>
            <w:r>
              <w:rPr>
                <w:rFonts w:ascii="宋体" w:eastAsia="宋体" w:hAnsi="宋体" w:cs="宋体"/>
                <w:i w:val="0"/>
                <w:iCs w:val="0"/>
                <w:color w:val="000000"/>
                <w:kern w:val="0"/>
                <w:sz w:val="18"/>
                <w:szCs w:val="18"/>
                <w:u w:val="none"/>
                <w:lang w:val="en-US" w:eastAsia="zh-CN" w:bidi="en-AU"/>
              </w:rPr>
              <w:t xml:space="preserve">标</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：做好全市巩固脱贫成效和联乡帮村调研工作，形成一系列高质量调研报告，为市领导决策提供参考。</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目</w:t>
            </w:r>
            <w:r>
              <w:rPr>
                <w:rFonts w:ascii="宋体" w:eastAsia="宋体" w:hAnsi="宋体" w:cs="宋体"/>
                <w:i w:val="0"/>
                <w:iCs w:val="0"/>
                <w:color w:val="000000"/>
                <w:kern w:val="0"/>
                <w:sz w:val="18"/>
                <w:szCs w:val="18"/>
                <w:u w:val="none"/>
                <w:lang w:val="en-US" w:eastAsia="zh-CN" w:bidi="en-AU"/>
              </w:rPr>
              <w:t xml:space="preserve">标</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：对全市巩固脱贫成效和联乡帮村工作开展情况进行调研，发现典型问题，帮助基层解决一批工作中遇到的实际问题和困难。</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目</w:t>
            </w:r>
            <w:r>
              <w:rPr>
                <w:rFonts w:ascii="宋体" w:eastAsia="宋体" w:hAnsi="宋体" w:cs="宋体"/>
                <w:i w:val="0"/>
                <w:iCs w:val="0"/>
                <w:color w:val="000000"/>
                <w:kern w:val="0"/>
                <w:sz w:val="18"/>
                <w:szCs w:val="18"/>
                <w:u w:val="none"/>
                <w:lang w:val="en-US" w:eastAsia="zh-CN" w:bidi="en-AU"/>
              </w:rPr>
              <w:t xml:space="preserve">标</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：对全市巩固脱贫成效和联乡帮村工作开展情况进行调研，总结推广一批各地可复制、可推广的特色经验做法。</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202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年，市巩固拓展脱贫攻坚调研指导组围绕防返贫监测帮扶、就业产业、群众增收、综合保障、政策落实、项目管理等方面，</w:t>
            </w:r>
            <w:r>
              <w:rPr>
                <w:rFonts w:ascii="宋体" w:eastAsia="宋体" w:hAnsi="宋体" w:cs="宋体"/>
                <w:i w:val="0"/>
                <w:iCs w:val="0"/>
                <w:color w:val="000000"/>
                <w:kern w:val="0"/>
                <w:sz w:val="18"/>
                <w:szCs w:val="18"/>
                <w:u w:val="none"/>
                <w:lang w:val="en-US" w:eastAsia="zh-CN" w:bidi="en-AU"/>
              </w:rPr>
              <w:t xml:space="preserve">对</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个县市区开展专项调研活</w:t>
            </w:r>
            <w:r>
              <w:rPr>
                <w:rFonts w:ascii="宋体" w:eastAsia="宋体" w:hAnsi="宋体" w:cs="宋体"/>
                <w:i w:val="0"/>
                <w:iCs w:val="0"/>
                <w:color w:val="000000"/>
                <w:kern w:val="0"/>
                <w:sz w:val="18"/>
                <w:szCs w:val="18"/>
                <w:u w:val="none"/>
                <w:lang w:val="en-US" w:eastAsia="zh-CN" w:bidi="en-AU"/>
              </w:rPr>
              <w:t xml:space="preserve">动</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7</w:t>
            </w:r>
            <w:r>
              <w:rPr>
                <w:rFonts w:ascii="宋体" w:eastAsia="宋体" w:hAnsi="宋体" w:cs="宋体"/>
                <w:i w:val="0"/>
                <w:iCs w:val="0"/>
                <w:color w:val="000000"/>
                <w:kern w:val="0"/>
                <w:sz w:val="18"/>
                <w:szCs w:val="18"/>
                <w:u w:val="none"/>
                <w:lang w:val="en-US" w:eastAsia="zh-CN" w:bidi="en-AU"/>
              </w:rPr>
              <w:t xml:space="preserve">次，形成调研问题清单、报告、通报</w:t>
            </w:r>
            <w:r>
              <w:rPr>
                <w:rFonts w:ascii="宋体" w:eastAsia="宋体" w:hAnsi="宋体" w:cs="宋体"/>
                <w:i w:val="0"/>
                <w:iCs w:val="0"/>
                <w:color w:val="000000"/>
                <w:kern w:val="0"/>
                <w:sz w:val="18"/>
                <w:szCs w:val="18"/>
                <w:u w:val="none"/>
                <w:lang w:val="en-US" w:eastAsia="zh-CN" w:bidi="en-AU"/>
              </w:rPr>
              <w:t xml:space="preserve">等</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份，为市领导决策提供参考，帮助基层解决一批脱贫攻坚中遇到的实际问题和困难，并总结推广一批各地可复制、可推广的特色经验做法，督促乡村理清思路、制定规划、发展产业、完善基础设施和公共服务设施等，落实各项帮扶政策，坚决守住了不发生规模性返贫的底线。</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工作经费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1.6</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1.6</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脱贫攻坚专项调研报告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份</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开展脱贫攻坚专项调研活动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7</w:t>
            </w:r>
            <w:r>
              <w:rPr>
                <w:rFonts w:ascii="宋体" w:eastAsia="宋体" w:hAnsi="宋体" w:cs="宋体"/>
                <w:i w:val="0"/>
                <w:iCs w:val="0"/>
                <w:color w:val="000000"/>
                <w:kern w:val="0"/>
                <w:sz w:val="18"/>
                <w:szCs w:val="18"/>
                <w:u w:val="none"/>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形成一系列高质量脱贫攻坚专项调研报告，为市领导决策提供参考，为持续巩固脱贫攻坚成效提供有力支持</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份</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年</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保障调研指导组工作正常开展，发挥部门职能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保持稳定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各县（市、区）乡村振兴和联乡帮村部门对专项调研指导效果满意度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bl>
    <w:p>
      <w:pPr>
        <w:pStyle w:val="Normal_5468fe8d-794a-4d69-81b8-cbfcb908f617"/>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282"/>
        <w:gridCol w:w="2502"/>
        <w:gridCol w:w="2589"/>
        <w:gridCol w:w="6512"/>
        <w:gridCol w:w="5073"/>
        <w:gridCol w:w="122"/>
        <w:gridCol w:w="1611"/>
        <w:gridCol w:w="852"/>
        <w:gridCol w:w="852"/>
        <w:gridCol w:w="852"/>
        <w:gridCol w:w="1366"/>
        <w:gridCol w:w="3165"/>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结对帮扶淅川县乡村建设项目</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1150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1150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1150</w:t>
            </w:r>
          </w:p>
        </w:tc>
        <w:tc>
          <w:tcPr>
            <w:tcW w:type="auto" w:w="0"/>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1150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1150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1150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帮助完善乡村水、电、路、气、通信、广播电视、物流等基础设施，推进农村改厕、生活垃圾处理和污水治理，持续提升村容村貌，改善农村人居环境，提高农民科技文化素质。项目早日完工投用，改善群众生产生活条件。</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经两地各有关部门通力合作，项目已顺利完工投用，实现</w:t>
            </w:r>
            <w:r>
              <w:rPr>
                <w:rFonts w:ascii="宋体" w:eastAsia="宋体" w:hAnsi="宋体" w:cs="宋体"/>
                <w:i w:val="0"/>
                <w:iCs w:val="0"/>
                <w:color w:val="000000"/>
                <w:kern w:val="0"/>
                <w:sz w:val="18"/>
                <w:szCs w:val="18"/>
                <w:u w:val="none"/>
                <w:lang w:val="en-US" w:eastAsia="zh-CN" w:bidi="en-AU"/>
              </w:rPr>
              <w:t xml:space="preserve">了</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4</w:t>
            </w:r>
            <w:r>
              <w:rPr>
                <w:rFonts w:ascii="宋体" w:eastAsia="宋体" w:hAnsi="宋体" w:cs="宋体"/>
                <w:i w:val="0"/>
                <w:iCs w:val="0"/>
                <w:color w:val="000000"/>
                <w:kern w:val="0"/>
                <w:sz w:val="18"/>
                <w:szCs w:val="18"/>
                <w:u w:val="none"/>
                <w:lang w:val="en-US" w:eastAsia="zh-CN" w:bidi="en-AU"/>
              </w:rPr>
              <w:t xml:space="preserve">个村卫生室产权公有化，为山区群众就医提供了硬件设施保障，进一步完善了村级医疗卫生公共服务条件。</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乡村项目建设成本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115</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115</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乡村建设项目个数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个</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竣工验收是否通过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项目实施完成时限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月底前</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对乡村基础设施、公共服务条件的改善或提升程度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脱贫群众满意度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bl>
    <w:p>
      <w:pPr>
        <w:pStyle w:val="Normal_5468fe8d-794a-4d69-81b8-cbfcb908f617"/>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219"/>
        <w:gridCol w:w="2100"/>
        <w:gridCol w:w="6120"/>
        <w:gridCol w:w="3958"/>
        <w:gridCol w:w="294"/>
        <w:gridCol w:w="3346"/>
        <w:gridCol w:w="1769"/>
        <w:gridCol w:w="1769"/>
        <w:gridCol w:w="1769"/>
        <w:gridCol w:w="2837"/>
        <w:gridCol w:w="3047"/>
        <w:gridCol w:w="2452"/>
        <w:gridCol w:w="1077"/>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巩固拓展脱贫攻坚成果专项工作经费（结转本级资金）</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9.08</w:t>
            </w:r>
          </w:p>
        </w:tc>
        <w:tc>
          <w:tcPr>
            <w:tcW w:type="auto" w:w="0"/>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在市委市政府的正确领导下，坚持精准方略，围绕巩固拓展脱贫攻坚成果任务，保障市乡村振兴局系统的正常运转。</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度，市乡村振兴局围绕防返贫动态监测、政策落实、人居环境整治、户厕改造、产业发展、基层党建等六个方面重点任务，开展了一系列业务活动，按照资金管理要求，合理分配和利用经费，保障了单位日常工作的正常运转。</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9.0</w:t>
            </w:r>
            <w:r>
              <w:rPr>
                <w:rFonts w:ascii="宋体" w:eastAsia="宋体" w:hAnsi="宋体" w:cs="宋体"/>
                <w:i w:val="0"/>
                <w:iCs w:val="0"/>
                <w:color w:val="000000"/>
                <w:kern w:val="0"/>
                <w:sz w:val="18"/>
                <w:szCs w:val="18"/>
                <w:u w:val="none"/>
                <w:lang w:val="en-US" w:eastAsia="zh-CN" w:bidi="en-AU"/>
              </w:rPr>
              <w:t xml:space="preserve">8</w:t>
            </w:r>
            <w:r>
              <w:rPr>
                <w:rFonts w:ascii="宋体" w:eastAsia="宋体" w:hAnsi="宋体" w:cs="宋体"/>
                <w:i w:val="0"/>
                <w:iCs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w:t>
            </w:r>
            <w:r>
              <w:rPr>
                <w:rFonts w:ascii="宋体" w:eastAsia="宋体" w:hAnsi="宋体" w:cs="宋体"/>
                <w:i w:val="0"/>
                <w:iCs w:val="0"/>
                <w:color w:val="000000"/>
                <w:kern w:val="0"/>
                <w:sz w:val="18"/>
                <w:szCs w:val="18"/>
                <w:u w:val="none"/>
                <w:lang w:val="en-US" w:eastAsia="zh-CN" w:bidi="en-AU"/>
              </w:rPr>
              <w:t xml:space="preserve">8</w:t>
            </w:r>
            <w:r>
              <w:rPr>
                <w:rFonts w:ascii="宋体" w:eastAsia="宋体" w:hAnsi="宋体" w:cs="宋体"/>
                <w:i w:val="0"/>
                <w:iCs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每期培训班培训人次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6</w:t>
            </w:r>
            <w:r>
              <w:rPr>
                <w:rFonts w:ascii="宋体" w:eastAsia="宋体" w:hAnsi="宋体" w:cs="宋体"/>
                <w:i w:val="0"/>
                <w:iCs w:val="0"/>
                <w:color w:val="000000"/>
                <w:kern w:val="0"/>
                <w:sz w:val="18"/>
                <w:szCs w:val="18"/>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每期培训班培训天数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开展培训班班次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办公用品采购合格率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印刷质量达标率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对培训人员综合素质的改善或提升程度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差旅费补助报销时效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办公用品送达时间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印刷品交付时效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保障单位工作正常开展，发挥部门职能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保障</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发挥部门职能，保障乡村振兴局系统正常运转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保障</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bl>
    <w:p>
      <w:pPr>
        <w:pStyle w:val="Normal_5468fe8d-794a-4d69-81b8-cbfcb908f617"/>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219"/>
        <w:gridCol w:w="2002"/>
        <w:gridCol w:w="5897"/>
        <w:gridCol w:w="4000"/>
        <w:gridCol w:w="362"/>
        <w:gridCol w:w="3975"/>
        <w:gridCol w:w="2101"/>
        <w:gridCol w:w="2418"/>
        <w:gridCol w:w="2101"/>
        <w:gridCol w:w="3370"/>
        <w:gridCol w:w="783"/>
        <w:gridCol w:w="2452"/>
        <w:gridCol w:w="457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市巩固拓展脱贫攻坚成果调研指导（联乡帮村服务）工作经费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7.2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7.2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3.97</w:t>
            </w:r>
          </w:p>
        </w:tc>
        <w:tc>
          <w:tcPr>
            <w:tcW w:type="auto" w:w="0"/>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55.14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5.51</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7.2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7.2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3.97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55.14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严格按照国库集中支付制度有关规定支付资金，未出现违规将资金从国库转入财政专户或支付到预算单位实有资金账户等问</w:t>
            </w:r>
            <w:r>
              <w:rPr>
                <w:rFonts w:ascii="宋体" w:eastAsia="宋体" w:hAnsi="宋体" w:cs="宋体"/>
                <w:i w:val="0"/>
                <w:iCs w:val="0"/>
                <w:color w:val="000000"/>
                <w:kern w:val="0"/>
                <w:sz w:val="18"/>
                <w:szCs w:val="18"/>
                <w:u w:val="none"/>
                <w:lang w:val="en-US" w:eastAsia="zh-CN" w:bidi="en-AU"/>
              </w:rPr>
              <w:t xml:space="preserve">题</w:t>
            </w: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5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目</w:t>
            </w:r>
            <w:r>
              <w:rPr>
                <w:rFonts w:ascii="宋体" w:eastAsia="宋体" w:hAnsi="宋体" w:cs="宋体"/>
                <w:i w:val="0"/>
                <w:iCs w:val="0"/>
                <w:color w:val="000000"/>
                <w:kern w:val="0"/>
                <w:sz w:val="18"/>
                <w:szCs w:val="18"/>
                <w:u w:val="none"/>
                <w:lang w:val="en-US" w:eastAsia="zh-CN" w:bidi="en-AU"/>
              </w:rPr>
              <w:t xml:space="preserve">标</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：做好全市巩固脱贫成效和联乡帮村调研工作，形成一系列高质量调研报告，为市领导决策提供参考。</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目</w:t>
            </w:r>
            <w:r>
              <w:rPr>
                <w:rFonts w:ascii="宋体" w:eastAsia="宋体" w:hAnsi="宋体" w:cs="宋体"/>
                <w:i w:val="0"/>
                <w:iCs w:val="0"/>
                <w:color w:val="000000"/>
                <w:kern w:val="0"/>
                <w:sz w:val="18"/>
                <w:szCs w:val="18"/>
                <w:u w:val="none"/>
                <w:lang w:val="en-US" w:eastAsia="zh-CN" w:bidi="en-AU"/>
              </w:rPr>
              <w:t xml:space="preserve">标</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：对全市巩固脱贫成效和联乡帮村工作开展情况进行调研，发现典型问题，帮助基层解决一批工作中遇到的实际问题和困难。</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目</w:t>
            </w:r>
            <w:r>
              <w:rPr>
                <w:rFonts w:ascii="宋体" w:eastAsia="宋体" w:hAnsi="宋体" w:cs="宋体"/>
                <w:i w:val="0"/>
                <w:iCs w:val="0"/>
                <w:color w:val="000000"/>
                <w:kern w:val="0"/>
                <w:sz w:val="18"/>
                <w:szCs w:val="18"/>
                <w:u w:val="none"/>
                <w:lang w:val="en-US" w:eastAsia="zh-CN" w:bidi="en-AU"/>
              </w:rPr>
              <w:t xml:space="preserve">标</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：对全市巩固脱贫成效和联乡帮村工作开展情况进行调研，总结推广一批各地可复制、可推广的特色经验做法。</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年，市巩固拓展脱贫攻坚调研指导组围绕防返贫监测帮扶、就业产业、群众增收、综合保障、政策落实、项目管理等方面，</w:t>
            </w:r>
            <w:r>
              <w:rPr>
                <w:rFonts w:ascii="宋体" w:eastAsia="宋体" w:hAnsi="宋体" w:cs="宋体"/>
                <w:i w:val="0"/>
                <w:iCs w:val="0"/>
                <w:color w:val="000000"/>
                <w:kern w:val="0"/>
                <w:sz w:val="18"/>
                <w:szCs w:val="18"/>
                <w:u w:val="none"/>
                <w:lang w:val="en-US" w:eastAsia="zh-CN" w:bidi="en-AU"/>
              </w:rPr>
              <w:t xml:space="preserve">对</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个县市区开展专项调研活</w:t>
            </w:r>
            <w:r>
              <w:rPr>
                <w:rFonts w:ascii="宋体" w:eastAsia="宋体" w:hAnsi="宋体" w:cs="宋体"/>
                <w:i w:val="0"/>
                <w:iCs w:val="0"/>
                <w:color w:val="000000"/>
                <w:kern w:val="0"/>
                <w:sz w:val="18"/>
                <w:szCs w:val="18"/>
                <w:u w:val="none"/>
                <w:lang w:val="en-US" w:eastAsia="zh-CN" w:bidi="en-AU"/>
              </w:rPr>
              <w:t xml:space="preserve">动</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7</w:t>
            </w:r>
            <w:r>
              <w:rPr>
                <w:rFonts w:ascii="宋体" w:eastAsia="宋体" w:hAnsi="宋体" w:cs="宋体"/>
                <w:i w:val="0"/>
                <w:iCs w:val="0"/>
                <w:color w:val="000000"/>
                <w:kern w:val="0"/>
                <w:sz w:val="18"/>
                <w:szCs w:val="18"/>
                <w:u w:val="none"/>
                <w:lang w:val="en-US" w:eastAsia="zh-CN" w:bidi="en-AU"/>
              </w:rPr>
              <w:t xml:space="preserve">次，形成调研问题清单、报告、通报</w:t>
            </w:r>
            <w:r>
              <w:rPr>
                <w:rFonts w:ascii="宋体" w:eastAsia="宋体" w:hAnsi="宋体" w:cs="宋体"/>
                <w:i w:val="0"/>
                <w:iCs w:val="0"/>
                <w:color w:val="000000"/>
                <w:kern w:val="0"/>
                <w:sz w:val="18"/>
                <w:szCs w:val="18"/>
                <w:u w:val="none"/>
                <w:lang w:val="en-US" w:eastAsia="zh-CN" w:bidi="en-AU"/>
              </w:rPr>
              <w:t xml:space="preserve">等</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份，为市领导决策提供参考，帮助基层解决一批脱贫攻坚中遇到的实际问题和困难，并总结推广一批各地可复制、可推广的特色经验做法，督促乡村理清思路、制定规划、发展产业、完善基础设施和公共服务设施等，落实各项帮扶政策，坚决守住了不发生规模性返贫的底线。</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市脱贫攻坚调研指导组工作经费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7.</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3.9</w:t>
            </w:r>
            <w:r>
              <w:rPr>
                <w:rFonts w:ascii="宋体" w:eastAsia="宋体" w:hAnsi="宋体" w:cs="宋体"/>
                <w:i w:val="0"/>
                <w:iCs w:val="0"/>
                <w:color w:val="000000"/>
                <w:kern w:val="0"/>
                <w:sz w:val="18"/>
                <w:szCs w:val="18"/>
                <w:u w:val="none"/>
                <w:lang w:val="en-US" w:eastAsia="zh-CN" w:bidi="en-AU"/>
              </w:rPr>
              <w:t xml:space="preserve">7</w:t>
            </w:r>
            <w:r>
              <w:rPr>
                <w:rFonts w:ascii="宋体" w:eastAsia="宋体" w:hAnsi="宋体" w:cs="宋体"/>
                <w:i w:val="0"/>
                <w:iCs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开展专项调研活动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7</w:t>
            </w:r>
            <w:r>
              <w:rPr>
                <w:rFonts w:ascii="宋体" w:eastAsia="宋体" w:hAnsi="宋体" w:cs="宋体"/>
                <w:i w:val="0"/>
                <w:iCs w:val="0"/>
                <w:color w:val="000000"/>
                <w:kern w:val="0"/>
                <w:sz w:val="18"/>
                <w:szCs w:val="18"/>
                <w:u w:val="none"/>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形成一系列高质量脱贫攻坚专项调研报告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份</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年</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保障调研指导组工作正常有序开展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有效保障</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各县（市、区）对专项调研指导效果满意度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95.51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bl>
    <w:p>
      <w:pPr>
        <w:pStyle w:val="Normal_5468fe8d-794a-4d69-81b8-cbfcb908f617"/>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219"/>
        <w:gridCol w:w="1708"/>
        <w:gridCol w:w="5706"/>
        <w:gridCol w:w="4537"/>
        <w:gridCol w:w="114"/>
        <w:gridCol w:w="1128"/>
        <w:gridCol w:w="596"/>
        <w:gridCol w:w="686"/>
        <w:gridCol w:w="596"/>
        <w:gridCol w:w="686"/>
        <w:gridCol w:w="2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市驻淅川县工作队工作经费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3.51</w:t>
            </w:r>
          </w:p>
        </w:tc>
        <w:tc>
          <w:tcPr>
            <w:tcW w:type="auto" w:w="0"/>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60.52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6.05</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3.51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60.52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确保帮扶工作队正常运转，完成年度帮扶淅川县任务。</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经过各项工作稳步推进，圆满完成年度帮扶淅川县工作任务。</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结对帮扶工作队工作经费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8</w:t>
            </w:r>
            <w:r>
              <w:rPr>
                <w:rFonts w:ascii="宋体" w:eastAsia="宋体" w:hAnsi="宋体" w:cs="宋体"/>
                <w:i w:val="0"/>
                <w:iCs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3.5</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开展调研次数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开展帮扶活动次数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基础设施建设数量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个</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帮扶发展企业数量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个</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帮扶调研报告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开展活动完成及时性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当地经济收入增长情况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增长</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巩固脱贫攻坚成果与乡村振兴相衔接</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有效巩固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工作队成员满意度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帮扶对象满意度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96.05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bl>
    <w:p>
      <w:pPr>
        <w:pStyle w:val="Normal_5468fe8d-794a-4d69-81b8-cbfcb908f617"/>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219"/>
        <w:gridCol w:w="1708"/>
        <w:gridCol w:w="5706"/>
        <w:gridCol w:w="4537"/>
        <w:gridCol w:w="114"/>
        <w:gridCol w:w="1128"/>
        <w:gridCol w:w="596"/>
        <w:gridCol w:w="596"/>
        <w:gridCol w:w="596"/>
        <w:gridCol w:w="596"/>
        <w:gridCol w:w="2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许昌市驻淅川县工作队工作经费（结转本级资金）</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许昌市乡村振兴局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2.49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2.49</w:t>
            </w:r>
          </w:p>
        </w:tc>
        <w:tc>
          <w:tcPr>
            <w:tcW w:type="auto" w:w="0"/>
            <w:tcBorders>
              <w:top w:val="nil"/>
              <w:left w:val="nil"/>
              <w:bottom w:val="nil"/>
              <w:right w:val="nil"/>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2.49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2.49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确保帮扶工作队正常运转，完成年度帮扶淅川县任务。</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确保帮扶工作队正常运转，完成年度帮扶淅川县任务。</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结对帮扶工作队工作经费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2.4</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2.4</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开展调研次数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r>
              <w:rPr>
                <w:rFonts w:ascii="宋体" w:eastAsia="宋体" w:hAnsi="宋体" w:cs="宋体"/>
                <w:i w:val="0"/>
                <w:iCs w:val="0"/>
                <w:color w:val="000000"/>
                <w:kern w:val="0"/>
                <w:sz w:val="18"/>
                <w:szCs w:val="18"/>
                <w:u w:val="none"/>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开展帮扶活动次数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基础设施建设数量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个</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r>
              <w:rPr>
                <w:rFonts w:ascii="宋体" w:eastAsia="宋体" w:hAnsi="宋体" w:cs="宋体"/>
                <w:i w:val="0"/>
                <w:iCs w:val="0"/>
                <w:color w:val="000000"/>
                <w:kern w:val="0"/>
                <w:sz w:val="18"/>
                <w:szCs w:val="18"/>
                <w:u w:val="none"/>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帮扶发展企业数量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个</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帮扶调研报告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开展活动完成及时性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当地经济收入增长情况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增长</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巩固脱贫攻坚成果与乡村振兴相衔接</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有效巩固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工作队成员满意度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帮扶对象满意度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468fe8d-794a-4d69-81b8-cbfcb908f617"/>
              <w:jc w:val="center"/>
              <w:rPr>
                <w:rFonts w:ascii="宋体" w:eastAsia="宋体" w:hAnsi="宋体" w:cs="宋体" w:hint="eastAsia"/>
                <w:i w:val="0"/>
                <w:iCs w:val="0"/>
                <w:color w:val="000000"/>
                <w:sz w:val="18"/>
                <w:szCs w:val="18"/>
                <w:u w:val="none"/>
              </w:rPr>
            </w:pPr>
          </w:p>
        </w:tc>
      </w:tr>
    </w:tbl>
    <w:p>
      <w:pPr>
        <w:pStyle w:val="Normal_5468fe8d-794a-4d69-81b8-cbfcb908f617"/>
        <w:sectPr>
          <w:headerReference w:type="default" r:id="rId6"/>
          <w:pgSz w:w="16838" w:h="11906" w:orient="landscape"/>
          <w:pgMar w:top="1800" w:right="1440" w:bottom="1800" w:left="144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2"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896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0"/>
      <w:tabs>
        <w:tab w:val="center" w:pos="4153"/>
        <w:tab w:val="right" w:pos="8306"/>
      </w:tabs>
    </w:pPr>
  </w:p>
  <w:p>
    <w:pPr>
      <w:pStyle w:val="Header0"/>
      <w:tabs>
        <w:tab w:val="center" w:pos="4153"/>
        <w:tab w:val="right" w:pos="8306"/>
      </w:tabs>
    </w:pPr>
  </w:p>
  <w:p>
    <w:pPr>
      <w:pStyle w:val="Header0"/>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5468fe8d-794a-4d69-81b8-cbfcb908f617">
    <w:name w:val="Normal_5468fe8d-794a-4d69-81b8-cbfcb908f617"/>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rPr/>
    <w:tblPr>
      <w:tblCellMar>
        <w:top w:w="0" w:type="dxa"/>
        <w:left w:w="108" w:type="dxa"/>
        <w:bottom w:w="0" w:type="dxa"/>
        <w:right w:w="108" w:type="dxa"/>
      </w:tblCellMar>
    </w:tblPr>
  </w:style>
  <w:style w:type="paragraph" w:styleId="Header0">
    <w:name w:val="页眉"/>
    <w:basedOn w:val="Normal_5468fe8d-794a-4d69-81b8-cbfcb908f617"/>
    <w:next w:val="Header"/>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