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许昌市乡村振兴局部门决算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许昌市乡村振兴局概况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许昌市乡村振兴局概况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 组织拟订全市扶贫开发工作规划、年度计划并会同有关部门监督检查执行情况。</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 贯彻执行贫困退出机制，负责全市贫困人口建档立卡、精准扶贫工作。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 统筹协调行业扶贫工作，动员组织推动社会扶贫工作，联系协调党政机关、企事业单位、社会团体定点扶贫工作。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 参与制定全市财政专项扶贫资金分配方案，检查扶贫开发资金的使用，指导全市扶贫开发内部审计工作，会同有关部门负责贫困村扶贫开发目标任务完成情况监督、考核、评估，指导项目库建设。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 指导全市产业扶贫工作，会同有关部门拟订扶贫开发产业相关规范性文件，协同推进金融扶贫工作。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 协调指导全市革命老区扶贫开发工作。 </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 负责组织指导农村贫困劳动力技能培训、扶贫干部教育培训工作，负责扶贫开发宣传工作。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 负责组织全市脱贫攻坚督查巡查工作。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 负责全市扶贫系统信息化建设和统计工作。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 参与开展有关扶贫的对外交流与合作。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 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许昌市乡村振兴局内设机构5个,包括：综合科、规划评价科、行业和社会扶贫科、督查考核科、产业开发科。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从决算单位构成看，许昌市乡村振兴局部门决算包括：本级决算（1个）、所属单位决算（1个）。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1.许昌市乡村振兴局（本级）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2.许昌市乡村振兴监测中心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部门：许昌市乡村振兴局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1,719.81</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25.81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28.57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24.57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1,625.90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28.16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1,719.81</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1,733.01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13.20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1,733.01</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1,733.01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部门：许昌市乡村振兴局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1,719.81</w:t>
            </w:r>
          </w:p>
        </w:tc>
        <w:tc>
          <w:tcPr>
            <w:tcW w:w="1440" w:type="dxa"/>
            <w:vAlign w:val="center"/>
          </w:tcPr>
          <w:p>
            <w:pPr>
              <w:jc w:val="right"/>
            </w:pPr>
            <w:r>
              <w:rPr>
                <w:rFonts w:ascii="宋体" w:hAnsi="宋体" w:eastAsia="宋体" w:cs="宋体"/>
                <w:b/>
                <w:i w:val="0"/>
                <w:color w:val="000000"/>
                <w:sz w:val="17"/>
              </w:rPr>
              <w:t>1,719.81</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25.81</w:t>
            </w:r>
          </w:p>
        </w:tc>
        <w:tc>
          <w:tcPr>
            <w:tcW w:w="1440" w:type="dxa"/>
            <w:vAlign w:val="center"/>
          </w:tcPr>
          <w:p>
            <w:pPr>
              <w:jc w:val="right"/>
            </w:pPr>
            <w:r>
              <w:rPr>
                <w:rFonts w:ascii="宋体" w:hAnsi="宋体" w:eastAsia="宋体" w:cs="宋体"/>
                <w:b w:val="0"/>
                <w:i w:val="0"/>
                <w:color w:val="000000"/>
                <w:sz w:val="17"/>
              </w:rPr>
              <w:t>25.81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2.42</w:t>
            </w:r>
          </w:p>
        </w:tc>
        <w:tc>
          <w:tcPr>
            <w:tcW w:w="1440" w:type="dxa"/>
            <w:vAlign w:val="center"/>
          </w:tcPr>
          <w:p>
            <w:pPr>
              <w:jc w:val="right"/>
            </w:pPr>
            <w:r>
              <w:rPr>
                <w:rFonts w:ascii="宋体" w:hAnsi="宋体" w:eastAsia="宋体" w:cs="宋体"/>
                <w:b w:val="0"/>
                <w:i w:val="0"/>
                <w:color w:val="000000"/>
                <w:sz w:val="17"/>
              </w:rPr>
              <w:t>2.42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2.42</w:t>
            </w:r>
          </w:p>
        </w:tc>
        <w:tc>
          <w:tcPr>
            <w:tcW w:w="1440" w:type="dxa"/>
            <w:vAlign w:val="center"/>
          </w:tcPr>
          <w:p>
            <w:pPr>
              <w:jc w:val="right"/>
            </w:pPr>
            <w:r>
              <w:rPr>
                <w:rFonts w:ascii="宋体" w:hAnsi="宋体" w:eastAsia="宋体" w:cs="宋体"/>
                <w:b w:val="0"/>
                <w:i w:val="0"/>
                <w:color w:val="000000"/>
                <w:sz w:val="17"/>
              </w:rPr>
              <w:t>2.42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23.39</w:t>
            </w:r>
          </w:p>
        </w:tc>
        <w:tc>
          <w:tcPr>
            <w:tcW w:w="1440" w:type="dxa"/>
            <w:vAlign w:val="center"/>
          </w:tcPr>
          <w:p>
            <w:pPr>
              <w:jc w:val="right"/>
            </w:pPr>
            <w:r>
              <w:rPr>
                <w:rFonts w:ascii="宋体" w:hAnsi="宋体" w:eastAsia="宋体" w:cs="宋体"/>
                <w:b w:val="0"/>
                <w:i w:val="0"/>
                <w:color w:val="000000"/>
                <w:sz w:val="17"/>
              </w:rPr>
              <w:t>23.39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23.39</w:t>
            </w:r>
          </w:p>
        </w:tc>
        <w:tc>
          <w:tcPr>
            <w:tcW w:w="1440" w:type="dxa"/>
            <w:vAlign w:val="center"/>
          </w:tcPr>
          <w:p>
            <w:pPr>
              <w:jc w:val="right"/>
            </w:pPr>
            <w:r>
              <w:rPr>
                <w:rFonts w:ascii="宋体" w:hAnsi="宋体" w:eastAsia="宋体" w:cs="宋体"/>
                <w:b w:val="0"/>
                <w:i w:val="0"/>
                <w:color w:val="000000"/>
                <w:sz w:val="17"/>
              </w:rPr>
              <w:t>23.39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28.57</w:t>
            </w:r>
          </w:p>
        </w:tc>
        <w:tc>
          <w:tcPr>
            <w:tcW w:w="1440" w:type="dxa"/>
            <w:vAlign w:val="center"/>
          </w:tcPr>
          <w:p>
            <w:pPr>
              <w:jc w:val="right"/>
            </w:pPr>
            <w:r>
              <w:rPr>
                <w:rFonts w:ascii="宋体" w:hAnsi="宋体" w:eastAsia="宋体" w:cs="宋体"/>
                <w:b w:val="0"/>
                <w:i w:val="0"/>
                <w:color w:val="000000"/>
                <w:sz w:val="17"/>
              </w:rPr>
              <w:t>28.57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28.00</w:t>
            </w:r>
          </w:p>
        </w:tc>
        <w:tc>
          <w:tcPr>
            <w:tcW w:w="1440" w:type="dxa"/>
            <w:vAlign w:val="center"/>
          </w:tcPr>
          <w:p>
            <w:pPr>
              <w:jc w:val="right"/>
            </w:pPr>
            <w:r>
              <w:rPr>
                <w:rFonts w:ascii="宋体" w:hAnsi="宋体" w:eastAsia="宋体" w:cs="宋体"/>
                <w:b w:val="0"/>
                <w:i w:val="0"/>
                <w:color w:val="000000"/>
                <w:sz w:val="17"/>
              </w:rPr>
              <w:t>28.00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28.00</w:t>
            </w:r>
          </w:p>
        </w:tc>
        <w:tc>
          <w:tcPr>
            <w:tcW w:w="1440" w:type="dxa"/>
            <w:vAlign w:val="center"/>
          </w:tcPr>
          <w:p>
            <w:pPr>
              <w:jc w:val="right"/>
            </w:pPr>
            <w:r>
              <w:rPr>
                <w:rFonts w:ascii="宋体" w:hAnsi="宋体" w:eastAsia="宋体" w:cs="宋体"/>
                <w:b w:val="0"/>
                <w:i w:val="0"/>
                <w:color w:val="000000"/>
                <w:sz w:val="17"/>
              </w:rPr>
              <w:t>28.00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0.57</w:t>
            </w:r>
          </w:p>
        </w:tc>
        <w:tc>
          <w:tcPr>
            <w:tcW w:w="1440" w:type="dxa"/>
            <w:vAlign w:val="center"/>
          </w:tcPr>
          <w:p>
            <w:pPr>
              <w:jc w:val="right"/>
            </w:pPr>
            <w:r>
              <w:rPr>
                <w:rFonts w:ascii="宋体" w:hAnsi="宋体" w:eastAsia="宋体" w:cs="宋体"/>
                <w:b w:val="0"/>
                <w:i w:val="0"/>
                <w:color w:val="000000"/>
                <w:sz w:val="17"/>
              </w:rPr>
              <w:t>0.57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0.57</w:t>
            </w:r>
          </w:p>
        </w:tc>
        <w:tc>
          <w:tcPr>
            <w:tcW w:w="1440" w:type="dxa"/>
            <w:vAlign w:val="center"/>
          </w:tcPr>
          <w:p>
            <w:pPr>
              <w:jc w:val="right"/>
            </w:pPr>
            <w:r>
              <w:rPr>
                <w:rFonts w:ascii="宋体" w:hAnsi="宋体" w:eastAsia="宋体" w:cs="宋体"/>
                <w:b w:val="0"/>
                <w:i w:val="0"/>
                <w:color w:val="000000"/>
                <w:sz w:val="17"/>
              </w:rPr>
              <w:t>0.57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24.57</w:t>
            </w:r>
          </w:p>
        </w:tc>
        <w:tc>
          <w:tcPr>
            <w:tcW w:w="1440" w:type="dxa"/>
            <w:vAlign w:val="center"/>
          </w:tcPr>
          <w:p>
            <w:pPr>
              <w:jc w:val="right"/>
            </w:pPr>
            <w:r>
              <w:rPr>
                <w:rFonts w:ascii="宋体" w:hAnsi="宋体" w:eastAsia="宋体" w:cs="宋体"/>
                <w:b w:val="0"/>
                <w:i w:val="0"/>
                <w:color w:val="000000"/>
                <w:sz w:val="17"/>
              </w:rPr>
              <w:t>24.57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24.57</w:t>
            </w:r>
          </w:p>
        </w:tc>
        <w:tc>
          <w:tcPr>
            <w:tcW w:w="1440" w:type="dxa"/>
            <w:vAlign w:val="center"/>
          </w:tcPr>
          <w:p>
            <w:pPr>
              <w:jc w:val="right"/>
            </w:pPr>
            <w:r>
              <w:rPr>
                <w:rFonts w:ascii="宋体" w:hAnsi="宋体" w:eastAsia="宋体" w:cs="宋体"/>
                <w:b w:val="0"/>
                <w:i w:val="0"/>
                <w:color w:val="000000"/>
                <w:sz w:val="17"/>
              </w:rPr>
              <w:t>24.57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8.75</w:t>
            </w:r>
          </w:p>
        </w:tc>
        <w:tc>
          <w:tcPr>
            <w:tcW w:w="1440" w:type="dxa"/>
            <w:vAlign w:val="center"/>
          </w:tcPr>
          <w:p>
            <w:pPr>
              <w:jc w:val="right"/>
            </w:pPr>
            <w:r>
              <w:rPr>
                <w:rFonts w:ascii="宋体" w:hAnsi="宋体" w:eastAsia="宋体" w:cs="宋体"/>
                <w:b w:val="0"/>
                <w:i w:val="0"/>
                <w:color w:val="000000"/>
                <w:sz w:val="17"/>
              </w:rPr>
              <w:t>8.75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6.07</w:t>
            </w:r>
          </w:p>
        </w:tc>
        <w:tc>
          <w:tcPr>
            <w:tcW w:w="1440" w:type="dxa"/>
            <w:vAlign w:val="center"/>
          </w:tcPr>
          <w:p>
            <w:pPr>
              <w:jc w:val="right"/>
            </w:pPr>
            <w:r>
              <w:rPr>
                <w:rFonts w:ascii="宋体" w:hAnsi="宋体" w:eastAsia="宋体" w:cs="宋体"/>
                <w:b w:val="0"/>
                <w:i w:val="0"/>
                <w:color w:val="000000"/>
                <w:sz w:val="17"/>
              </w:rPr>
              <w:t>6.07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9.75</w:t>
            </w:r>
          </w:p>
        </w:tc>
        <w:tc>
          <w:tcPr>
            <w:tcW w:w="1440" w:type="dxa"/>
            <w:vAlign w:val="center"/>
          </w:tcPr>
          <w:p>
            <w:pPr>
              <w:jc w:val="right"/>
            </w:pPr>
            <w:r>
              <w:rPr>
                <w:rFonts w:ascii="宋体" w:hAnsi="宋体" w:eastAsia="宋体" w:cs="宋体"/>
                <w:b w:val="0"/>
                <w:i w:val="0"/>
                <w:color w:val="000000"/>
                <w:sz w:val="17"/>
              </w:rPr>
              <w:t>9.75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1,612.70</w:t>
            </w:r>
          </w:p>
        </w:tc>
        <w:tc>
          <w:tcPr>
            <w:tcW w:w="1440" w:type="dxa"/>
            <w:vAlign w:val="center"/>
          </w:tcPr>
          <w:p>
            <w:pPr>
              <w:jc w:val="right"/>
            </w:pPr>
            <w:r>
              <w:rPr>
                <w:rFonts w:ascii="宋体" w:hAnsi="宋体" w:eastAsia="宋体" w:cs="宋体"/>
                <w:b w:val="0"/>
                <w:i w:val="0"/>
                <w:color w:val="000000"/>
                <w:sz w:val="17"/>
              </w:rPr>
              <w:t>1,612.70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1,612.70</w:t>
            </w:r>
          </w:p>
        </w:tc>
        <w:tc>
          <w:tcPr>
            <w:tcW w:w="1440" w:type="dxa"/>
            <w:vAlign w:val="center"/>
          </w:tcPr>
          <w:p>
            <w:pPr>
              <w:jc w:val="right"/>
            </w:pPr>
            <w:r>
              <w:rPr>
                <w:rFonts w:ascii="宋体" w:hAnsi="宋体" w:eastAsia="宋体" w:cs="宋体"/>
                <w:b w:val="0"/>
                <w:i w:val="0"/>
                <w:color w:val="000000"/>
                <w:sz w:val="17"/>
              </w:rPr>
              <w:t>1,612.70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283.25</w:t>
            </w:r>
          </w:p>
        </w:tc>
        <w:tc>
          <w:tcPr>
            <w:tcW w:w="1440" w:type="dxa"/>
            <w:vAlign w:val="center"/>
          </w:tcPr>
          <w:p>
            <w:pPr>
              <w:jc w:val="right"/>
            </w:pPr>
            <w:r>
              <w:rPr>
                <w:rFonts w:ascii="宋体" w:hAnsi="宋体" w:eastAsia="宋体" w:cs="宋体"/>
                <w:b w:val="0"/>
                <w:i w:val="0"/>
                <w:color w:val="000000"/>
                <w:sz w:val="17"/>
              </w:rPr>
              <w:t>283.25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2.20</w:t>
            </w:r>
          </w:p>
        </w:tc>
        <w:tc>
          <w:tcPr>
            <w:tcW w:w="1440" w:type="dxa"/>
            <w:vAlign w:val="center"/>
          </w:tcPr>
          <w:p>
            <w:pPr>
              <w:jc w:val="right"/>
            </w:pPr>
            <w:r>
              <w:rPr>
                <w:rFonts w:ascii="宋体" w:hAnsi="宋体" w:eastAsia="宋体" w:cs="宋体"/>
                <w:b w:val="0"/>
                <w:i w:val="0"/>
                <w:color w:val="000000"/>
                <w:sz w:val="17"/>
              </w:rPr>
              <w:t>2.20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177.25</w:t>
            </w:r>
          </w:p>
        </w:tc>
        <w:tc>
          <w:tcPr>
            <w:tcW w:w="1440" w:type="dxa"/>
            <w:vAlign w:val="center"/>
          </w:tcPr>
          <w:p>
            <w:pPr>
              <w:jc w:val="right"/>
            </w:pPr>
            <w:r>
              <w:rPr>
                <w:rFonts w:ascii="宋体" w:hAnsi="宋体" w:eastAsia="宋体" w:cs="宋体"/>
                <w:b w:val="0"/>
                <w:i w:val="0"/>
                <w:color w:val="000000"/>
                <w:sz w:val="17"/>
              </w:rPr>
              <w:t>177.25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2130599</w:t>
            </w:r>
          </w:p>
        </w:tc>
        <w:tc>
          <w:tcPr>
            <w:tcW w:w="3140" w:type="dxa"/>
            <w:vAlign w:val="center"/>
          </w:tcPr>
          <w:p>
            <w:pPr>
              <w:jc w:val="left"/>
            </w:pPr>
            <w:r>
              <w:rPr>
                <w:rFonts w:ascii="宋体" w:hAnsi="宋体" w:eastAsia="宋体" w:cs="宋体"/>
                <w:b w:val="0"/>
                <w:i w:val="0"/>
                <w:color w:val="000000"/>
                <w:sz w:val="17"/>
              </w:rPr>
              <w:t>其他巩固脱贫攻坚成果衔接乡村振兴支出</w:t>
            </w:r>
          </w:p>
        </w:tc>
        <w:tc>
          <w:tcPr>
            <w:tcW w:w="1440" w:type="dxa"/>
            <w:vAlign w:val="center"/>
          </w:tcPr>
          <w:p>
            <w:pPr>
              <w:jc w:val="right"/>
            </w:pPr>
            <w:r>
              <w:rPr>
                <w:rFonts w:ascii="宋体" w:hAnsi="宋体" w:eastAsia="宋体" w:cs="宋体"/>
                <w:b w:val="0"/>
                <w:i w:val="0"/>
                <w:color w:val="000000"/>
                <w:sz w:val="17"/>
              </w:rPr>
              <w:t>1,150.00</w:t>
            </w:r>
          </w:p>
        </w:tc>
        <w:tc>
          <w:tcPr>
            <w:tcW w:w="1440" w:type="dxa"/>
            <w:vAlign w:val="center"/>
          </w:tcPr>
          <w:p>
            <w:pPr>
              <w:jc w:val="right"/>
            </w:pPr>
            <w:r>
              <w:rPr>
                <w:rFonts w:ascii="宋体" w:hAnsi="宋体" w:eastAsia="宋体" w:cs="宋体"/>
                <w:b w:val="0"/>
                <w:i w:val="0"/>
                <w:color w:val="000000"/>
                <w:sz w:val="17"/>
              </w:rPr>
              <w:t>1,150.00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28.16</w:t>
            </w:r>
          </w:p>
        </w:tc>
        <w:tc>
          <w:tcPr>
            <w:tcW w:w="1440" w:type="dxa"/>
            <w:vAlign w:val="center"/>
          </w:tcPr>
          <w:p>
            <w:pPr>
              <w:jc w:val="right"/>
            </w:pPr>
            <w:r>
              <w:rPr>
                <w:rFonts w:ascii="宋体" w:hAnsi="宋体" w:eastAsia="宋体" w:cs="宋体"/>
                <w:b w:val="0"/>
                <w:i w:val="0"/>
                <w:color w:val="000000"/>
                <w:sz w:val="17"/>
              </w:rPr>
              <w:t>28.16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28.16</w:t>
            </w:r>
          </w:p>
        </w:tc>
        <w:tc>
          <w:tcPr>
            <w:tcW w:w="1440" w:type="dxa"/>
            <w:vAlign w:val="center"/>
          </w:tcPr>
          <w:p>
            <w:pPr>
              <w:jc w:val="right"/>
            </w:pPr>
            <w:r>
              <w:rPr>
                <w:rFonts w:ascii="宋体" w:hAnsi="宋体" w:eastAsia="宋体" w:cs="宋体"/>
                <w:b w:val="0"/>
                <w:i w:val="0"/>
                <w:color w:val="000000"/>
                <w:sz w:val="17"/>
              </w:rPr>
              <w:t>28.16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28.16</w:t>
            </w:r>
          </w:p>
        </w:tc>
        <w:tc>
          <w:tcPr>
            <w:tcW w:w="1440" w:type="dxa"/>
            <w:vAlign w:val="center"/>
          </w:tcPr>
          <w:p>
            <w:pPr>
              <w:jc w:val="right"/>
            </w:pPr>
            <w:r>
              <w:rPr>
                <w:rFonts w:ascii="宋体" w:hAnsi="宋体" w:eastAsia="宋体" w:cs="宋体"/>
                <w:b w:val="0"/>
                <w:i w:val="0"/>
                <w:color w:val="000000"/>
                <w:sz w:val="17"/>
              </w:rPr>
              <w:t>28.16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部门：许昌市乡村振兴局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1,733.01</w:t>
            </w:r>
          </w:p>
        </w:tc>
        <w:tc>
          <w:tcPr>
            <w:tcW w:w="1600" w:type="dxa"/>
            <w:vAlign w:val="center"/>
          </w:tcPr>
          <w:p>
            <w:pPr>
              <w:jc w:val="right"/>
            </w:pPr>
            <w:r>
              <w:rPr>
                <w:rFonts w:ascii="宋体" w:hAnsi="宋体" w:eastAsia="宋体" w:cs="宋体"/>
                <w:b/>
                <w:i w:val="0"/>
                <w:color w:val="000000"/>
                <w:sz w:val="19"/>
              </w:rPr>
              <w:t>567.05</w:t>
            </w:r>
          </w:p>
        </w:tc>
        <w:tc>
          <w:tcPr>
            <w:tcW w:w="1600" w:type="dxa"/>
            <w:vAlign w:val="center"/>
          </w:tcPr>
          <w:p>
            <w:pPr>
              <w:jc w:val="right"/>
            </w:pPr>
            <w:r>
              <w:rPr>
                <w:rFonts w:ascii="宋体" w:hAnsi="宋体" w:eastAsia="宋体" w:cs="宋体"/>
                <w:b/>
                <w:i w:val="0"/>
                <w:color w:val="000000"/>
                <w:sz w:val="19"/>
              </w:rPr>
              <w:t>1,165.97</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25.81</w:t>
            </w:r>
          </w:p>
        </w:tc>
        <w:tc>
          <w:tcPr>
            <w:tcW w:w="1600" w:type="dxa"/>
            <w:vAlign w:val="center"/>
          </w:tcPr>
          <w:p>
            <w:pPr>
              <w:jc w:val="right"/>
            </w:pPr>
            <w:r>
              <w:rPr>
                <w:rFonts w:ascii="宋体" w:hAnsi="宋体" w:eastAsia="宋体" w:cs="宋体"/>
                <w:b w:val="0"/>
                <w:i w:val="0"/>
                <w:color w:val="000000"/>
                <w:sz w:val="19"/>
              </w:rPr>
              <w:t>25.81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2.42</w:t>
            </w:r>
          </w:p>
        </w:tc>
        <w:tc>
          <w:tcPr>
            <w:tcW w:w="1600" w:type="dxa"/>
            <w:vAlign w:val="center"/>
          </w:tcPr>
          <w:p>
            <w:pPr>
              <w:jc w:val="right"/>
            </w:pPr>
            <w:r>
              <w:rPr>
                <w:rFonts w:ascii="宋体" w:hAnsi="宋体" w:eastAsia="宋体" w:cs="宋体"/>
                <w:b w:val="0"/>
                <w:i w:val="0"/>
                <w:color w:val="000000"/>
                <w:sz w:val="19"/>
              </w:rPr>
              <w:t>2.42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2.42</w:t>
            </w:r>
          </w:p>
        </w:tc>
        <w:tc>
          <w:tcPr>
            <w:tcW w:w="1600" w:type="dxa"/>
            <w:vAlign w:val="center"/>
          </w:tcPr>
          <w:p>
            <w:pPr>
              <w:jc w:val="right"/>
            </w:pPr>
            <w:r>
              <w:rPr>
                <w:rFonts w:ascii="宋体" w:hAnsi="宋体" w:eastAsia="宋体" w:cs="宋体"/>
                <w:b w:val="0"/>
                <w:i w:val="0"/>
                <w:color w:val="000000"/>
                <w:sz w:val="19"/>
              </w:rPr>
              <w:t>2.42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23.39</w:t>
            </w:r>
          </w:p>
        </w:tc>
        <w:tc>
          <w:tcPr>
            <w:tcW w:w="1600" w:type="dxa"/>
            <w:vAlign w:val="center"/>
          </w:tcPr>
          <w:p>
            <w:pPr>
              <w:jc w:val="right"/>
            </w:pPr>
            <w:r>
              <w:rPr>
                <w:rFonts w:ascii="宋体" w:hAnsi="宋体" w:eastAsia="宋体" w:cs="宋体"/>
                <w:b w:val="0"/>
                <w:i w:val="0"/>
                <w:color w:val="000000"/>
                <w:sz w:val="19"/>
              </w:rPr>
              <w:t>23.39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23.39</w:t>
            </w:r>
          </w:p>
        </w:tc>
        <w:tc>
          <w:tcPr>
            <w:tcW w:w="1600" w:type="dxa"/>
            <w:vAlign w:val="center"/>
          </w:tcPr>
          <w:p>
            <w:pPr>
              <w:jc w:val="right"/>
            </w:pPr>
            <w:r>
              <w:rPr>
                <w:rFonts w:ascii="宋体" w:hAnsi="宋体" w:eastAsia="宋体" w:cs="宋体"/>
                <w:b w:val="0"/>
                <w:i w:val="0"/>
                <w:color w:val="000000"/>
                <w:sz w:val="19"/>
              </w:rPr>
              <w:t>23.39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28.57</w:t>
            </w:r>
          </w:p>
        </w:tc>
        <w:tc>
          <w:tcPr>
            <w:tcW w:w="1600" w:type="dxa"/>
            <w:vAlign w:val="center"/>
          </w:tcPr>
          <w:p>
            <w:pPr>
              <w:jc w:val="right"/>
            </w:pPr>
            <w:r>
              <w:rPr>
                <w:rFonts w:ascii="宋体" w:hAnsi="宋体" w:eastAsia="宋体" w:cs="宋体"/>
                <w:b w:val="0"/>
                <w:i w:val="0"/>
                <w:color w:val="000000"/>
                <w:sz w:val="19"/>
              </w:rPr>
              <w:t>28.00</w:t>
            </w:r>
          </w:p>
        </w:tc>
        <w:tc>
          <w:tcPr>
            <w:tcW w:w="1600" w:type="dxa"/>
            <w:vAlign w:val="center"/>
          </w:tcPr>
          <w:p>
            <w:pPr>
              <w:jc w:val="right"/>
            </w:pPr>
            <w:r>
              <w:rPr>
                <w:rFonts w:ascii="宋体" w:hAnsi="宋体" w:eastAsia="宋体" w:cs="宋体"/>
                <w:b w:val="0"/>
                <w:i w:val="0"/>
                <w:color w:val="000000"/>
                <w:sz w:val="19"/>
              </w:rPr>
              <w:t>0.57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28.00</w:t>
            </w:r>
          </w:p>
        </w:tc>
        <w:tc>
          <w:tcPr>
            <w:tcW w:w="1600" w:type="dxa"/>
            <w:vAlign w:val="center"/>
          </w:tcPr>
          <w:p>
            <w:pPr>
              <w:jc w:val="right"/>
            </w:pPr>
            <w:r>
              <w:rPr>
                <w:rFonts w:ascii="宋体" w:hAnsi="宋体" w:eastAsia="宋体" w:cs="宋体"/>
                <w:b w:val="0"/>
                <w:i w:val="0"/>
                <w:color w:val="000000"/>
                <w:sz w:val="19"/>
              </w:rPr>
              <w:t>28.00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28.00</w:t>
            </w:r>
          </w:p>
        </w:tc>
        <w:tc>
          <w:tcPr>
            <w:tcW w:w="1600" w:type="dxa"/>
            <w:vAlign w:val="center"/>
          </w:tcPr>
          <w:p>
            <w:pPr>
              <w:jc w:val="right"/>
            </w:pPr>
            <w:r>
              <w:rPr>
                <w:rFonts w:ascii="宋体" w:hAnsi="宋体" w:eastAsia="宋体" w:cs="宋体"/>
                <w:b w:val="0"/>
                <w:i w:val="0"/>
                <w:color w:val="000000"/>
                <w:sz w:val="19"/>
              </w:rPr>
              <w:t>28.00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0.57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0.57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24.57</w:t>
            </w:r>
          </w:p>
        </w:tc>
        <w:tc>
          <w:tcPr>
            <w:tcW w:w="1600" w:type="dxa"/>
            <w:vAlign w:val="center"/>
          </w:tcPr>
          <w:p>
            <w:pPr>
              <w:jc w:val="right"/>
            </w:pPr>
            <w:r>
              <w:rPr>
                <w:rFonts w:ascii="宋体" w:hAnsi="宋体" w:eastAsia="宋体" w:cs="宋体"/>
                <w:b w:val="0"/>
                <w:i w:val="0"/>
                <w:color w:val="000000"/>
                <w:sz w:val="19"/>
              </w:rPr>
              <w:t>24.57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24.57</w:t>
            </w:r>
          </w:p>
        </w:tc>
        <w:tc>
          <w:tcPr>
            <w:tcW w:w="1600" w:type="dxa"/>
            <w:vAlign w:val="center"/>
          </w:tcPr>
          <w:p>
            <w:pPr>
              <w:jc w:val="right"/>
            </w:pPr>
            <w:r>
              <w:rPr>
                <w:rFonts w:ascii="宋体" w:hAnsi="宋体" w:eastAsia="宋体" w:cs="宋体"/>
                <w:b w:val="0"/>
                <w:i w:val="0"/>
                <w:color w:val="000000"/>
                <w:sz w:val="19"/>
              </w:rPr>
              <w:t>24.57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8.75</w:t>
            </w:r>
          </w:p>
        </w:tc>
        <w:tc>
          <w:tcPr>
            <w:tcW w:w="1600" w:type="dxa"/>
            <w:vAlign w:val="center"/>
          </w:tcPr>
          <w:p>
            <w:pPr>
              <w:jc w:val="right"/>
            </w:pPr>
            <w:r>
              <w:rPr>
                <w:rFonts w:ascii="宋体" w:hAnsi="宋体" w:eastAsia="宋体" w:cs="宋体"/>
                <w:b w:val="0"/>
                <w:i w:val="0"/>
                <w:color w:val="000000"/>
                <w:sz w:val="19"/>
              </w:rPr>
              <w:t>8.75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6.07</w:t>
            </w:r>
          </w:p>
        </w:tc>
        <w:tc>
          <w:tcPr>
            <w:tcW w:w="1600" w:type="dxa"/>
            <w:vAlign w:val="center"/>
          </w:tcPr>
          <w:p>
            <w:pPr>
              <w:jc w:val="right"/>
            </w:pPr>
            <w:r>
              <w:rPr>
                <w:rFonts w:ascii="宋体" w:hAnsi="宋体" w:eastAsia="宋体" w:cs="宋体"/>
                <w:b w:val="0"/>
                <w:i w:val="0"/>
                <w:color w:val="000000"/>
                <w:sz w:val="19"/>
              </w:rPr>
              <w:t>6.07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9.75</w:t>
            </w:r>
          </w:p>
        </w:tc>
        <w:tc>
          <w:tcPr>
            <w:tcW w:w="1600" w:type="dxa"/>
            <w:vAlign w:val="center"/>
          </w:tcPr>
          <w:p>
            <w:pPr>
              <w:jc w:val="right"/>
            </w:pPr>
            <w:r>
              <w:rPr>
                <w:rFonts w:ascii="宋体" w:hAnsi="宋体" w:eastAsia="宋体" w:cs="宋体"/>
                <w:b w:val="0"/>
                <w:i w:val="0"/>
                <w:color w:val="000000"/>
                <w:sz w:val="19"/>
              </w:rPr>
              <w:t>9.75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1,625.90</w:t>
            </w:r>
          </w:p>
        </w:tc>
        <w:tc>
          <w:tcPr>
            <w:tcW w:w="1600" w:type="dxa"/>
            <w:vAlign w:val="center"/>
          </w:tcPr>
          <w:p>
            <w:pPr>
              <w:jc w:val="right"/>
            </w:pPr>
            <w:r>
              <w:rPr>
                <w:rFonts w:ascii="宋体" w:hAnsi="宋体" w:eastAsia="宋体" w:cs="宋体"/>
                <w:b w:val="0"/>
                <w:i w:val="0"/>
                <w:color w:val="000000"/>
                <w:sz w:val="19"/>
              </w:rPr>
              <w:t>460.51</w:t>
            </w:r>
          </w:p>
        </w:tc>
        <w:tc>
          <w:tcPr>
            <w:tcW w:w="1600" w:type="dxa"/>
            <w:vAlign w:val="center"/>
          </w:tcPr>
          <w:p>
            <w:pPr>
              <w:jc w:val="right"/>
            </w:pPr>
            <w:r>
              <w:rPr>
                <w:rFonts w:ascii="宋体" w:hAnsi="宋体" w:eastAsia="宋体" w:cs="宋体"/>
                <w:b w:val="0"/>
                <w:i w:val="0"/>
                <w:color w:val="000000"/>
                <w:sz w:val="19"/>
              </w:rPr>
              <w:t>1,165.40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1,625.90</w:t>
            </w:r>
          </w:p>
        </w:tc>
        <w:tc>
          <w:tcPr>
            <w:tcW w:w="1600" w:type="dxa"/>
            <w:vAlign w:val="center"/>
          </w:tcPr>
          <w:p>
            <w:pPr>
              <w:jc w:val="right"/>
            </w:pPr>
            <w:r>
              <w:rPr>
                <w:rFonts w:ascii="宋体" w:hAnsi="宋体" w:eastAsia="宋体" w:cs="宋体"/>
                <w:b w:val="0"/>
                <w:i w:val="0"/>
                <w:color w:val="000000"/>
                <w:sz w:val="19"/>
              </w:rPr>
              <w:t>460.51</w:t>
            </w:r>
          </w:p>
        </w:tc>
        <w:tc>
          <w:tcPr>
            <w:tcW w:w="1600" w:type="dxa"/>
            <w:vAlign w:val="center"/>
          </w:tcPr>
          <w:p>
            <w:pPr>
              <w:jc w:val="right"/>
            </w:pPr>
            <w:r>
              <w:rPr>
                <w:rFonts w:ascii="宋体" w:hAnsi="宋体" w:eastAsia="宋体" w:cs="宋体"/>
                <w:b w:val="0"/>
                <w:i w:val="0"/>
                <w:color w:val="000000"/>
                <w:sz w:val="19"/>
              </w:rPr>
              <w:t>1,165.40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283.25</w:t>
            </w:r>
          </w:p>
        </w:tc>
        <w:tc>
          <w:tcPr>
            <w:tcW w:w="1600" w:type="dxa"/>
            <w:vAlign w:val="center"/>
          </w:tcPr>
          <w:p>
            <w:pPr>
              <w:jc w:val="right"/>
            </w:pPr>
            <w:r>
              <w:rPr>
                <w:rFonts w:ascii="宋体" w:hAnsi="宋体" w:eastAsia="宋体" w:cs="宋体"/>
                <w:b w:val="0"/>
                <w:i w:val="0"/>
                <w:color w:val="000000"/>
                <w:sz w:val="19"/>
              </w:rPr>
              <w:t>283.25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15.40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15.40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177.25</w:t>
            </w:r>
          </w:p>
        </w:tc>
        <w:tc>
          <w:tcPr>
            <w:tcW w:w="1600" w:type="dxa"/>
            <w:vAlign w:val="center"/>
          </w:tcPr>
          <w:p>
            <w:pPr>
              <w:jc w:val="right"/>
            </w:pPr>
            <w:r>
              <w:rPr>
                <w:rFonts w:ascii="宋体" w:hAnsi="宋体" w:eastAsia="宋体" w:cs="宋体"/>
                <w:b w:val="0"/>
                <w:i w:val="0"/>
                <w:color w:val="000000"/>
                <w:sz w:val="19"/>
              </w:rPr>
              <w:t>177.25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2130599</w:t>
            </w:r>
          </w:p>
        </w:tc>
        <w:tc>
          <w:tcPr>
            <w:tcW w:w="3480" w:type="dxa"/>
            <w:vAlign w:val="center"/>
          </w:tcPr>
          <w:p>
            <w:pPr>
              <w:jc w:val="left"/>
            </w:pPr>
            <w:r>
              <w:rPr>
                <w:rFonts w:ascii="宋体" w:hAnsi="宋体" w:eastAsia="宋体" w:cs="宋体"/>
                <w:b w:val="0"/>
                <w:i w:val="0"/>
                <w:color w:val="000000"/>
                <w:sz w:val="19"/>
              </w:rPr>
              <w:t>其他巩固脱贫攻坚成果衔接乡村振兴支出</w:t>
            </w:r>
          </w:p>
        </w:tc>
        <w:tc>
          <w:tcPr>
            <w:tcW w:w="1600" w:type="dxa"/>
            <w:vAlign w:val="center"/>
          </w:tcPr>
          <w:p>
            <w:pPr>
              <w:jc w:val="right"/>
            </w:pPr>
            <w:r>
              <w:rPr>
                <w:rFonts w:ascii="宋体" w:hAnsi="宋体" w:eastAsia="宋体" w:cs="宋体"/>
                <w:b w:val="0"/>
                <w:i w:val="0"/>
                <w:color w:val="000000"/>
                <w:sz w:val="19"/>
              </w:rPr>
              <w:t>1,150.00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1,150.00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28.16</w:t>
            </w:r>
          </w:p>
        </w:tc>
        <w:tc>
          <w:tcPr>
            <w:tcW w:w="1600" w:type="dxa"/>
            <w:vAlign w:val="center"/>
          </w:tcPr>
          <w:p>
            <w:pPr>
              <w:jc w:val="right"/>
            </w:pPr>
            <w:r>
              <w:rPr>
                <w:rFonts w:ascii="宋体" w:hAnsi="宋体" w:eastAsia="宋体" w:cs="宋体"/>
                <w:b w:val="0"/>
                <w:i w:val="0"/>
                <w:color w:val="000000"/>
                <w:sz w:val="19"/>
              </w:rPr>
              <w:t>28.16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28.16</w:t>
            </w:r>
          </w:p>
        </w:tc>
        <w:tc>
          <w:tcPr>
            <w:tcW w:w="1600" w:type="dxa"/>
            <w:vAlign w:val="center"/>
          </w:tcPr>
          <w:p>
            <w:pPr>
              <w:jc w:val="right"/>
            </w:pPr>
            <w:r>
              <w:rPr>
                <w:rFonts w:ascii="宋体" w:hAnsi="宋体" w:eastAsia="宋体" w:cs="宋体"/>
                <w:b w:val="0"/>
                <w:i w:val="0"/>
                <w:color w:val="000000"/>
                <w:sz w:val="19"/>
              </w:rPr>
              <w:t>28.16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28.16</w:t>
            </w:r>
          </w:p>
        </w:tc>
        <w:tc>
          <w:tcPr>
            <w:tcW w:w="1600" w:type="dxa"/>
            <w:vAlign w:val="center"/>
          </w:tcPr>
          <w:p>
            <w:pPr>
              <w:jc w:val="right"/>
            </w:pPr>
            <w:r>
              <w:rPr>
                <w:rFonts w:ascii="宋体" w:hAnsi="宋体" w:eastAsia="宋体" w:cs="宋体"/>
                <w:b w:val="0"/>
                <w:i w:val="0"/>
                <w:color w:val="000000"/>
                <w:sz w:val="19"/>
              </w:rPr>
              <w:t>28.16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部门：许昌市乡村振兴局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1,719.81</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25.81</w:t>
            </w:r>
          </w:p>
        </w:tc>
        <w:tc>
          <w:tcPr>
            <w:tcW w:w="1420" w:type="dxa"/>
            <w:vAlign w:val="center"/>
          </w:tcPr>
          <w:p>
            <w:pPr>
              <w:jc w:val="right"/>
            </w:pPr>
            <w:r>
              <w:rPr>
                <w:rFonts w:ascii="宋体" w:hAnsi="宋体" w:eastAsia="宋体" w:cs="宋体"/>
                <w:b w:val="0"/>
                <w:i w:val="0"/>
                <w:color w:val="000000"/>
                <w:sz w:val="18"/>
              </w:rPr>
              <w:t>25.81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28.57</w:t>
            </w:r>
          </w:p>
        </w:tc>
        <w:tc>
          <w:tcPr>
            <w:tcW w:w="1420" w:type="dxa"/>
            <w:vAlign w:val="center"/>
          </w:tcPr>
          <w:p>
            <w:pPr>
              <w:jc w:val="right"/>
            </w:pPr>
            <w:r>
              <w:rPr>
                <w:rFonts w:ascii="宋体" w:hAnsi="宋体" w:eastAsia="宋体" w:cs="宋体"/>
                <w:b w:val="0"/>
                <w:i w:val="0"/>
                <w:color w:val="000000"/>
                <w:sz w:val="18"/>
              </w:rPr>
              <w:t>28.57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24.57</w:t>
            </w:r>
          </w:p>
        </w:tc>
        <w:tc>
          <w:tcPr>
            <w:tcW w:w="1420" w:type="dxa"/>
            <w:vAlign w:val="center"/>
          </w:tcPr>
          <w:p>
            <w:pPr>
              <w:jc w:val="right"/>
            </w:pPr>
            <w:r>
              <w:rPr>
                <w:rFonts w:ascii="宋体" w:hAnsi="宋体" w:eastAsia="宋体" w:cs="宋体"/>
                <w:b w:val="0"/>
                <w:i w:val="0"/>
                <w:color w:val="000000"/>
                <w:sz w:val="18"/>
              </w:rPr>
              <w:t>24.57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1,625.90</w:t>
            </w:r>
          </w:p>
        </w:tc>
        <w:tc>
          <w:tcPr>
            <w:tcW w:w="1420" w:type="dxa"/>
            <w:vAlign w:val="center"/>
          </w:tcPr>
          <w:p>
            <w:pPr>
              <w:jc w:val="right"/>
            </w:pPr>
            <w:r>
              <w:rPr>
                <w:rFonts w:ascii="宋体" w:hAnsi="宋体" w:eastAsia="宋体" w:cs="宋体"/>
                <w:b w:val="0"/>
                <w:i w:val="0"/>
                <w:color w:val="000000"/>
                <w:sz w:val="18"/>
              </w:rPr>
              <w:t>1,625.90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28.16</w:t>
            </w:r>
          </w:p>
        </w:tc>
        <w:tc>
          <w:tcPr>
            <w:tcW w:w="1420" w:type="dxa"/>
            <w:vAlign w:val="center"/>
          </w:tcPr>
          <w:p>
            <w:pPr>
              <w:jc w:val="right"/>
            </w:pPr>
            <w:r>
              <w:rPr>
                <w:rFonts w:ascii="宋体" w:hAnsi="宋体" w:eastAsia="宋体" w:cs="宋体"/>
                <w:b w:val="0"/>
                <w:i w:val="0"/>
                <w:color w:val="000000"/>
                <w:sz w:val="18"/>
              </w:rPr>
              <w:t>28.16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1,719.81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1,733.01</w:t>
            </w:r>
          </w:p>
        </w:tc>
        <w:tc>
          <w:tcPr>
            <w:tcW w:w="1420" w:type="dxa"/>
            <w:vAlign w:val="center"/>
          </w:tcPr>
          <w:p>
            <w:pPr>
              <w:jc w:val="right"/>
            </w:pPr>
            <w:r>
              <w:rPr>
                <w:rFonts w:ascii="宋体" w:hAnsi="宋体" w:eastAsia="宋体" w:cs="宋体"/>
                <w:b w:val="0"/>
                <w:i w:val="0"/>
                <w:color w:val="000000"/>
                <w:sz w:val="18"/>
              </w:rPr>
              <w:t>1,733.01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13.20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13.20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1,733.01</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1,733.01</w:t>
            </w:r>
          </w:p>
        </w:tc>
        <w:tc>
          <w:tcPr>
            <w:tcW w:w="1420" w:type="dxa"/>
            <w:vAlign w:val="center"/>
          </w:tcPr>
          <w:p>
            <w:pPr>
              <w:jc w:val="right"/>
            </w:pPr>
            <w:r>
              <w:rPr>
                <w:rFonts w:ascii="宋体" w:hAnsi="宋体" w:eastAsia="宋体" w:cs="宋体"/>
                <w:b w:val="0"/>
                <w:i w:val="0"/>
                <w:color w:val="000000"/>
                <w:sz w:val="18"/>
              </w:rPr>
              <w:t>1,733.01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部门：许昌市乡村振兴局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1,733.01</w:t>
            </w:r>
          </w:p>
        </w:tc>
        <w:tc>
          <w:tcPr>
            <w:tcW w:w="2700" w:type="dxa"/>
            <w:vAlign w:val="center"/>
          </w:tcPr>
          <w:p>
            <w:pPr>
              <w:jc w:val="right"/>
            </w:pPr>
            <w:r>
              <w:rPr>
                <w:rFonts w:ascii="宋体" w:hAnsi="宋体" w:eastAsia="宋体" w:cs="宋体"/>
                <w:b/>
                <w:i w:val="0"/>
                <w:color w:val="000000"/>
                <w:sz w:val="25"/>
              </w:rPr>
              <w:t>567.05</w:t>
            </w:r>
          </w:p>
        </w:tc>
        <w:tc>
          <w:tcPr>
            <w:tcW w:w="2658" w:type="dxa"/>
            <w:vAlign w:val="center"/>
          </w:tcPr>
          <w:p>
            <w:pPr>
              <w:jc w:val="right"/>
            </w:pPr>
            <w:r>
              <w:rPr>
                <w:rFonts w:ascii="宋体" w:hAnsi="宋体" w:eastAsia="宋体" w:cs="宋体"/>
                <w:b/>
                <w:i w:val="0"/>
                <w:color w:val="000000"/>
                <w:sz w:val="25"/>
              </w:rPr>
              <w:t>1,165.97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25.81</w:t>
            </w:r>
          </w:p>
        </w:tc>
        <w:tc>
          <w:tcPr>
            <w:tcW w:w="2700" w:type="dxa"/>
            <w:vAlign w:val="center"/>
          </w:tcPr>
          <w:p>
            <w:pPr>
              <w:jc w:val="right"/>
            </w:pPr>
            <w:r>
              <w:rPr>
                <w:rFonts w:ascii="宋体" w:hAnsi="宋体" w:eastAsia="宋体" w:cs="宋体"/>
                <w:b w:val="0"/>
                <w:i w:val="0"/>
                <w:color w:val="000000"/>
                <w:sz w:val="25"/>
              </w:rPr>
              <w:t>25.81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2.42</w:t>
            </w:r>
          </w:p>
        </w:tc>
        <w:tc>
          <w:tcPr>
            <w:tcW w:w="2700" w:type="dxa"/>
            <w:vAlign w:val="center"/>
          </w:tcPr>
          <w:p>
            <w:pPr>
              <w:jc w:val="right"/>
            </w:pPr>
            <w:r>
              <w:rPr>
                <w:rFonts w:ascii="宋体" w:hAnsi="宋体" w:eastAsia="宋体" w:cs="宋体"/>
                <w:b w:val="0"/>
                <w:i w:val="0"/>
                <w:color w:val="000000"/>
                <w:sz w:val="25"/>
              </w:rPr>
              <w:t>2.42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2.42</w:t>
            </w:r>
          </w:p>
        </w:tc>
        <w:tc>
          <w:tcPr>
            <w:tcW w:w="2700" w:type="dxa"/>
            <w:vAlign w:val="center"/>
          </w:tcPr>
          <w:p>
            <w:pPr>
              <w:jc w:val="right"/>
            </w:pPr>
            <w:r>
              <w:rPr>
                <w:rFonts w:ascii="宋体" w:hAnsi="宋体" w:eastAsia="宋体" w:cs="宋体"/>
                <w:b w:val="0"/>
                <w:i w:val="0"/>
                <w:color w:val="000000"/>
                <w:sz w:val="25"/>
              </w:rPr>
              <w:t>2.42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23.39</w:t>
            </w:r>
          </w:p>
        </w:tc>
        <w:tc>
          <w:tcPr>
            <w:tcW w:w="2700" w:type="dxa"/>
            <w:vAlign w:val="center"/>
          </w:tcPr>
          <w:p>
            <w:pPr>
              <w:jc w:val="right"/>
            </w:pPr>
            <w:r>
              <w:rPr>
                <w:rFonts w:ascii="宋体" w:hAnsi="宋体" w:eastAsia="宋体" w:cs="宋体"/>
                <w:b w:val="0"/>
                <w:i w:val="0"/>
                <w:color w:val="000000"/>
                <w:sz w:val="25"/>
              </w:rPr>
              <w:t>23.39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23.39</w:t>
            </w:r>
          </w:p>
        </w:tc>
        <w:tc>
          <w:tcPr>
            <w:tcW w:w="2700" w:type="dxa"/>
            <w:vAlign w:val="center"/>
          </w:tcPr>
          <w:p>
            <w:pPr>
              <w:jc w:val="right"/>
            </w:pPr>
            <w:r>
              <w:rPr>
                <w:rFonts w:ascii="宋体" w:hAnsi="宋体" w:eastAsia="宋体" w:cs="宋体"/>
                <w:b w:val="0"/>
                <w:i w:val="0"/>
                <w:color w:val="000000"/>
                <w:sz w:val="25"/>
              </w:rPr>
              <w:t>23.39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28.57</w:t>
            </w:r>
          </w:p>
        </w:tc>
        <w:tc>
          <w:tcPr>
            <w:tcW w:w="2700" w:type="dxa"/>
            <w:vAlign w:val="center"/>
          </w:tcPr>
          <w:p>
            <w:pPr>
              <w:jc w:val="right"/>
            </w:pPr>
            <w:r>
              <w:rPr>
                <w:rFonts w:ascii="宋体" w:hAnsi="宋体" w:eastAsia="宋体" w:cs="宋体"/>
                <w:b w:val="0"/>
                <w:i w:val="0"/>
                <w:color w:val="000000"/>
                <w:sz w:val="25"/>
              </w:rPr>
              <w:t>28.00</w:t>
            </w:r>
          </w:p>
        </w:tc>
        <w:tc>
          <w:tcPr>
            <w:tcW w:w="2658" w:type="dxa"/>
            <w:vAlign w:val="center"/>
          </w:tcPr>
          <w:p>
            <w:pPr>
              <w:jc w:val="right"/>
            </w:pPr>
            <w:r>
              <w:rPr>
                <w:rFonts w:ascii="宋体" w:hAnsi="宋体" w:eastAsia="宋体" w:cs="宋体"/>
                <w:b w:val="0"/>
                <w:i w:val="0"/>
                <w:color w:val="000000"/>
                <w:sz w:val="25"/>
              </w:rPr>
              <w:t>0.57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28.00</w:t>
            </w:r>
          </w:p>
        </w:tc>
        <w:tc>
          <w:tcPr>
            <w:tcW w:w="2700" w:type="dxa"/>
            <w:vAlign w:val="center"/>
          </w:tcPr>
          <w:p>
            <w:pPr>
              <w:jc w:val="right"/>
            </w:pPr>
            <w:r>
              <w:rPr>
                <w:rFonts w:ascii="宋体" w:hAnsi="宋体" w:eastAsia="宋体" w:cs="宋体"/>
                <w:b w:val="0"/>
                <w:i w:val="0"/>
                <w:color w:val="000000"/>
                <w:sz w:val="25"/>
              </w:rPr>
              <w:t>28.00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28.00</w:t>
            </w:r>
          </w:p>
        </w:tc>
        <w:tc>
          <w:tcPr>
            <w:tcW w:w="2700" w:type="dxa"/>
            <w:vAlign w:val="center"/>
          </w:tcPr>
          <w:p>
            <w:pPr>
              <w:jc w:val="right"/>
            </w:pPr>
            <w:r>
              <w:rPr>
                <w:rFonts w:ascii="宋体" w:hAnsi="宋体" w:eastAsia="宋体" w:cs="宋体"/>
                <w:b w:val="0"/>
                <w:i w:val="0"/>
                <w:color w:val="000000"/>
                <w:sz w:val="25"/>
              </w:rPr>
              <w:t>28.00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0.57</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0.57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0.57</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0.57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24.57</w:t>
            </w:r>
          </w:p>
        </w:tc>
        <w:tc>
          <w:tcPr>
            <w:tcW w:w="2700" w:type="dxa"/>
            <w:vAlign w:val="center"/>
          </w:tcPr>
          <w:p>
            <w:pPr>
              <w:jc w:val="right"/>
            </w:pPr>
            <w:r>
              <w:rPr>
                <w:rFonts w:ascii="宋体" w:hAnsi="宋体" w:eastAsia="宋体" w:cs="宋体"/>
                <w:b w:val="0"/>
                <w:i w:val="0"/>
                <w:color w:val="000000"/>
                <w:sz w:val="25"/>
              </w:rPr>
              <w:t>24.57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24.57</w:t>
            </w:r>
          </w:p>
        </w:tc>
        <w:tc>
          <w:tcPr>
            <w:tcW w:w="2700" w:type="dxa"/>
            <w:vAlign w:val="center"/>
          </w:tcPr>
          <w:p>
            <w:pPr>
              <w:jc w:val="right"/>
            </w:pPr>
            <w:r>
              <w:rPr>
                <w:rFonts w:ascii="宋体" w:hAnsi="宋体" w:eastAsia="宋体" w:cs="宋体"/>
                <w:b w:val="0"/>
                <w:i w:val="0"/>
                <w:color w:val="000000"/>
                <w:sz w:val="25"/>
              </w:rPr>
              <w:t>24.57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8.75</w:t>
            </w:r>
          </w:p>
        </w:tc>
        <w:tc>
          <w:tcPr>
            <w:tcW w:w="2700" w:type="dxa"/>
            <w:vAlign w:val="center"/>
          </w:tcPr>
          <w:p>
            <w:pPr>
              <w:jc w:val="right"/>
            </w:pPr>
            <w:r>
              <w:rPr>
                <w:rFonts w:ascii="宋体" w:hAnsi="宋体" w:eastAsia="宋体" w:cs="宋体"/>
                <w:b w:val="0"/>
                <w:i w:val="0"/>
                <w:color w:val="000000"/>
                <w:sz w:val="25"/>
              </w:rPr>
              <w:t>8.75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6.07</w:t>
            </w:r>
          </w:p>
        </w:tc>
        <w:tc>
          <w:tcPr>
            <w:tcW w:w="2700" w:type="dxa"/>
            <w:vAlign w:val="center"/>
          </w:tcPr>
          <w:p>
            <w:pPr>
              <w:jc w:val="right"/>
            </w:pPr>
            <w:r>
              <w:rPr>
                <w:rFonts w:ascii="宋体" w:hAnsi="宋体" w:eastAsia="宋体" w:cs="宋体"/>
                <w:b w:val="0"/>
                <w:i w:val="0"/>
                <w:color w:val="000000"/>
                <w:sz w:val="25"/>
              </w:rPr>
              <w:t>6.07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9.75</w:t>
            </w:r>
          </w:p>
        </w:tc>
        <w:tc>
          <w:tcPr>
            <w:tcW w:w="2700" w:type="dxa"/>
            <w:vAlign w:val="center"/>
          </w:tcPr>
          <w:p>
            <w:pPr>
              <w:jc w:val="right"/>
            </w:pPr>
            <w:r>
              <w:rPr>
                <w:rFonts w:ascii="宋体" w:hAnsi="宋体" w:eastAsia="宋体" w:cs="宋体"/>
                <w:b w:val="0"/>
                <w:i w:val="0"/>
                <w:color w:val="000000"/>
                <w:sz w:val="25"/>
              </w:rPr>
              <w:t>9.75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1,625.90</w:t>
            </w:r>
          </w:p>
        </w:tc>
        <w:tc>
          <w:tcPr>
            <w:tcW w:w="2700" w:type="dxa"/>
            <w:vAlign w:val="center"/>
          </w:tcPr>
          <w:p>
            <w:pPr>
              <w:jc w:val="right"/>
            </w:pPr>
            <w:r>
              <w:rPr>
                <w:rFonts w:ascii="宋体" w:hAnsi="宋体" w:eastAsia="宋体" w:cs="宋体"/>
                <w:b w:val="0"/>
                <w:i w:val="0"/>
                <w:color w:val="000000"/>
                <w:sz w:val="25"/>
              </w:rPr>
              <w:t>460.51</w:t>
            </w:r>
          </w:p>
        </w:tc>
        <w:tc>
          <w:tcPr>
            <w:tcW w:w="2658" w:type="dxa"/>
            <w:vAlign w:val="center"/>
          </w:tcPr>
          <w:p>
            <w:pPr>
              <w:jc w:val="right"/>
            </w:pPr>
            <w:r>
              <w:rPr>
                <w:rFonts w:ascii="宋体" w:hAnsi="宋体" w:eastAsia="宋体" w:cs="宋体"/>
                <w:b w:val="0"/>
                <w:i w:val="0"/>
                <w:color w:val="000000"/>
                <w:sz w:val="25"/>
              </w:rPr>
              <w:t>1,165.40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1,625.90</w:t>
            </w:r>
          </w:p>
        </w:tc>
        <w:tc>
          <w:tcPr>
            <w:tcW w:w="2700" w:type="dxa"/>
            <w:vAlign w:val="center"/>
          </w:tcPr>
          <w:p>
            <w:pPr>
              <w:jc w:val="right"/>
            </w:pPr>
            <w:r>
              <w:rPr>
                <w:rFonts w:ascii="宋体" w:hAnsi="宋体" w:eastAsia="宋体" w:cs="宋体"/>
                <w:b w:val="0"/>
                <w:i w:val="0"/>
                <w:color w:val="000000"/>
                <w:sz w:val="25"/>
              </w:rPr>
              <w:t>460.51</w:t>
            </w:r>
          </w:p>
        </w:tc>
        <w:tc>
          <w:tcPr>
            <w:tcW w:w="2658" w:type="dxa"/>
            <w:vAlign w:val="center"/>
          </w:tcPr>
          <w:p>
            <w:pPr>
              <w:jc w:val="right"/>
            </w:pPr>
            <w:r>
              <w:rPr>
                <w:rFonts w:ascii="宋体" w:hAnsi="宋体" w:eastAsia="宋体" w:cs="宋体"/>
                <w:b w:val="0"/>
                <w:i w:val="0"/>
                <w:color w:val="000000"/>
                <w:sz w:val="25"/>
              </w:rPr>
              <w:t>1,165.40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283.25</w:t>
            </w:r>
          </w:p>
        </w:tc>
        <w:tc>
          <w:tcPr>
            <w:tcW w:w="2700" w:type="dxa"/>
            <w:vAlign w:val="center"/>
          </w:tcPr>
          <w:p>
            <w:pPr>
              <w:jc w:val="right"/>
            </w:pPr>
            <w:r>
              <w:rPr>
                <w:rFonts w:ascii="宋体" w:hAnsi="宋体" w:eastAsia="宋体" w:cs="宋体"/>
                <w:b w:val="0"/>
                <w:i w:val="0"/>
                <w:color w:val="000000"/>
                <w:sz w:val="25"/>
              </w:rPr>
              <w:t>283.25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15.40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15.40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177.25</w:t>
            </w:r>
          </w:p>
        </w:tc>
        <w:tc>
          <w:tcPr>
            <w:tcW w:w="2700" w:type="dxa"/>
            <w:vAlign w:val="center"/>
          </w:tcPr>
          <w:p>
            <w:pPr>
              <w:jc w:val="right"/>
            </w:pPr>
            <w:r>
              <w:rPr>
                <w:rFonts w:ascii="宋体" w:hAnsi="宋体" w:eastAsia="宋体" w:cs="宋体"/>
                <w:b w:val="0"/>
                <w:i w:val="0"/>
                <w:color w:val="000000"/>
                <w:sz w:val="25"/>
              </w:rPr>
              <w:t>177.25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2130599</w:t>
            </w:r>
          </w:p>
        </w:tc>
        <w:tc>
          <w:tcPr>
            <w:tcW w:w="4700" w:type="dxa"/>
            <w:vAlign w:val="center"/>
          </w:tcPr>
          <w:p>
            <w:pPr>
              <w:jc w:val="left"/>
            </w:pPr>
            <w:r>
              <w:rPr>
                <w:rFonts w:ascii="宋体" w:hAnsi="宋体" w:eastAsia="宋体" w:cs="宋体"/>
                <w:b w:val="0"/>
                <w:i w:val="0"/>
                <w:color w:val="000000"/>
                <w:sz w:val="25"/>
              </w:rPr>
              <w:t>其他巩固脱贫攻坚成果衔接乡村振兴支出</w:t>
            </w:r>
          </w:p>
        </w:tc>
        <w:tc>
          <w:tcPr>
            <w:tcW w:w="2700" w:type="dxa"/>
            <w:vAlign w:val="center"/>
          </w:tcPr>
          <w:p>
            <w:pPr>
              <w:jc w:val="right"/>
            </w:pPr>
            <w:r>
              <w:rPr>
                <w:rFonts w:ascii="宋体" w:hAnsi="宋体" w:eastAsia="宋体" w:cs="宋体"/>
                <w:b w:val="0"/>
                <w:i w:val="0"/>
                <w:color w:val="000000"/>
                <w:sz w:val="25"/>
              </w:rPr>
              <w:t>1,150.00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1,150.00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28.16</w:t>
            </w:r>
          </w:p>
        </w:tc>
        <w:tc>
          <w:tcPr>
            <w:tcW w:w="2700" w:type="dxa"/>
            <w:vAlign w:val="center"/>
          </w:tcPr>
          <w:p>
            <w:pPr>
              <w:jc w:val="right"/>
            </w:pPr>
            <w:r>
              <w:rPr>
                <w:rFonts w:ascii="宋体" w:hAnsi="宋体" w:eastAsia="宋体" w:cs="宋体"/>
                <w:b w:val="0"/>
                <w:i w:val="0"/>
                <w:color w:val="000000"/>
                <w:sz w:val="25"/>
              </w:rPr>
              <w:t>28.16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28.16</w:t>
            </w:r>
          </w:p>
        </w:tc>
        <w:tc>
          <w:tcPr>
            <w:tcW w:w="2700" w:type="dxa"/>
            <w:vAlign w:val="center"/>
          </w:tcPr>
          <w:p>
            <w:pPr>
              <w:jc w:val="right"/>
            </w:pPr>
            <w:r>
              <w:rPr>
                <w:rFonts w:ascii="宋体" w:hAnsi="宋体" w:eastAsia="宋体" w:cs="宋体"/>
                <w:b w:val="0"/>
                <w:i w:val="0"/>
                <w:color w:val="000000"/>
                <w:sz w:val="25"/>
              </w:rPr>
              <w:t>28.16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28.16</w:t>
            </w:r>
          </w:p>
        </w:tc>
        <w:tc>
          <w:tcPr>
            <w:tcW w:w="2700" w:type="dxa"/>
            <w:vAlign w:val="center"/>
          </w:tcPr>
          <w:p>
            <w:pPr>
              <w:jc w:val="right"/>
            </w:pPr>
            <w:r>
              <w:rPr>
                <w:rFonts w:ascii="宋体" w:hAnsi="宋体" w:eastAsia="宋体" w:cs="宋体"/>
                <w:b w:val="0"/>
                <w:i w:val="0"/>
                <w:color w:val="000000"/>
                <w:sz w:val="25"/>
              </w:rPr>
              <w:t>28.16</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部门：许昌市乡村振兴局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508.29</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58.75</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125.73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16.73</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140.51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3.57</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128.36</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31.24</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28.60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2.21</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1.61</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14.82</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9.75</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0.78</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4.61</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28.16</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0.49</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0.34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1.19</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2.42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2.93</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3.88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17.08</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2.02</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508.29</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58.75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部门：许昌市乡村振兴局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部门：许昌市乡村振兴局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部门：许昌市乡村振兴局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5.50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1.50</w:t>
            </w:r>
          </w:p>
        </w:tc>
        <w:tc>
          <w:tcPr>
            <w:tcW w:w="1160" w:type="dxa"/>
            <w:vAlign w:val="center"/>
          </w:tcPr>
          <w:p>
            <w:pPr>
              <w:jc w:val="right"/>
            </w:pPr>
            <w:r>
              <w:rPr>
                <w:rFonts w:ascii="宋体" w:hAnsi="宋体" w:eastAsia="宋体" w:cs="宋体"/>
                <w:b w:val="0"/>
                <w:i w:val="0"/>
                <w:color w:val="000000"/>
                <w:sz w:val="17"/>
              </w:rPr>
              <w:t>5.08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3.88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3.88</w:t>
            </w:r>
          </w:p>
        </w:tc>
        <w:tc>
          <w:tcPr>
            <w:tcW w:w="1198" w:type="dxa"/>
            <w:vAlign w:val="center"/>
          </w:tcPr>
          <w:p>
            <w:pPr>
              <w:jc w:val="right"/>
            </w:pPr>
            <w:r>
              <w:rPr>
                <w:rFonts w:ascii="宋体" w:hAnsi="宋体" w:eastAsia="宋体" w:cs="宋体"/>
                <w:b w:val="0"/>
                <w:i w:val="0"/>
                <w:color w:val="000000"/>
                <w:sz w:val="17"/>
              </w:rPr>
              <w:t>1.19</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2023年度收、支总计均为1733.01万元。与上年度相比，收、支总计各增加69.16万元，增长4.16%。主要原因是人员经费及公用经费支出增加。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1719.81万元，其中：财政拨款收入1719.81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2023年度支出合计1733.01万元，其中：基本支出567.05万元，占32.72%；项目支出1165.97万元，占67.28%；上缴上级支出0.00万元，占0.00%；经营支出0.00万元，占0.00%；对附属单位补助支出0.00万元，占0.00%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2023年度财政拨款收、支总计均为1733.01万元。与上年度相比，财政拨款收、支总计各增加69.16万元，增长4.16%。主要原因是人员经费及公用经费支出增加。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2023年度一般公共预算财政拨款支出1733.01万元，占支出合计的100.00%。与上年度相比，一般公共预算财政拨款支出增加69.16万元，增长4.16%。主要原因是人员经费及公用经费支出增加。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1733.01万元，主要用于以下方面：一般公共服务支出（类）25.81万元，占1.49%；社会保障和就业支出（类）28.57万元，占1.65%；卫生健康支出（类）24.57万元，占1.42%；农林水支出（类）1625.90万元，占93.82%；住房保障支出（类）28.16万元，占1.62%</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2023年度一般公共预算财政拨款支出年初预算为9480.94万元，支出决算为1733.01万元，完成年初预算的18.28%。其中：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年初预算数为2.42万元，决算数2.42万元,完成年初预算的100.00%，决算数与年初预算数不存在差异。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年初预算数为3.00万元，决算数23.39万元,完成年初预算的779.67%，决算数与年初预算数存在差异的主要原因是本年度发放2021年度平安建设奖支出。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年初预算数为28.00万元，决算数28.00万元,完成年初预算的100.00%，决算数与年初预算数不存在差异。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4.社会保障和就业支出（类）就业补助（款）其他就业补助支出（项）</w:t>
      </w:r>
      <w:r>
        <w:rPr>
          <w:rFonts w:hint="default" w:ascii="仿宋" w:hAnsi="仿宋" w:eastAsia="仿宋" w:cs="仿宋"/>
          <w:kern w:val="0"/>
          <w:sz w:val="32"/>
          <w:szCs w:val="32"/>
          <w:lang w:val="en-US" w:eastAsia="zh-CN"/>
        </w:rPr>
        <w:t>年初预算数为0.00万元，决算数0.57万元,决算数与年初预算数存在差异的主要原因是2023年公益岗位人员工资及社保。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5.卫生健康支出（类）行政事业单位医疗（款）行政单位医疗（项）</w:t>
      </w:r>
      <w:r>
        <w:rPr>
          <w:rFonts w:hint="default" w:ascii="仿宋" w:hAnsi="仿宋" w:eastAsia="仿宋" w:cs="仿宋"/>
          <w:kern w:val="0"/>
          <w:sz w:val="32"/>
          <w:szCs w:val="32"/>
          <w:lang w:val="en-US" w:eastAsia="zh-CN"/>
        </w:rPr>
        <w:t>年初预算数为8.78万元，决算数8.75万元,完成年初预算的99.66%，决算数与年初预算数存在差异的主要原因是严格按照征缴计划单缴纳，基本不存在差异。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0"/>
          <w:sz w:val="32"/>
          <w:szCs w:val="32"/>
          <w:lang w:val="en-US" w:eastAsia="zh-CN"/>
        </w:rPr>
        <w:t>年初预算数为6.10万元，决算数6.07万元,完成年初预算的99.51%，决算数与年初预算数存在差异的主要原因是严格按照征缴计划单缴纳，基本不存在差异。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7.卫生健康支出（类）行政事业单位医疗（款）公务员医疗补助（项）</w:t>
      </w:r>
      <w:r>
        <w:rPr>
          <w:rFonts w:hint="default" w:ascii="仿宋" w:hAnsi="仿宋" w:eastAsia="仿宋" w:cs="仿宋"/>
          <w:kern w:val="0"/>
          <w:sz w:val="32"/>
          <w:szCs w:val="32"/>
          <w:lang w:val="en-US" w:eastAsia="zh-CN"/>
        </w:rPr>
        <w:t>年初预算数为9.75万元，决算数9.75万元,完成年初预算的100.00%，决算数与年初预算数不存在差异。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8.农林水支出（类）巩固脱贫攻坚成果衔接乡村振兴（款）行政运行（项）</w:t>
      </w:r>
      <w:r>
        <w:rPr>
          <w:rFonts w:hint="default" w:ascii="仿宋" w:hAnsi="仿宋" w:eastAsia="仿宋" w:cs="仿宋"/>
          <w:kern w:val="0"/>
          <w:sz w:val="32"/>
          <w:szCs w:val="32"/>
          <w:lang w:val="en-US" w:eastAsia="zh-CN"/>
        </w:rPr>
        <w:t>年初预算数为248.79万元，决算数283.25万元,完成年初预算的113.85%，决算数与年初预算数存在差异的主要原因是本年度存在人员晋级晋档及职务晋升，人员经费支出增加。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年初预算数为0.00万元，决算数15.40万元,决算数与年初预算数存在差异的主要原因是巩固拓展脱贫攻坚工作经费支出、淅川工作组工作经费支出、调研指导组工作经费支出。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10.农林水支出（类）巩固脱贫攻坚成果衔接乡村振兴（款）事业运行（项）</w:t>
      </w:r>
      <w:r>
        <w:rPr>
          <w:rFonts w:hint="default" w:ascii="仿宋" w:hAnsi="仿宋" w:eastAsia="仿宋" w:cs="仿宋"/>
          <w:kern w:val="0"/>
          <w:sz w:val="32"/>
          <w:szCs w:val="32"/>
          <w:lang w:val="en-US" w:eastAsia="zh-CN"/>
        </w:rPr>
        <w:t>年初预算数为166.56万元，决算数177.25万元,完成年初预算的106.42%，决算数与年初预算数存在差异的主要原因是本年度存在人员晋级晋档及职务晋升，人员经费支出增加。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11.农林水支出（类）巩固脱贫攻坚成果衔接乡村振兴（款）其他巩固脱贫攻坚成果衔接乡村振兴支出（项）</w:t>
      </w:r>
      <w:r>
        <w:rPr>
          <w:rFonts w:hint="default" w:ascii="仿宋" w:hAnsi="仿宋" w:eastAsia="仿宋" w:cs="仿宋"/>
          <w:kern w:val="0"/>
          <w:sz w:val="32"/>
          <w:szCs w:val="32"/>
          <w:lang w:val="en-US" w:eastAsia="zh-CN"/>
        </w:rPr>
        <w:t>年初预算数为8670.00万元，决算数1150.00万元,完成年初预算的13.26%，决算数与年初预算数存在差异的主要原因是乡村振兴衔接资金7520万元由财政局直接拨付至各县（市、区）。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0"/>
          <w:sz w:val="32"/>
          <w:szCs w:val="32"/>
          <w:lang w:val="en-US" w:eastAsia="zh-CN"/>
        </w:rPr>
        <w:t>年初预算数为28.35万元，决算数28.16万元,完成年初预算的99.33%，决算数与年初预算数存在差异的主要原因是严格按照征缴计划单缴纳，基本不存在差异。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567.05万元。其中：人员经费508.29万元，主要包括：基本工资、津贴补贴、奖金、绩效工资、机关事业单位基本养老保险缴费、职工基本医疗保险缴费、公务员医疗补助缴费、其他社会保障缴费、住房公积金、其他工资福利支出。公用经费58.75万元，主要包括：办公费、印刷费、电费、邮电费、差旅费、维修（护）费、公务接待费、工会经费、福利费、公务用车运行维护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2023年度“三公”经费财政拨款支出预算为5.50万元，支出决算为5.08万元，完成预算的92.36%。2023年度“三公”经费支出决算数与预算数存在差异的主要原因是贯彻落实上级过紧日子要求，厉行节约，压减支出。</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3.88万元,完成预算的97.00%，占76.38%；公务接待费支出决算1.19万元，完成预算的79.33%，占23.43%。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预算为4.00万元，支出决算为3.88万元，完成预算的97.00%。决算数与预算数存在差异的主要原因是贯彻落实上级过紧日子要求，厉行节约，压减支出。其中：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3.88万元。主要用于支付保险费、维修费、油费、过路费等。2023年期末，部门开支财政拨款的公务用车保有量为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预算为1.50万元，支出决算为1.19万元</w:t>
      </w:r>
      <w:r>
        <w:rPr>
          <w:rFonts w:hint="eastAsia" w:ascii="仿宋" w:hAnsi="仿宋" w:eastAsia="仿宋" w:cs="仿宋"/>
          <w:kern w:val="0"/>
          <w:sz w:val="32"/>
          <w:szCs w:val="32"/>
          <w:lang w:val="en-US" w:eastAsia="zh-CN"/>
        </w:rPr>
        <w:t>，完成预算的79.33%</w:t>
      </w:r>
      <w:r>
        <w:rPr>
          <w:rFonts w:hint="eastAsia" w:ascii="仿宋" w:hAnsi="仿宋" w:eastAsia="仿宋" w:cs="仿宋"/>
          <w:b w:val="0"/>
          <w:bCs w:val="0"/>
          <w:kern w:val="0"/>
          <w:sz w:val="32"/>
          <w:szCs w:val="32"/>
          <w:lang w:val="en-US" w:eastAsia="zh-CN"/>
        </w:rPr>
        <w:t>。决算数与预算数存在差异的主要原因是贯彻落实上级过紧日子要求，厉行节约，压减支出。其中：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1.19</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主要用于巩固拓展脱贫攻坚成果暨乡村振兴业务接待。</w:t>
      </w:r>
      <w:r>
        <w:rPr>
          <w:rFonts w:hint="eastAsia" w:ascii="仿宋" w:hAnsi="仿宋" w:eastAsia="仿宋" w:cs="仿宋"/>
          <w:kern w:val="0"/>
          <w:sz w:val="32"/>
          <w:szCs w:val="32"/>
          <w:lang w:val="en-US" w:eastAsia="zh-CN"/>
        </w:rPr>
        <w:t>2023年共接待国内来访团组4个、来宾60人次（不包括陪同人员）。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2023年度机关运行经费支出47.89万元，较2022年度增长14.05万元，增长41.52%，主要原因是各项业务有序开展，经费支出增加。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涉及预算资金1764.19万元。自评得分为100分，等级为“优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本部门资金到位及时，预算资金执行率达到98.23%。在资金管理上强化责任意识，建立健全管理制度，落实帮扶淅川县乡村建设项目、财政衔接推进乡村振兴补助资金，定期查看资金拨付情况，提高执行效率和资金使用效益，确保财政资金使用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基于项目预期目标的实现程度，我部门对2023年度部门预算项目支出（含部门参与分配的转移支付项目）开展绩效自评，涉及项目9个，项目金额6772.4万元。其中：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提前下达财政衔接推进乡村振兴补助资金，自评得分为100分，等级为“优”。该项目共设置7个小指标，其中：完成7个指标，完成率100%。预算数5300万元，预算执行率为100%。2023年度，我部门以坚决守牢防止规模性返贫为底线，以强产业、稳就业、促增收为抓手，有力推动财政衔接资金项目，有效巩固拓展脱贫攻坚成果。下一步，将继续加强巩固拓展脱贫攻坚</w:t>
      </w:r>
      <w:bookmarkStart w:id="0" w:name="_GoBack"/>
      <w:bookmarkEnd w:id="0"/>
      <w:r>
        <w:rPr>
          <w:rFonts w:hint="eastAsia" w:ascii="仿宋" w:hAnsi="仿宋" w:eastAsia="仿宋" w:cs="仿宋"/>
          <w:kern w:val="0"/>
          <w:sz w:val="32"/>
          <w:szCs w:val="32"/>
          <w:lang w:val="en-US" w:eastAsia="zh-CN"/>
        </w:rPr>
        <w:t>成果和乡村振兴项目库管理水平，强化项目论证，加强项目储备，突出衔接资金支持重点；继续加强资金监管力度，结合绩效评价要求，坚持对衔接资金的监管贯穿项目实施全过程。</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2023年许昌市派驻村第一书记补助经费，自评得分为97.14分，等级为“优”。该项目共设置12个小指标，其中：完成12个指标，完成率100%。预算数为271万元，预算执行率为71.43%。2023年度，我部门认真落实省委市委关于《第一书记专项资金、工作经费、驻村补助等费用纳入财政预算，予以充分保障，为第一书记发挥作用提供助力》相关要求，对2023年度市派第一书记伙食补助及交通补助予以保障。下一步，将继续按照相关要求，将驻村第一书记补助经费纳入财政预算。</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市脱贫攻坚调研指导工作下乡补助经费，自评得分为98.17分，等级为“优”。该项目共设置9个小指标，其中：完成9个指标，完成率100%。预算数为25.2万元，预算执行率为81.71%。2023年度，根据《关于调整和加强巩固拓展脱贫攻坚成果调研指导组的通知》文件要求，参照《许昌市市直机关差旅费管理办法》，对巩固拓展脱贫攻坚成果调研指导组共28人在工作期间，产生的差旅费予以保障。下一步，将继续按照相关要求，将市脱贫攻坚调研指导工作下乡补助经费纳入财政预算。</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（4）许昌市脱贫攻坚调研指导（联乡帮村服务）工作经费（结转本级资金），自评得分为100分，等级为“优”。该项目共设置7个小指标，其中：完成7个指标，完成率100%。预算数为1.63万元，预算执行率为100%。 2023年，市巩固拓展脱贫攻坚调研指导组围绕防返贫监测帮扶、就业产业、群众增收、综合保障、政策落实、项目管理等方面，对5个县市区开展专项调研活动37次，形成调研问题清单、报告、通报等31份，帮助基层解决一批脱贫攻坚中遇到的实际问题和困难，并总结推广一批各地可复制、可推广的特色经验做法，督促乡村理清思路、制定规划、发展产业、完善基础设施和公共服务设施等，落实各项帮扶政策，坚决守住了不发生规模性返贫的底线。</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结对帮扶淅川县乡村建设项目，自评得分为100分，等级为“优”。该项目共设置6个小指标，其中：完成6个指标，完成率100%。预算数为1150万元，预算执行率为100%。经两地各有关部门通力合作，项目已顺利完工投用，实现了54个村卫生室产权公有化，为山区群众就医提供了硬件设施保障，进一步完善了村级医疗卫生公共服务条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巩固拓展脱贫攻坚成果专项工作经费（结转本级资金），自评得分为100分，等级为“优”。该项目共设置13个小指标，其中：完成13个指标，完成率100%。预算数为9.08万元，预算执行率为100%。2023年度，市乡村振兴局围绕防返贫动态监测、政策落实、人居环境整治、户厕改造、产业发展、基层党建等六个方面重点任务，开展了一系列业务活动，按照资金管理要求，合理分配和利用经费，保障了单位日常工作的正常运转。</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（7）市巩固拓展脱贫攻坚成果调研指导（联乡帮村服务）工作经费，自评得分为95.51分，等级为“优”。该项目共设置6个小指标，其中：完成6个指标，完成率100%。预算数为7.2万元，预算执行率为55.14%。 2023年，市巩固拓展脱贫攻坚调研指导组围绕防返贫监测帮扶、就业产业、群众增收、综合保障、政策落实、项目管理等方面，对5个县市区开展专项调研活动37次，形成调研问题清单、报告、通报等31份，帮助基层解决一批脱贫攻坚中遇到的实际问题和困难，并总结推广一批各地可复制、可推广的特色经验做法，督促乡村理清思路、制定规划、发展产业、完善基础设施和公共服务设施等，落实各项帮扶政策，坚决守住了不发生规模性返贫的底线。</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市驻淅川县工作队工作经费，自评得分为96.05分，等级为“优”。该项目共设置11个小指标，其中：完成11个指标，完成率100%。预算数为5.8万元，预算执行率为60.52%。2023年度，根据文件精神，许昌市继续结对帮扶省级乡村振兴重点县淅川县，通过结对帮扶促进被帮扶县实现巩固拓展脱贫攻坚成果同乡村振兴有效衔接。帮扶方向结对帮扶县派驻工作队，并根据实际，保障其必要的工作经费。</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许昌市驻淅川县工作队工作经费（结转本级资金），自评得分为100分，等级为“优”。该项目共设置11个小指标，其中：完成11个指标，完成率100%。预算数为2.49万元，预算执行率为100%。2023年度，根据文件精神，许昌市继续结对帮扶省级乡村振兴重点县淅川县，通过结对帮扶促进被帮扶县实现巩固拓展脱贫攻坚成果同乡村振兴有效衔接。帮扶方向结对帮扶县派驻工作队，并根据实际，保障其必要的工作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对绩效评价工作“谁使用、谁评价”的原则执行不够到位，项目成本管理目标设置还不够具体，对项目资金使用成本的控制有待进一步加强。下一步，我部门将继续完善预算绩效管理体系，建立预算编制有目标、预算执行有监控、预算完成有评价、评价结果有反馈、反馈结果有因由的预算绩效管理机制，完善全过程预算绩效管理链条。</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根据工作需要，我部门选取了以下项目开展部门重点绩效评价：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1.提前下达财政衔接推进乡村振兴补助资金，自评得分为100分，等级为“优”。</w:t>
      </w:r>
      <w:r>
        <w:rPr>
          <w:rFonts w:hint="default" w:ascii="仿宋" w:hAnsi="仿宋" w:eastAsia="仿宋" w:cs="仿宋"/>
          <w:kern w:val="2"/>
          <w:sz w:val="32"/>
          <w:szCs w:val="32"/>
          <w:lang w:val="en-US" w:eastAsia="zh-CN"/>
        </w:rPr>
        <w:br w:type="textWrapping"/>
      </w:r>
      <w:r>
        <w:rPr>
          <w:rFonts w:hint="default" w:ascii="仿宋" w:hAnsi="仿宋" w:eastAsia="仿宋" w:cs="仿宋"/>
          <w:kern w:val="2"/>
          <w:sz w:val="32"/>
          <w:szCs w:val="32"/>
          <w:lang w:val="en-US" w:eastAsia="zh-CN"/>
        </w:rPr>
        <w:t xml:space="preserve">    2023年全市共到位各级财政衔接推进乡村振兴补助资金60809万元（其中:中央资金14653万元、省级资金8826万元、市级资金7520万元、县级资金29810万元），主要用于脱贫村和脱贫人口较多的非贫困村改善基础设施条件及助力其产业发展。涉及任务两项:巩固拓展脱贫攻坚成果和乡村振兴任务60506万元、少数民族发展任务303万元，2023年我市不涉及以工代赈、欠发达国有农场巩固提升和欠发达国有林场巩固提升三项任务。共对接项目426个，截至2023年12月31日，项目完工率100%，资金支付率98.34%。</w:t>
      </w:r>
      <w:r>
        <w:rPr>
          <w:rFonts w:hint="default" w:ascii="仿宋" w:hAnsi="仿宋" w:eastAsia="仿宋" w:cs="仿宋"/>
          <w:kern w:val="2"/>
          <w:sz w:val="32"/>
          <w:szCs w:val="32"/>
          <w:lang w:val="en-US" w:eastAsia="zh-CN"/>
        </w:rPr>
        <w:br w:type="textWrapping"/>
      </w:r>
      <w:r>
        <w:rPr>
          <w:rFonts w:hint="default" w:ascii="仿宋" w:hAnsi="仿宋" w:eastAsia="仿宋" w:cs="仿宋"/>
          <w:kern w:val="2"/>
          <w:sz w:val="32"/>
          <w:szCs w:val="32"/>
          <w:lang w:val="en-US" w:eastAsia="zh-CN"/>
        </w:rPr>
        <w:t xml:space="preserve">    2023年，许昌市严格按照资金项目有关政策开展工作，积极落实省乡村振兴局安排的各项工作，按时报送资金项目有关材料，下一步，将继续按照工作安排，建立问题整改台账，督促问题整改成效，进一步提高我市资金项目管理水平。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1808"/>
        <w:gridCol w:w="300"/>
        <w:gridCol w:w="300"/>
        <w:gridCol w:w="2431"/>
        <w:gridCol w:w="1211"/>
        <w:gridCol w:w="2263"/>
        <w:gridCol w:w="1229"/>
        <w:gridCol w:w="1229"/>
        <w:gridCol w:w="1649"/>
        <w:gridCol w:w="1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9480.94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1764.19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1733.01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9480.94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1763.18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1733.01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紧盯巩固拓展脱贫攻坚成果这一任务，持续健全完善防返贫监测帮扶机制，指导县（市、区）抓好财政衔接资金项目建设，协调部门落实帮扶举措，确保不发生规模性返贫底线，确保脱贫群众收入增速高于当地农民收入增速、脱贫地区农民收入增速高于全市农民收入增速。</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以来，先后开展两轮集中排查，新识别监测对象684户2248人，累计消除风险3873户11023人，风险消除率49.7%，较2022年度提高6.7%；先后与民政、医保、教育等八部门进行3次数据比对，累计推送预警数据1.8万条，及时消除风险隐患，坚决守牢防止规模性返贫的底线。不断拓宽脱贫群众增收致富渠道，2023年全市脱贫人口人均纯收入16485元，较2022年增长14.7%，完成年初设定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巩固拓展脱贫攻坚成果衔接乡村振兴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坚持“守底线、抓衔接、促振兴”总基调，健全落实防止返贫监测帮扶机制，抓好财政衔接资金项目建设，持续巩固拓展脱贫攻坚成果。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持续优化动态摸排、数据比对、长效帮扶和防范因灾返贫等工作机制，全市监测对象户均享受帮扶措施4.73项，未发生返贫致贫现象.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巩固拓展脱贫攻坚成果衔接乡村振兴完成率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2023年度巩固脱贫成果实现率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脱贫户生活得到保障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628"/>
        <w:gridCol w:w="1220"/>
        <w:gridCol w:w="1029"/>
        <w:gridCol w:w="998"/>
        <w:gridCol w:w="3831"/>
        <w:gridCol w:w="1120"/>
        <w:gridCol w:w="685"/>
        <w:gridCol w:w="685"/>
        <w:gridCol w:w="624"/>
        <w:gridCol w:w="1046"/>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提前下达财政衔接推进乡村振兴补助资金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5300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目标1：为全市支持巩固拓展脱贫攻坚成果和衔接推进乡村振兴提供资金保障。</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目标2：培育和壮大欠发达地区特色优势产业并逐年提高资金占比。</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目标3：补齐必要的农村人居环境整治和小型公益性基础设施建设短板等。</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实施了一批产业项目培育壮大了县域优势特色产业发展，并通过乡村建设项目补充了必要的农村人居环境整治和小型公益性基础设施建设短板。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实施2023年财政衔接推进乡村振兴补助资金项目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资金足额安排及支付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保障资金使用安全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不出现违规违纪问题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资金及时拨付到位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规定时间内拨付到位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补齐必要的农村人居环境整治和小型公益性基础设施建设短板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财政衔接推进乡村振兴补助资金使用部门满意度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项目实施地群众满意度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815"/>
        <w:gridCol w:w="1585"/>
        <w:gridCol w:w="698"/>
        <w:gridCol w:w="604"/>
        <w:gridCol w:w="3892"/>
        <w:gridCol w:w="1174"/>
        <w:gridCol w:w="701"/>
        <w:gridCol w:w="834"/>
        <w:gridCol w:w="629"/>
        <w:gridCol w:w="1049"/>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2023年许昌市派驻村第一书记补助经费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193.58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按照部门预算编制和资金管理办法的要求，按照核定审批人数、天数及补贴标准申报预算。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严格按照国库集中支付制度有关规定支付资金，按照实际人数及天数拨付资金。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认真落实省委市委关于《第一书记专项资金、工作经费、驻村补助等费用纳入财政预算，予以充分保障，为第一书记发挥作用提供助力》相关要求，确保第一书记工作派的出、驻的安，更好落实“五天四夜”工作制，确保第一书记生活上无后顾之忧，放心大胆工作，为巩固脱贫攻坚成果努力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认真落实省委市委关于《第一书记专项资金、工作经费、驻村补助等费用纳入财政预算，予以充分保障，为第一书记发挥作用提供助力》相关要求，对2023年度市派第一书记伙食补助及交通补助予以保障。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市派驻村第一书记工作经费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193.58万元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每人每天伙食补助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每人每天交通补助（30公里以下）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每人每天交通补助（30-50公里）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每人每天交通补助（50公里以上）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市派第一书记补助人数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市派第一书记每人每年工作补助天数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资金发放到位率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保障第一书记工作有序开展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第一书记满意度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610"/>
        <w:gridCol w:w="1185"/>
        <w:gridCol w:w="762"/>
        <w:gridCol w:w="762"/>
        <w:gridCol w:w="2721"/>
        <w:gridCol w:w="1392"/>
        <w:gridCol w:w="829"/>
        <w:gridCol w:w="962"/>
        <w:gridCol w:w="766"/>
        <w:gridCol w:w="1290"/>
        <w:gridCol w:w="2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市脱贫攻坚调研指导工作下乡补助经费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en-AU"/>
              </w:rPr>
              <w:t>25.2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20.59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en-AU"/>
              </w:rPr>
              <w:t>81.71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en-AU"/>
              </w:rPr>
              <w: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en-AU"/>
              </w:rPr>
              <w:t>25.2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en-AU"/>
              </w:rPr>
              <w:t>81.71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按照部门预算编制和资金管理办法的要求，按照核定审批人数、天数及补贴标准申报预算。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严格按照国库集中支付制度有关规定支付资金，按照实际人数及天数拨付资金。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做好全市巩固脱贫成效和联乡帮村调研工作，形成一系列高质量调研报告，为市领导决策提供参考；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对全市巩固脱贫成效和联乡帮村工作开展情况进行调研，发现典型问题，帮助基层解决一批工作中遇到的实际问题和困难；</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对全市巩固脱贫成效和联乡帮村工作开展情况调研，总结推广一批各地可复制、可推广的特色经验做法。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2023年度，根据《关于调整和加强巩固拓展脱贫攻坚成果调研指导组的通知》文件要求，参照《许昌市市直机关差旅费管理办法》，对巩固拓展脱贫攻坚成果调研指导组共28人在工作期间，产生的差旅费予以保障。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市巩固拓展脱贫攻坚成果调研指导组成员补助经费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每人每天伙食补助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调研指导组补助人数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每人每年补助天数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资金发放到位率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保障调研指导组工作的有序开展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稳定有序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调研指导组成员满意度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en-AU"/>
              </w:rPr>
              <w:t>98.17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515"/>
        <w:gridCol w:w="993"/>
        <w:gridCol w:w="1068"/>
        <w:gridCol w:w="993"/>
        <w:gridCol w:w="2303"/>
        <w:gridCol w:w="1497"/>
        <w:gridCol w:w="904"/>
        <w:gridCol w:w="904"/>
        <w:gridCol w:w="829"/>
        <w:gridCol w:w="1393"/>
        <w:gridCol w:w="2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许昌市脱贫攻坚调研指导（联乡帮村服务）工作经费（结转本级资金）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目标1：做好全市巩固脱贫成效和联乡帮村调研工作，形成一系列高质量调研报告，为市领导决策提供参考。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目标2：对全市巩固脱贫成效和联乡帮村工作开展情况进行调研，发现典型问题，帮助基层解决一批工作中遇到的实际问题和困难。</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目标3：对全市巩固脱贫成效和联乡帮村工作开展情况进行调研，总结推广一批各地可复制、可推广的特色经验做法。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2023年，市巩固拓展脱贫攻坚调研指导组围绕防返贫监测帮扶、就业产业、群众增收、综合保障、政策落实、项目管理等方面，对5个县市区开展专项调研活动37次，形成调研问题清单、报告、通报等31份，为市领导决策提供参考，帮助基层解决一批脱贫攻坚中遇到的实际问题和困难，并总结推广一批各地可复制、可推广的特色经验做法，督促乡村理清思路、制定规划、发展产业、完善基础设施和公共服务设施等，落实各项帮扶政策，坚决守住了不发生规模性返贫的底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脱贫攻坚专项调研报告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开展脱贫攻坚专项调研活动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形成一系列高质量脱贫攻坚专项调研报告，为市领导决策提供参考，为持续巩固脱贫攻坚成效提供有力支持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保障调研指导组工作正常开展，发挥部门职能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各县（市、区）乡村振兴和联乡帮村部门对专项调研指导效果满意度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680"/>
        <w:gridCol w:w="1322"/>
        <w:gridCol w:w="784"/>
        <w:gridCol w:w="751"/>
        <w:gridCol w:w="4149"/>
        <w:gridCol w:w="1137"/>
        <w:gridCol w:w="703"/>
        <w:gridCol w:w="703"/>
        <w:gridCol w:w="636"/>
        <w:gridCol w:w="1065"/>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结对帮扶淅川县乡村建设项目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帮助完善乡村水、电、路、气、通信、广播电视、物流等基础设施，推进农村改厕、生活垃圾处理和污水治理，持续提升村容村貌，改善农村人居环境，提高农民科技文化素质。项目早日完工投用，改善群众生产生活条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经两地各有关部门通力合作，项目已顺利完工投用，实现了54个村卫生室产权公有化，为山区群众就医提供了硬件设施保障，进一步完善了村级医疗卫生公共服务条件。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乡村项目建设成本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乡村建设项目个数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竣工验收是否通过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项目实施完成时限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对乡村基础设施、公共服务条件的改善或提升程度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脱贫群众满意度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587"/>
        <w:gridCol w:w="1138"/>
        <w:gridCol w:w="734"/>
        <w:gridCol w:w="701"/>
        <w:gridCol w:w="3214"/>
        <w:gridCol w:w="1380"/>
        <w:gridCol w:w="828"/>
        <w:gridCol w:w="828"/>
        <w:gridCol w:w="762"/>
        <w:gridCol w:w="1281"/>
        <w:gridCol w:w="2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巩固拓展脱贫攻坚成果专项工作经费（结转本级资金）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在市委市政府的正确领导下，坚持精准方略，围绕巩固拓展脱贫攻坚成果任务，保障市乡村振兴局系统的正常运转。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度，市乡村振兴局围绕防返贫动态监测、政策落实、人居环境整治、户厕改造、产业发展、基层党建等六个方面重点任务，开展了一系列业务活动，按照资金管理要求，合理分配和利用经费，保障了单位日常工作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每期培训班培训人次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每期培训班培训天数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开展培训班班次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办公用品采购合格率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印刷质量达标率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对培训人员综合素质的改善或提升程度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差旅费补助报销时效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办公用品送达时间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印刷品交付时效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保障单位工作正常开展，发挥部门职能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发挥部门职能，保障乡村振兴局系统正常运转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525"/>
        <w:gridCol w:w="1014"/>
        <w:gridCol w:w="673"/>
        <w:gridCol w:w="599"/>
        <w:gridCol w:w="2416"/>
        <w:gridCol w:w="1564"/>
        <w:gridCol w:w="937"/>
        <w:gridCol w:w="1089"/>
        <w:gridCol w:w="863"/>
        <w:gridCol w:w="1452"/>
        <w:gridCol w:w="2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市巩固拓展脱贫攻坚成果调研指导（联乡帮村服务）工作经费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3.97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目标1：做好全市巩固脱贫成效和联乡帮村调研工作，形成一系列高质量调研报告，为市领导决策提供参考。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目标2：对全市巩固脱贫成效和联乡帮村工作开展情况进行调研，发现典型问题，帮助基层解决一批工作中遇到的实际问题和困难。</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目标3：对全市巩固脱贫成效和联乡帮村工作开展情况进行调研，总结推广一批各地可复制、可推广的特色经验做法。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市巩固拓展脱贫攻坚调研指导组围绕防返贫监测帮扶、就业产业、群众增收、综合保障、政策落实、项目管理等方面，对5个县市区开展专项调研活动37次，形成调研问题清单、报告、通报等31份，为市领导决策提供参考，帮助基层解决一批脱贫攻坚中遇到的实际问题和困难，并总结推广一批各地可复制、可推广的特色经验做法，督促乡村理清思路、制定规划、发展产业、完善基础设施和公共服务设施等，落实各项帮扶政策，坚决守住了不发生规模性返贫的底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市脱贫攻坚调研指导组工作经费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3.97万元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开展专项调研活动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形成一系列高质量脱贫攻坚专项调研报告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31份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保障调研指导组工作正常有序开展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各县（市、区）对专项调研指导效果满意度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722"/>
        <w:gridCol w:w="1408"/>
        <w:gridCol w:w="809"/>
        <w:gridCol w:w="809"/>
        <w:gridCol w:w="5059"/>
        <w:gridCol w:w="853"/>
        <w:gridCol w:w="527"/>
        <w:gridCol w:w="621"/>
        <w:gridCol w:w="478"/>
        <w:gridCol w:w="799"/>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市驻淅川县工作队工作经费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确保帮扶工作队正常运转，完成年度帮扶淅川县任务。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经过各项工作稳步推进，圆满完成年度帮扶淅川县工作任务。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结对帮扶工作队工作经费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开展调研次数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开展帮扶活动次数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基础设施建设数量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帮扶发展企业数量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帮扶调研报告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开展活动完成及时性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当地经济收入增长情况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巩固脱贫攻坚成果与乡村振兴相衔接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有效巩固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工作队成员满意度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帮扶对象满意度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728"/>
        <w:gridCol w:w="1421"/>
        <w:gridCol w:w="822"/>
        <w:gridCol w:w="822"/>
        <w:gridCol w:w="5147"/>
        <w:gridCol w:w="858"/>
        <w:gridCol w:w="528"/>
        <w:gridCol w:w="528"/>
        <w:gridCol w:w="479"/>
        <w:gridCol w:w="802"/>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许昌市驻淅川县工作队工作经费（结转本级资金）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确保帮扶工作队正常运转，完成年度帮扶淅川县任务。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确保帮扶工作队正常运转，完成年度帮扶淅川县任务。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结对帮扶工作队工作经费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开展调研次数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开展帮扶活动次数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基础设施建设数量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帮扶发展企业数量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帮扶调研报告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开展活动完成及时性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当地经济收入增长情况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巩固脱贫攻坚成果与乡村振兴相衔接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有效巩固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工作队成员满意度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帮扶对象满意度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headerReference r:id="rId4" w:type="default"/>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Ll1uVLQAAAA&#10;BQEAAA8AAAAAAAAAAQAgAAAAOAAAAGRycy9kb3ducmV2LnhtbFBLAQIUABQAAAAIAIdO4kBJkDZF&#10;AwIAAAwEAAAOAAAAAAAAAAEAIAAAADUBAABkcnMvZTJvRG9jLnhtbFBLAQIUAAoAAAAAAIdO4kAA&#10;AAAAAAAAAAAAAAAEAAAAAAAAAAAAEAAAABYAAABkcnMvUEsBAhQACgAAAAAAh07iQAAAAAAAAAAA&#10;AAAAAAYAAAAAAAAAAAAQAAAAZAMAAF9yZWxzL1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105D"/>
    <w:multiLevelType w:val="multilevel"/>
    <w:tmpl w:val="FBFF105D"/>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38E8F67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21354b31-e558-433c-a361-60027498e67c"/>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页眉1"/>
    <w:basedOn w:val="10"/>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2024-10-10T16:12:38Z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